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082D" w:rsidRPr="00CA0AE3" w:rsidRDefault="004B3CAA" w:rsidP="00CC003A">
      <w:pPr>
        <w:autoSpaceDE w:val="0"/>
        <w:autoSpaceDN w:val="0"/>
        <w:adjustRightInd w:val="0"/>
        <w:spacing w:after="0" w:line="240" w:lineRule="auto"/>
        <w:jc w:val="center"/>
      </w:pPr>
      <w:r w:rsidRPr="00CA0AE3">
        <w:rPr>
          <w:b/>
          <w:bCs/>
        </w:rPr>
        <w:t>AT</w:t>
      </w:r>
      <w:r w:rsidR="006D082D" w:rsidRPr="00CA0AE3">
        <w:rPr>
          <w:b/>
          <w:bCs/>
        </w:rPr>
        <w:t xml:space="preserve">TACHMENT </w:t>
      </w:r>
      <w:r w:rsidR="008D3CB4" w:rsidRPr="00CA0AE3">
        <w:rPr>
          <w:b/>
          <w:bCs/>
        </w:rPr>
        <w:t>K</w:t>
      </w:r>
    </w:p>
    <w:p w:rsidR="0051152A" w:rsidRPr="00CA0AE3" w:rsidRDefault="006873C7" w:rsidP="0051152A">
      <w:pPr>
        <w:pStyle w:val="ListParagraph"/>
        <w:autoSpaceDE w:val="0"/>
        <w:autoSpaceDN w:val="0"/>
        <w:adjustRightInd w:val="0"/>
        <w:spacing w:after="0" w:line="240" w:lineRule="auto"/>
        <w:rPr>
          <w:b/>
          <w:bCs/>
        </w:rPr>
      </w:pPr>
      <w:r w:rsidRPr="00CA0AE3">
        <w:rPr>
          <w:b/>
          <w:bCs/>
        </w:rPr>
        <w:t>PUBLIC HOSPITAL</w:t>
      </w:r>
      <w:r w:rsidR="006D082D" w:rsidRPr="00CA0AE3">
        <w:rPr>
          <w:b/>
          <w:bCs/>
        </w:rPr>
        <w:t xml:space="preserve"> </w:t>
      </w:r>
      <w:r w:rsidR="007103BC" w:rsidRPr="00CA0AE3">
        <w:rPr>
          <w:b/>
          <w:bCs/>
        </w:rPr>
        <w:t xml:space="preserve">TRANSFORMATION AND </w:t>
      </w:r>
      <w:r w:rsidR="006D082D" w:rsidRPr="00CA0AE3">
        <w:rPr>
          <w:b/>
          <w:bCs/>
        </w:rPr>
        <w:t xml:space="preserve">INCENTIVE INITIATIVE </w:t>
      </w:r>
      <w:r w:rsidR="00506670" w:rsidRPr="00CA0AE3">
        <w:rPr>
          <w:b/>
          <w:bCs/>
        </w:rPr>
        <w:t>PROTOCOL</w:t>
      </w:r>
    </w:p>
    <w:p w:rsidR="0051152A" w:rsidRPr="00CA0AE3" w:rsidRDefault="0051152A" w:rsidP="0051152A">
      <w:pPr>
        <w:pStyle w:val="ListParagraph"/>
        <w:autoSpaceDE w:val="0"/>
        <w:autoSpaceDN w:val="0"/>
        <w:adjustRightInd w:val="0"/>
        <w:spacing w:after="0" w:line="240" w:lineRule="auto"/>
        <w:rPr>
          <w:b/>
          <w:bCs/>
        </w:rPr>
      </w:pPr>
    </w:p>
    <w:p w:rsidR="0023422A" w:rsidRPr="00CA0AE3" w:rsidRDefault="00E06F6C" w:rsidP="0051152A">
      <w:pPr>
        <w:pStyle w:val="ListParagraph"/>
        <w:numPr>
          <w:ilvl w:val="0"/>
          <w:numId w:val="33"/>
        </w:numPr>
        <w:autoSpaceDE w:val="0"/>
        <w:autoSpaceDN w:val="0"/>
        <w:adjustRightInd w:val="0"/>
        <w:spacing w:after="0" w:line="240" w:lineRule="auto"/>
        <w:rPr>
          <w:b/>
          <w:bCs/>
        </w:rPr>
      </w:pPr>
      <w:r w:rsidRPr="00CA0AE3">
        <w:rPr>
          <w:b/>
        </w:rPr>
        <w:t>PREFACE</w:t>
      </w:r>
    </w:p>
    <w:p w:rsidR="008F7062" w:rsidRPr="00CA0AE3" w:rsidRDefault="008F7062" w:rsidP="0074511A">
      <w:pPr>
        <w:pStyle w:val="ListParagraph"/>
        <w:spacing w:after="0" w:line="240" w:lineRule="auto"/>
        <w:ind w:left="0"/>
        <w:jc w:val="both"/>
        <w:rPr>
          <w:b/>
        </w:rPr>
      </w:pPr>
    </w:p>
    <w:p w:rsidR="00014AAA" w:rsidRPr="00CA0AE3" w:rsidRDefault="00723B4D" w:rsidP="00140063">
      <w:pPr>
        <w:pStyle w:val="ListParagraph"/>
        <w:numPr>
          <w:ilvl w:val="1"/>
          <w:numId w:val="8"/>
        </w:numPr>
        <w:autoSpaceDE w:val="0"/>
        <w:autoSpaceDN w:val="0"/>
        <w:adjustRightInd w:val="0"/>
        <w:spacing w:after="0" w:line="240" w:lineRule="auto"/>
        <w:jc w:val="both"/>
      </w:pPr>
      <w:r w:rsidRPr="00CA0AE3">
        <w:rPr>
          <w:b/>
          <w:bCs/>
        </w:rPr>
        <w:t xml:space="preserve">MassHealth Medicaid Section 1115 Demonstration Waiver </w:t>
      </w:r>
    </w:p>
    <w:p w:rsidR="00723B4D" w:rsidRPr="00CA0AE3" w:rsidRDefault="00723B4D" w:rsidP="00140063">
      <w:pPr>
        <w:pStyle w:val="ListParagraph"/>
        <w:autoSpaceDE w:val="0"/>
        <w:autoSpaceDN w:val="0"/>
        <w:adjustRightInd w:val="0"/>
        <w:spacing w:after="0" w:line="240" w:lineRule="auto"/>
        <w:jc w:val="both"/>
      </w:pPr>
      <w:r w:rsidRPr="00CA0AE3">
        <w:t>This Attachment</w:t>
      </w:r>
      <w:r w:rsidR="00E06F6C" w:rsidRPr="00CA0AE3">
        <w:t xml:space="preserve"> </w:t>
      </w:r>
      <w:r w:rsidR="008D3CB4" w:rsidRPr="00CA0AE3">
        <w:t>K</w:t>
      </w:r>
      <w:r w:rsidRPr="00CA0AE3">
        <w:t xml:space="preserve">, </w:t>
      </w:r>
      <w:r w:rsidRPr="00CA0AE3">
        <w:rPr>
          <w:rFonts w:eastAsia="Times New Roman"/>
        </w:rPr>
        <w:t>Public Hospital Transformation and Incentive Initiatives</w:t>
      </w:r>
      <w:r w:rsidRPr="00CA0AE3">
        <w:t xml:space="preserve"> (PHTII) Protocol, applies to the extension period of the Centers for Medicare &amp; Medicaid Servic</w:t>
      </w:r>
      <w:r w:rsidR="00140063" w:rsidRPr="00CA0AE3">
        <w:t>es (CMS) approved section 1115 d</w:t>
      </w:r>
      <w:r w:rsidRPr="00CA0AE3">
        <w:t>emonstration waiver, entit</w:t>
      </w:r>
      <w:r w:rsidR="00140063" w:rsidRPr="00CA0AE3">
        <w:t>led MassHealth (11-W-00030/1) (d</w:t>
      </w:r>
      <w:r w:rsidRPr="00CA0AE3">
        <w:t>emonstration) from July 1, 201</w:t>
      </w:r>
      <w:r w:rsidR="00E51013" w:rsidRPr="00CA0AE3">
        <w:t>7</w:t>
      </w:r>
      <w:r w:rsidRPr="00CA0AE3">
        <w:t xml:space="preserve"> through June 30, 20</w:t>
      </w:r>
      <w:r w:rsidR="00E51013" w:rsidRPr="00CA0AE3">
        <w:t>22</w:t>
      </w:r>
      <w:r w:rsidRPr="00CA0AE3">
        <w:t xml:space="preserve"> (DY</w:t>
      </w:r>
      <w:r w:rsidR="00F27698" w:rsidRPr="00CA0AE3">
        <w:t xml:space="preserve"> </w:t>
      </w:r>
      <w:r w:rsidR="00E51013" w:rsidRPr="00CA0AE3">
        <w:t>21</w:t>
      </w:r>
      <w:r w:rsidRPr="00CA0AE3">
        <w:t xml:space="preserve"> through DY</w:t>
      </w:r>
      <w:r w:rsidR="00F27698" w:rsidRPr="00CA0AE3">
        <w:t xml:space="preserve"> </w:t>
      </w:r>
      <w:r w:rsidRPr="00CA0AE3">
        <w:t>2</w:t>
      </w:r>
      <w:r w:rsidR="00E51013" w:rsidRPr="00CA0AE3">
        <w:t>5</w:t>
      </w:r>
      <w:r w:rsidRPr="00CA0AE3">
        <w:t>)</w:t>
      </w:r>
      <w:r w:rsidR="00DA726C" w:rsidRPr="00CA0AE3">
        <w:t>,</w:t>
      </w:r>
      <w:r w:rsidRPr="00CA0AE3">
        <w:t xml:space="preserve"> as set forth in Attachment E</w:t>
      </w:r>
      <w:r w:rsidR="00E17A9C" w:rsidRPr="00CA0AE3">
        <w:t xml:space="preserve"> and STC </w:t>
      </w:r>
      <w:r w:rsidR="00615147" w:rsidRPr="00CA0AE3">
        <w:t>56</w:t>
      </w:r>
      <w:r w:rsidRPr="00CA0AE3">
        <w:t xml:space="preserve">. </w:t>
      </w:r>
    </w:p>
    <w:p w:rsidR="009D2814" w:rsidRPr="00CA0AE3" w:rsidRDefault="009D2814" w:rsidP="0074511A">
      <w:pPr>
        <w:autoSpaceDE w:val="0"/>
        <w:autoSpaceDN w:val="0"/>
        <w:adjustRightInd w:val="0"/>
        <w:spacing w:after="0" w:line="240" w:lineRule="auto"/>
        <w:jc w:val="both"/>
      </w:pPr>
    </w:p>
    <w:p w:rsidR="00014AAA" w:rsidRPr="00CA0AE3" w:rsidRDefault="006873C7" w:rsidP="00140063">
      <w:pPr>
        <w:pStyle w:val="ListParagraph"/>
        <w:numPr>
          <w:ilvl w:val="1"/>
          <w:numId w:val="8"/>
        </w:numPr>
        <w:autoSpaceDE w:val="0"/>
        <w:autoSpaceDN w:val="0"/>
        <w:adjustRightInd w:val="0"/>
        <w:spacing w:after="0" w:line="240" w:lineRule="auto"/>
        <w:jc w:val="both"/>
      </w:pPr>
      <w:r w:rsidRPr="00CA0AE3">
        <w:rPr>
          <w:rFonts w:eastAsia="Times New Roman"/>
          <w:b/>
        </w:rPr>
        <w:t>Public Hospital</w:t>
      </w:r>
      <w:r w:rsidR="009D2814" w:rsidRPr="00CA0AE3">
        <w:rPr>
          <w:rFonts w:eastAsia="Times New Roman"/>
          <w:b/>
        </w:rPr>
        <w:t xml:space="preserve"> </w:t>
      </w:r>
      <w:r w:rsidR="00D83E50" w:rsidRPr="00CA0AE3">
        <w:rPr>
          <w:rFonts w:eastAsia="Times New Roman"/>
          <w:b/>
        </w:rPr>
        <w:t xml:space="preserve">Transformation </w:t>
      </w:r>
      <w:r w:rsidR="0044072A" w:rsidRPr="00CA0AE3">
        <w:rPr>
          <w:rFonts w:eastAsia="Times New Roman"/>
          <w:b/>
        </w:rPr>
        <w:t>and</w:t>
      </w:r>
      <w:r w:rsidR="00DA726C" w:rsidRPr="00CA0AE3">
        <w:rPr>
          <w:rFonts w:eastAsia="Times New Roman"/>
          <w:b/>
        </w:rPr>
        <w:t xml:space="preserve"> </w:t>
      </w:r>
      <w:r w:rsidR="009D2814" w:rsidRPr="00CA0AE3">
        <w:rPr>
          <w:rFonts w:eastAsia="Times New Roman"/>
          <w:b/>
        </w:rPr>
        <w:t>Incentive Initiative</w:t>
      </w:r>
      <w:r w:rsidR="00D83E50" w:rsidRPr="00CA0AE3">
        <w:rPr>
          <w:rFonts w:eastAsia="Times New Roman"/>
          <w:b/>
        </w:rPr>
        <w:t>s</w:t>
      </w:r>
      <w:r w:rsidR="009D2814" w:rsidRPr="00CA0AE3">
        <w:rPr>
          <w:b/>
          <w:bCs/>
        </w:rPr>
        <w:t xml:space="preserve"> (PH</w:t>
      </w:r>
      <w:r w:rsidR="0044072A" w:rsidRPr="00CA0AE3">
        <w:rPr>
          <w:b/>
          <w:bCs/>
        </w:rPr>
        <w:t>T</w:t>
      </w:r>
      <w:r w:rsidR="009D2814" w:rsidRPr="00CA0AE3">
        <w:rPr>
          <w:b/>
          <w:bCs/>
        </w:rPr>
        <w:t>II)</w:t>
      </w:r>
    </w:p>
    <w:p w:rsidR="000A4D18" w:rsidRPr="00CA0AE3" w:rsidRDefault="00614116" w:rsidP="0051152A">
      <w:pPr>
        <w:pStyle w:val="ListParagraph"/>
        <w:autoSpaceDE w:val="0"/>
        <w:autoSpaceDN w:val="0"/>
        <w:adjustRightInd w:val="0"/>
        <w:spacing w:after="0" w:line="240" w:lineRule="auto"/>
        <w:jc w:val="both"/>
      </w:pPr>
      <w:r w:rsidRPr="00CA0AE3">
        <w:t xml:space="preserve">STC </w:t>
      </w:r>
      <w:r w:rsidR="00615147" w:rsidRPr="00CA0AE3">
        <w:t>56</w:t>
      </w:r>
      <w:r w:rsidR="00723B4D" w:rsidRPr="00CA0AE3">
        <w:t xml:space="preserve"> of the </w:t>
      </w:r>
      <w:r w:rsidR="00140063" w:rsidRPr="00CA0AE3">
        <w:t>d</w:t>
      </w:r>
      <w:r w:rsidR="00723B4D" w:rsidRPr="00CA0AE3">
        <w:t xml:space="preserve">emonstration authorizes the Commonwealth to implement the </w:t>
      </w:r>
      <w:r w:rsidR="00723B4D" w:rsidRPr="00CA0AE3">
        <w:rPr>
          <w:rFonts w:eastAsia="Times New Roman"/>
        </w:rPr>
        <w:t xml:space="preserve">Public Hospital </w:t>
      </w:r>
      <w:r w:rsidRPr="00CA0AE3">
        <w:rPr>
          <w:rFonts w:eastAsia="Times New Roman"/>
        </w:rPr>
        <w:t>Transformation</w:t>
      </w:r>
      <w:r w:rsidR="00723B4D" w:rsidRPr="00CA0AE3">
        <w:rPr>
          <w:rFonts w:eastAsia="Times New Roman"/>
        </w:rPr>
        <w:t xml:space="preserve"> and Incentive Initiatives (P</w:t>
      </w:r>
      <w:r w:rsidR="0044072A" w:rsidRPr="00CA0AE3">
        <w:rPr>
          <w:rFonts w:eastAsia="Times New Roman"/>
        </w:rPr>
        <w:t>HT</w:t>
      </w:r>
      <w:r w:rsidR="00723B4D" w:rsidRPr="00CA0AE3">
        <w:rPr>
          <w:rFonts w:eastAsia="Times New Roman"/>
        </w:rPr>
        <w:t>II)</w:t>
      </w:r>
      <w:r w:rsidR="00723B4D" w:rsidRPr="00CA0AE3">
        <w:t xml:space="preserve"> funded through the Safety Net Care Pool (SNCP). </w:t>
      </w:r>
    </w:p>
    <w:p w:rsidR="000A4D18" w:rsidRPr="00CA0AE3" w:rsidRDefault="000A4D18" w:rsidP="0051152A">
      <w:pPr>
        <w:pStyle w:val="ListParagraph"/>
        <w:autoSpaceDE w:val="0"/>
        <w:autoSpaceDN w:val="0"/>
        <w:adjustRightInd w:val="0"/>
        <w:spacing w:after="0" w:line="240" w:lineRule="auto"/>
        <w:jc w:val="both"/>
      </w:pPr>
    </w:p>
    <w:p w:rsidR="000A4D18" w:rsidRPr="00CA0AE3" w:rsidRDefault="000A4D18" w:rsidP="000A4D18">
      <w:pPr>
        <w:pStyle w:val="ListParagraph"/>
        <w:autoSpaceDE w:val="0"/>
        <w:autoSpaceDN w:val="0"/>
        <w:adjustRightInd w:val="0"/>
        <w:spacing w:after="0" w:line="240" w:lineRule="auto"/>
        <w:jc w:val="both"/>
      </w:pPr>
      <w:r w:rsidRPr="00CA0AE3">
        <w:t xml:space="preserve">PHTII payments are intended to support the public hospital system for improvements in delivery systems and payment models that support the simultaneous pursuit of improving the experience of care, improving the health of populations, and reducing per capita costs of health care. </w:t>
      </w:r>
    </w:p>
    <w:p w:rsidR="000A4D18" w:rsidRPr="00CA0AE3" w:rsidRDefault="000A4D18" w:rsidP="000A4D18">
      <w:pPr>
        <w:spacing w:after="0" w:line="240" w:lineRule="auto"/>
        <w:jc w:val="both"/>
      </w:pPr>
    </w:p>
    <w:p w:rsidR="000A4D18" w:rsidRPr="00CA0AE3" w:rsidRDefault="000A4D18" w:rsidP="000A4D18">
      <w:pPr>
        <w:spacing w:after="0" w:line="240" w:lineRule="auto"/>
        <w:ind w:left="720"/>
        <w:jc w:val="both"/>
      </w:pPr>
      <w:r w:rsidRPr="00CA0AE3">
        <w:t>The Public Hospital will be required to develop and implement initiatives and activities</w:t>
      </w:r>
      <w:r w:rsidR="006D69CD" w:rsidRPr="00CA0AE3">
        <w:t xml:space="preserve">, and to achieve performance metrics, as </w:t>
      </w:r>
      <w:r w:rsidR="00337E94" w:rsidRPr="00CA0AE3">
        <w:t>described and approved</w:t>
      </w:r>
      <w:r w:rsidRPr="00CA0AE3">
        <w:t xml:space="preserve"> in this PHTII Protocol in order to receive the incentive payments. </w:t>
      </w:r>
    </w:p>
    <w:p w:rsidR="000A4D18" w:rsidRPr="00CA0AE3" w:rsidRDefault="000A4D18" w:rsidP="000A4D18">
      <w:pPr>
        <w:spacing w:after="0" w:line="240" w:lineRule="auto"/>
        <w:ind w:left="720"/>
        <w:jc w:val="both"/>
      </w:pPr>
    </w:p>
    <w:p w:rsidR="000A4D18" w:rsidRPr="00CA0AE3" w:rsidRDefault="000A4D18" w:rsidP="000A4D18">
      <w:pPr>
        <w:spacing w:after="0" w:line="240" w:lineRule="auto"/>
        <w:ind w:left="720"/>
        <w:jc w:val="both"/>
      </w:pPr>
      <w:r w:rsidRPr="00CA0AE3">
        <w:t xml:space="preserve">In concert with the Commonwealth of Massachusetts’ MassHealth transition from fee-for-service models into integrated accountable, total cost of care models in this demonstration, a defined portion </w:t>
      </w:r>
      <w:proofErr w:type="gramStart"/>
      <w:r w:rsidRPr="00CA0AE3">
        <w:t>of</w:t>
      </w:r>
      <w:proofErr w:type="gramEnd"/>
      <w:r w:rsidRPr="00CA0AE3">
        <w:t xml:space="preserve"> PHTII funding will be aligned with accountability for Medicaid Accountable Care Organization (ACO) performance accountability for the</w:t>
      </w:r>
      <w:r w:rsidR="006D69CD" w:rsidRPr="00CA0AE3">
        <w:t xml:space="preserve"> public h</w:t>
      </w:r>
      <w:r w:rsidRPr="00CA0AE3">
        <w:t xml:space="preserve">ospital’s </w:t>
      </w:r>
      <w:r w:rsidR="00615147" w:rsidRPr="00CA0AE3">
        <w:t>MassHealth</w:t>
      </w:r>
      <w:r w:rsidRPr="00CA0AE3">
        <w:t xml:space="preserve"> patient panel utilizing the Delivery System Reform Incentive Program (DSRIP) measures.  </w:t>
      </w:r>
    </w:p>
    <w:p w:rsidR="000A4D18" w:rsidRPr="00CA0AE3" w:rsidRDefault="000A4D18" w:rsidP="0051152A">
      <w:pPr>
        <w:pStyle w:val="ListParagraph"/>
        <w:autoSpaceDE w:val="0"/>
        <w:autoSpaceDN w:val="0"/>
        <w:adjustRightInd w:val="0"/>
        <w:spacing w:after="0" w:line="240" w:lineRule="auto"/>
        <w:jc w:val="both"/>
        <w:rPr>
          <w:rFonts w:eastAsia="Times New Roman"/>
        </w:rPr>
      </w:pPr>
    </w:p>
    <w:p w:rsidR="0051152A" w:rsidRPr="00CA0AE3" w:rsidRDefault="000A4D18" w:rsidP="0051152A">
      <w:pPr>
        <w:pStyle w:val="ListParagraph"/>
        <w:autoSpaceDE w:val="0"/>
        <w:autoSpaceDN w:val="0"/>
        <w:adjustRightInd w:val="0"/>
        <w:spacing w:after="0" w:line="240" w:lineRule="auto"/>
        <w:jc w:val="both"/>
        <w:rPr>
          <w:rFonts w:eastAsia="Times New Roman"/>
        </w:rPr>
      </w:pPr>
      <w:r w:rsidRPr="00CA0AE3">
        <w:rPr>
          <w:rFonts w:eastAsia="Times New Roman"/>
        </w:rPr>
        <w:t xml:space="preserve">In addition, </w:t>
      </w:r>
      <w:r w:rsidR="0051152A" w:rsidRPr="00CA0AE3">
        <w:rPr>
          <w:rFonts w:eastAsia="Times New Roman"/>
        </w:rPr>
        <w:t xml:space="preserve">PHTII transformation initiatives will include a focus on behavioral health integration initiatives as well as other approved initiatives that support </w:t>
      </w:r>
      <w:r w:rsidR="004B2370" w:rsidRPr="00CA0AE3">
        <w:rPr>
          <w:rFonts w:eastAsia="Times New Roman"/>
        </w:rPr>
        <w:t>the p</w:t>
      </w:r>
      <w:r w:rsidR="00E020B9" w:rsidRPr="00CA0AE3">
        <w:rPr>
          <w:rFonts w:eastAsia="Times New Roman"/>
        </w:rPr>
        <w:t xml:space="preserve">ublic </w:t>
      </w:r>
      <w:r w:rsidR="004B2370" w:rsidRPr="00CA0AE3">
        <w:rPr>
          <w:rFonts w:eastAsia="Times New Roman"/>
        </w:rPr>
        <w:t>h</w:t>
      </w:r>
      <w:r w:rsidR="00E020B9" w:rsidRPr="00CA0AE3">
        <w:rPr>
          <w:rFonts w:eastAsia="Times New Roman"/>
        </w:rPr>
        <w:t>ospital’s</w:t>
      </w:r>
      <w:r w:rsidR="0051152A" w:rsidRPr="00CA0AE3">
        <w:rPr>
          <w:rFonts w:eastAsia="Times New Roman"/>
        </w:rPr>
        <w:t xml:space="preserve"> ongoing transformation efforts to ensure high-quality health care services for the Medicaid and safety net populations it serves. These initiatives may include:</w:t>
      </w:r>
    </w:p>
    <w:p w:rsidR="0051152A" w:rsidRPr="00CA0AE3" w:rsidRDefault="0051152A" w:rsidP="0051152A">
      <w:pPr>
        <w:pStyle w:val="ListParagraph"/>
        <w:autoSpaceDE w:val="0"/>
        <w:autoSpaceDN w:val="0"/>
        <w:adjustRightInd w:val="0"/>
        <w:spacing w:after="0" w:line="240" w:lineRule="auto"/>
        <w:jc w:val="both"/>
        <w:rPr>
          <w:rFonts w:eastAsia="Times New Roman"/>
        </w:rPr>
      </w:pPr>
    </w:p>
    <w:p w:rsidR="00C96537" w:rsidRPr="00CA0AE3" w:rsidRDefault="00C96537" w:rsidP="00C96537">
      <w:pPr>
        <w:pStyle w:val="ListParagraph"/>
        <w:numPr>
          <w:ilvl w:val="0"/>
          <w:numId w:val="38"/>
        </w:numPr>
        <w:spacing w:after="0" w:line="240" w:lineRule="auto"/>
        <w:jc w:val="both"/>
      </w:pPr>
      <w:r w:rsidRPr="00CA0AE3">
        <w:t>Integration of Behavioral Health and Primary Care</w:t>
      </w:r>
      <w:r w:rsidR="009C3DFB" w:rsidRPr="00CA0AE3">
        <w:t>;</w:t>
      </w:r>
      <w:r w:rsidRPr="00CA0AE3" w:rsidDel="00601447">
        <w:t xml:space="preserve"> </w:t>
      </w:r>
    </w:p>
    <w:p w:rsidR="00C96537" w:rsidRPr="00CA0AE3" w:rsidRDefault="00C96537" w:rsidP="00C96537">
      <w:pPr>
        <w:pStyle w:val="ListParagraph"/>
        <w:numPr>
          <w:ilvl w:val="0"/>
          <w:numId w:val="38"/>
        </w:numPr>
        <w:spacing w:after="0" w:line="240" w:lineRule="auto"/>
        <w:jc w:val="both"/>
      </w:pPr>
      <w:r w:rsidRPr="00CA0AE3">
        <w:t>Comprehensive Systems for Treating Mental Health &amp; Substance Use (MHSU) Conditions</w:t>
      </w:r>
      <w:r w:rsidR="009C3DFB" w:rsidRPr="00CA0AE3">
        <w:t>;</w:t>
      </w:r>
    </w:p>
    <w:p w:rsidR="00C96537" w:rsidRPr="00CA0AE3" w:rsidRDefault="00C96537" w:rsidP="00C96537">
      <w:pPr>
        <w:pStyle w:val="ListParagraph"/>
        <w:numPr>
          <w:ilvl w:val="0"/>
          <w:numId w:val="38"/>
        </w:numPr>
        <w:spacing w:after="0" w:line="240" w:lineRule="auto"/>
        <w:jc w:val="both"/>
      </w:pPr>
      <w:r w:rsidRPr="00CA0AE3">
        <w:t>Referral Management and Integrated Care Management</w:t>
      </w:r>
      <w:r w:rsidR="009C3DFB" w:rsidRPr="00CA0AE3">
        <w:t>;</w:t>
      </w:r>
    </w:p>
    <w:p w:rsidR="00C96537" w:rsidRPr="00CA0AE3" w:rsidRDefault="00C96537" w:rsidP="00C96537">
      <w:pPr>
        <w:pStyle w:val="ListParagraph"/>
        <w:numPr>
          <w:ilvl w:val="0"/>
          <w:numId w:val="38"/>
        </w:numPr>
        <w:tabs>
          <w:tab w:val="left" w:pos="1080"/>
          <w:tab w:val="left" w:pos="1440"/>
        </w:tabs>
        <w:spacing w:after="0" w:line="240" w:lineRule="auto"/>
        <w:jc w:val="both"/>
      </w:pPr>
      <w:r w:rsidRPr="00CA0AE3">
        <w:t>Evidence-Based Practices for Medical M</w:t>
      </w:r>
      <w:r w:rsidR="009C3DFB" w:rsidRPr="00CA0AE3">
        <w:t>anagement of Chronic Conditions;</w:t>
      </w:r>
      <w:r w:rsidR="0055658F" w:rsidRPr="00CA0AE3">
        <w:t xml:space="preserve"> and/or</w:t>
      </w:r>
    </w:p>
    <w:p w:rsidR="00C96537" w:rsidRPr="00CA0AE3" w:rsidRDefault="00C96537" w:rsidP="00C96537">
      <w:pPr>
        <w:pStyle w:val="ListParagraph"/>
        <w:numPr>
          <w:ilvl w:val="0"/>
          <w:numId w:val="38"/>
        </w:numPr>
        <w:tabs>
          <w:tab w:val="left" w:pos="1080"/>
          <w:tab w:val="left" w:pos="1440"/>
        </w:tabs>
        <w:spacing w:after="0" w:line="240" w:lineRule="auto"/>
        <w:jc w:val="both"/>
      </w:pPr>
      <w:r w:rsidRPr="00CA0AE3">
        <w:t>Community Empowered Population Health Initiative</w:t>
      </w:r>
      <w:r w:rsidR="00615147" w:rsidRPr="00CA0AE3">
        <w:t xml:space="preserve"> (Not Selected)</w:t>
      </w:r>
      <w:r w:rsidR="0055658F" w:rsidRPr="00CA0AE3">
        <w:t>.</w:t>
      </w:r>
    </w:p>
    <w:p w:rsidR="00EA31E2" w:rsidRPr="00CA0AE3" w:rsidRDefault="00EA31E2" w:rsidP="00BD4DEA">
      <w:pPr>
        <w:tabs>
          <w:tab w:val="left" w:pos="1080"/>
          <w:tab w:val="left" w:pos="1440"/>
        </w:tabs>
        <w:spacing w:after="0" w:line="240" w:lineRule="auto"/>
        <w:jc w:val="both"/>
      </w:pPr>
    </w:p>
    <w:p w:rsidR="00D166BF" w:rsidRPr="00CA0AE3" w:rsidRDefault="006D69CD" w:rsidP="00BD4DEA">
      <w:pPr>
        <w:spacing w:after="0" w:line="240" w:lineRule="auto"/>
        <w:ind w:left="720"/>
        <w:jc w:val="both"/>
      </w:pPr>
      <w:r w:rsidRPr="00CA0AE3">
        <w:t>T</w:t>
      </w:r>
      <w:r w:rsidR="00D166BF" w:rsidRPr="00CA0AE3">
        <w:t xml:space="preserve">hese initiatives </w:t>
      </w:r>
      <w:r w:rsidR="00337E94" w:rsidRPr="00CA0AE3">
        <w:t xml:space="preserve">may </w:t>
      </w:r>
      <w:r w:rsidR="00D166BF" w:rsidRPr="00CA0AE3">
        <w:t xml:space="preserve">complement or enhance other federal initiatives in which a hospital may be participating, but they must not duplicate the exact same activities for which </w:t>
      </w:r>
      <w:r w:rsidRPr="00CA0AE3">
        <w:t>the public h</w:t>
      </w:r>
      <w:r w:rsidR="00337E94" w:rsidRPr="00CA0AE3">
        <w:t>ospital</w:t>
      </w:r>
      <w:r w:rsidR="00D166BF" w:rsidRPr="00CA0AE3">
        <w:t xml:space="preserve"> receives specific funding by the U.S Department of Health and Human Services</w:t>
      </w:r>
      <w:r w:rsidRPr="00CA0AE3">
        <w:t xml:space="preserve"> or any other state or federal funding source</w:t>
      </w:r>
      <w:r w:rsidR="00D166BF" w:rsidRPr="00CA0AE3">
        <w:t xml:space="preserve">. </w:t>
      </w:r>
      <w:r w:rsidR="00D166BF" w:rsidRPr="00CA0AE3">
        <w:tab/>
      </w:r>
    </w:p>
    <w:p w:rsidR="00D166BF" w:rsidRPr="00CA0AE3" w:rsidRDefault="00D166BF" w:rsidP="00140063">
      <w:pPr>
        <w:spacing w:after="0" w:line="240" w:lineRule="auto"/>
        <w:jc w:val="both"/>
      </w:pPr>
    </w:p>
    <w:p w:rsidR="00B7359E" w:rsidRPr="00CA0AE3" w:rsidRDefault="00D166BF" w:rsidP="00140063">
      <w:pPr>
        <w:pStyle w:val="ListParagraph"/>
        <w:autoSpaceDE w:val="0"/>
        <w:autoSpaceDN w:val="0"/>
        <w:adjustRightInd w:val="0"/>
        <w:spacing w:after="0" w:line="240" w:lineRule="auto"/>
        <w:jc w:val="both"/>
      </w:pPr>
      <w:r w:rsidRPr="00CA0AE3">
        <w:t xml:space="preserve">Pursuant to STC </w:t>
      </w:r>
      <w:r w:rsidR="00615147" w:rsidRPr="00CA0AE3">
        <w:t>56</w:t>
      </w:r>
      <w:r w:rsidRPr="00CA0AE3">
        <w:t xml:space="preserve">, </w:t>
      </w:r>
      <w:r w:rsidRPr="00CA0AE3">
        <w:rPr>
          <w:rFonts w:eastAsia="Times New Roman"/>
        </w:rPr>
        <w:t xml:space="preserve">PHTII </w:t>
      </w:r>
      <w:r w:rsidRPr="00CA0AE3">
        <w:t>payments are not direct reimbursement or payment for services, should not be considered patient care revenue, will not be offset against other Medicaid reimbursements to a hospital system, and will not be counted as payments when calculating hospital-specific cost limits</w:t>
      </w:r>
      <w:r w:rsidR="00337E94" w:rsidRPr="00CA0AE3">
        <w:t xml:space="preserve"> under the Safety Net Care Pool Uncompensated Care Cost Limit Protocol</w:t>
      </w:r>
      <w:r w:rsidRPr="00CA0AE3">
        <w:t>.</w:t>
      </w:r>
    </w:p>
    <w:p w:rsidR="002A48A6" w:rsidRPr="00CA0AE3" w:rsidRDefault="002A48A6" w:rsidP="0074511A">
      <w:pPr>
        <w:spacing w:after="0" w:line="240" w:lineRule="auto"/>
        <w:jc w:val="both"/>
      </w:pPr>
    </w:p>
    <w:p w:rsidR="008F7062" w:rsidRPr="00CA0AE3" w:rsidRDefault="000E1D88" w:rsidP="0074511A">
      <w:pPr>
        <w:pStyle w:val="Heading1"/>
        <w:numPr>
          <w:ilvl w:val="1"/>
          <w:numId w:val="8"/>
        </w:numPr>
        <w:jc w:val="both"/>
      </w:pPr>
      <w:r w:rsidRPr="00CA0AE3">
        <w:lastRenderedPageBreak/>
        <w:t xml:space="preserve">PHTII </w:t>
      </w:r>
      <w:r w:rsidR="00A714B4" w:rsidRPr="00CA0AE3">
        <w:t xml:space="preserve">Eligibility </w:t>
      </w:r>
    </w:p>
    <w:p w:rsidR="00CC003A" w:rsidRPr="00CA0AE3" w:rsidRDefault="00614116" w:rsidP="00140063">
      <w:pPr>
        <w:pStyle w:val="ListParagraph"/>
        <w:spacing w:after="0" w:line="240" w:lineRule="auto"/>
        <w:jc w:val="both"/>
      </w:pPr>
      <w:r w:rsidRPr="00CA0AE3">
        <w:rPr>
          <w:lang w:eastAsia="ja-JP"/>
        </w:rPr>
        <w:t xml:space="preserve">STC </w:t>
      </w:r>
      <w:r w:rsidR="00615147" w:rsidRPr="00CA0AE3">
        <w:rPr>
          <w:lang w:eastAsia="ja-JP"/>
        </w:rPr>
        <w:t>56</w:t>
      </w:r>
      <w:r w:rsidRPr="00CA0AE3">
        <w:rPr>
          <w:lang w:eastAsia="ja-JP"/>
        </w:rPr>
        <w:t xml:space="preserve"> </w:t>
      </w:r>
      <w:r w:rsidR="00723B4D" w:rsidRPr="00CA0AE3">
        <w:t xml:space="preserve">describes the eligibility for PHTII. </w:t>
      </w:r>
      <w:r w:rsidR="005F27B0" w:rsidRPr="00CA0AE3">
        <w:t xml:space="preserve">Cambridge Public Health Commission d/b/a Cambridge Health Alliance (CHA) </w:t>
      </w:r>
      <w:r w:rsidR="00DE07D1" w:rsidRPr="00CA0AE3">
        <w:t xml:space="preserve">(hereby referred to as Public Hospital) </w:t>
      </w:r>
      <w:r w:rsidR="00723B4D" w:rsidRPr="00CA0AE3">
        <w:t>is the only acute-care</w:t>
      </w:r>
      <w:r w:rsidR="00971C2D" w:rsidRPr="00CA0AE3">
        <w:t xml:space="preserve">, </w:t>
      </w:r>
      <w:r w:rsidR="00337E94" w:rsidRPr="00CA0AE3">
        <w:t xml:space="preserve">non-federal, </w:t>
      </w:r>
      <w:r w:rsidR="00971C2D" w:rsidRPr="00CA0AE3">
        <w:t>non-state</w:t>
      </w:r>
      <w:r w:rsidR="00723B4D" w:rsidRPr="00CA0AE3">
        <w:t xml:space="preserve"> Public Hospital in the Commonwealth and is eligible to earn </w:t>
      </w:r>
      <w:r w:rsidR="00E17A9C" w:rsidRPr="00CA0AE3">
        <w:t xml:space="preserve">PHTII </w:t>
      </w:r>
      <w:r w:rsidR="00723B4D" w:rsidRPr="00CA0AE3">
        <w:t>payments outlined in Attachment E.</w:t>
      </w:r>
    </w:p>
    <w:p w:rsidR="000E1D88" w:rsidRPr="00CA0AE3" w:rsidRDefault="000E1D88" w:rsidP="0074511A">
      <w:pPr>
        <w:pStyle w:val="ListParagraph"/>
        <w:suppressAutoHyphens/>
        <w:spacing w:after="0" w:line="240" w:lineRule="auto"/>
        <w:ind w:left="0"/>
        <w:jc w:val="both"/>
        <w:outlineLvl w:val="1"/>
      </w:pPr>
    </w:p>
    <w:p w:rsidR="005E2869" w:rsidRPr="00CA0AE3" w:rsidRDefault="00654221" w:rsidP="00140063">
      <w:pPr>
        <w:pStyle w:val="ListParagraph"/>
        <w:numPr>
          <w:ilvl w:val="1"/>
          <w:numId w:val="10"/>
        </w:numPr>
        <w:spacing w:after="0" w:line="240" w:lineRule="auto"/>
        <w:jc w:val="both"/>
        <w:rPr>
          <w:rFonts w:eastAsia="Times New Roman"/>
          <w:b/>
        </w:rPr>
      </w:pPr>
      <w:r w:rsidRPr="00CA0AE3">
        <w:rPr>
          <w:rFonts w:eastAsia="Times New Roman"/>
          <w:b/>
        </w:rPr>
        <w:t>PHT</w:t>
      </w:r>
      <w:r w:rsidR="00614116" w:rsidRPr="00CA0AE3">
        <w:rPr>
          <w:rFonts w:eastAsia="Times New Roman"/>
          <w:b/>
        </w:rPr>
        <w:t>II</w:t>
      </w:r>
      <w:r w:rsidR="00014AAA" w:rsidRPr="00CA0AE3">
        <w:rPr>
          <w:rFonts w:eastAsia="Times New Roman"/>
          <w:b/>
        </w:rPr>
        <w:t xml:space="preserve"> </w:t>
      </w:r>
      <w:r w:rsidR="00501C24" w:rsidRPr="00CA0AE3">
        <w:rPr>
          <w:rFonts w:eastAsia="Times New Roman"/>
          <w:b/>
        </w:rPr>
        <w:t>Protocol</w:t>
      </w:r>
      <w:r w:rsidR="00EF4557" w:rsidRPr="00CA0AE3">
        <w:rPr>
          <w:rFonts w:eastAsia="Times New Roman"/>
          <w:b/>
        </w:rPr>
        <w:t xml:space="preserve"> </w:t>
      </w:r>
    </w:p>
    <w:p w:rsidR="00E649D5" w:rsidRPr="00CA0AE3" w:rsidRDefault="00D166BF" w:rsidP="00140063">
      <w:pPr>
        <w:spacing w:after="0" w:line="240" w:lineRule="auto"/>
        <w:ind w:left="720"/>
        <w:jc w:val="both"/>
        <w:rPr>
          <w:rFonts w:eastAsia="Times New Roman"/>
        </w:rPr>
      </w:pPr>
      <w:r w:rsidRPr="00CA0AE3">
        <w:rPr>
          <w:lang w:eastAsia="ja-JP"/>
        </w:rPr>
        <w:t xml:space="preserve">In </w:t>
      </w:r>
      <w:r w:rsidRPr="00CA0AE3">
        <w:t>accordance</w:t>
      </w:r>
      <w:r w:rsidRPr="00CA0AE3">
        <w:rPr>
          <w:lang w:eastAsia="ja-JP"/>
        </w:rPr>
        <w:t xml:space="preserve"> with STC </w:t>
      </w:r>
      <w:r w:rsidR="00615147" w:rsidRPr="00CA0AE3">
        <w:rPr>
          <w:lang w:eastAsia="ja-JP"/>
        </w:rPr>
        <w:t>56</w:t>
      </w:r>
      <w:r w:rsidRPr="00CA0AE3">
        <w:rPr>
          <w:lang w:eastAsia="ja-JP"/>
        </w:rPr>
        <w:t xml:space="preserve">, </w:t>
      </w:r>
      <w:r w:rsidRPr="00CA0AE3">
        <w:rPr>
          <w:rFonts w:eastAsia="Times New Roman"/>
        </w:rPr>
        <w:t xml:space="preserve">Attachment </w:t>
      </w:r>
      <w:r w:rsidR="008D3CB4" w:rsidRPr="00CA0AE3">
        <w:rPr>
          <w:rFonts w:eastAsia="Times New Roman"/>
        </w:rPr>
        <w:t xml:space="preserve">K </w:t>
      </w:r>
      <w:r w:rsidRPr="00CA0AE3">
        <w:rPr>
          <w:rFonts w:eastAsia="Times New Roman"/>
        </w:rPr>
        <w:t xml:space="preserve">governs PHTII </w:t>
      </w:r>
      <w:r w:rsidR="00224FC8" w:rsidRPr="00CA0AE3">
        <w:rPr>
          <w:rFonts w:eastAsia="Times New Roman"/>
        </w:rPr>
        <w:t>initiative</w:t>
      </w:r>
      <w:r w:rsidRPr="00CA0AE3">
        <w:rPr>
          <w:rFonts w:eastAsia="Times New Roman"/>
        </w:rPr>
        <w:t xml:space="preserve">s, </w:t>
      </w:r>
      <w:r w:rsidRPr="00CA0AE3">
        <w:rPr>
          <w:lang w:eastAsia="ja-JP"/>
        </w:rPr>
        <w:t xml:space="preserve">guidelines, structure, and evaluation processes for reporting for payment, as </w:t>
      </w:r>
      <w:r w:rsidR="0014129C" w:rsidRPr="00CA0AE3">
        <w:rPr>
          <w:lang w:eastAsia="ja-JP"/>
        </w:rPr>
        <w:t>outlined in Section V</w:t>
      </w:r>
      <w:r w:rsidR="0014129C" w:rsidRPr="00CA0AE3">
        <w:rPr>
          <w:rFonts w:eastAsia="Times New Roman"/>
        </w:rPr>
        <w:t>.</w:t>
      </w:r>
      <w:r w:rsidR="00E649D5" w:rsidRPr="00CA0AE3">
        <w:rPr>
          <w:rFonts w:eastAsia="Times New Roman"/>
        </w:rPr>
        <w:t xml:space="preserve"> </w:t>
      </w:r>
    </w:p>
    <w:p w:rsidR="001B5D85" w:rsidRPr="00CA0AE3" w:rsidRDefault="001B5D85" w:rsidP="00140063">
      <w:pPr>
        <w:spacing w:after="0" w:line="240" w:lineRule="auto"/>
        <w:ind w:left="720"/>
        <w:jc w:val="both"/>
        <w:rPr>
          <w:rFonts w:eastAsia="Times New Roman"/>
        </w:rPr>
      </w:pPr>
    </w:p>
    <w:p w:rsidR="001B5D85" w:rsidRPr="00CA0AE3" w:rsidRDefault="001B5D85" w:rsidP="001B5D85">
      <w:pPr>
        <w:pStyle w:val="ListParagraph"/>
        <w:autoSpaceDE w:val="0"/>
        <w:autoSpaceDN w:val="0"/>
        <w:adjustRightInd w:val="0"/>
        <w:spacing w:after="0" w:line="240" w:lineRule="auto"/>
        <w:jc w:val="both"/>
      </w:pPr>
      <w:r w:rsidRPr="00CA0AE3">
        <w:t xml:space="preserve">Following approval of the PHTII protocol by CMS and throughout the </w:t>
      </w:r>
      <w:r w:rsidR="00EF1E62" w:rsidRPr="00CA0AE3">
        <w:t>d</w:t>
      </w:r>
      <w:r w:rsidRPr="00CA0AE3">
        <w:t xml:space="preserve">emonstration renewal period, </w:t>
      </w:r>
      <w:r w:rsidR="00D444D8" w:rsidRPr="00CA0AE3">
        <w:t>the Massachusetts Executive Office of Health and Human Services (</w:t>
      </w:r>
      <w:r w:rsidRPr="00CA0AE3">
        <w:t>EOHHS</w:t>
      </w:r>
      <w:r w:rsidR="00D444D8" w:rsidRPr="00CA0AE3">
        <w:t>)</w:t>
      </w:r>
      <w:r w:rsidRPr="00CA0AE3">
        <w:t xml:space="preserve"> may propose revisions to the PHTII protocol, in collaboration with the Public Hospital, to reflect modifications to any component of the final approved </w:t>
      </w:r>
      <w:r w:rsidR="00BF377F" w:rsidRPr="00CA0AE3">
        <w:t>protocol</w:t>
      </w:r>
      <w:r w:rsidRPr="00CA0AE3">
        <w:t xml:space="preserve">, including but not limited to </w:t>
      </w:r>
      <w:r w:rsidR="00BF377F" w:rsidRPr="00CA0AE3">
        <w:t>initiatives</w:t>
      </w:r>
      <w:r w:rsidRPr="00CA0AE3">
        <w:t xml:space="preserve">, measures, metrics, and data sources or to account for other unforeseen circumstances in the implementation of the PHTII program. CMS must render a decision on proposed PHTII protocol revisions within 30 </w:t>
      </w:r>
      <w:r w:rsidR="00EF1E62" w:rsidRPr="00CA0AE3">
        <w:t xml:space="preserve">business </w:t>
      </w:r>
      <w:r w:rsidRPr="00CA0AE3">
        <w:t>days of submission by EOHHS. Such revisions must not require a waiver amendment, provided that they comport with all applicable STC requirements.</w:t>
      </w:r>
    </w:p>
    <w:p w:rsidR="00E649D5" w:rsidRPr="00CA0AE3" w:rsidRDefault="00E649D5" w:rsidP="0074511A">
      <w:pPr>
        <w:pStyle w:val="ListParagraph"/>
        <w:spacing w:after="0" w:line="240" w:lineRule="auto"/>
        <w:ind w:left="0"/>
        <w:jc w:val="both"/>
        <w:rPr>
          <w:rFonts w:eastAsia="Times New Roman"/>
          <w:b/>
        </w:rPr>
      </w:pPr>
    </w:p>
    <w:p w:rsidR="00587787" w:rsidRPr="00CA0AE3" w:rsidRDefault="00201180" w:rsidP="004A7100">
      <w:pPr>
        <w:pStyle w:val="ListParagraph"/>
        <w:numPr>
          <w:ilvl w:val="0"/>
          <w:numId w:val="35"/>
        </w:numPr>
        <w:spacing w:after="0" w:line="240" w:lineRule="auto"/>
        <w:jc w:val="both"/>
        <w:rPr>
          <w:b/>
        </w:rPr>
      </w:pPr>
      <w:r w:rsidRPr="00CA0AE3">
        <w:rPr>
          <w:b/>
        </w:rPr>
        <w:t>DESCRIPTION OF PHTII TRANSFORMATION FOCUS AREAS</w:t>
      </w:r>
    </w:p>
    <w:p w:rsidR="00014AAA" w:rsidRPr="00CA0AE3" w:rsidRDefault="00014AAA" w:rsidP="0074511A">
      <w:pPr>
        <w:pStyle w:val="ListParagraph"/>
        <w:spacing w:after="0" w:line="240" w:lineRule="auto"/>
        <w:ind w:left="0"/>
        <w:jc w:val="both"/>
      </w:pPr>
    </w:p>
    <w:p w:rsidR="0068757D" w:rsidRPr="00CA0AE3" w:rsidRDefault="0068757D" w:rsidP="0068757D">
      <w:pPr>
        <w:pStyle w:val="ListParagraph"/>
        <w:numPr>
          <w:ilvl w:val="1"/>
          <w:numId w:val="10"/>
        </w:numPr>
        <w:spacing w:after="0" w:line="240" w:lineRule="auto"/>
        <w:jc w:val="both"/>
        <w:rPr>
          <w:rFonts w:eastAsia="Times New Roman"/>
          <w:b/>
        </w:rPr>
      </w:pPr>
      <w:r w:rsidRPr="00CA0AE3">
        <w:rPr>
          <w:rFonts w:eastAsia="Times New Roman"/>
          <w:b/>
        </w:rPr>
        <w:t>PHTII Focus Areas</w:t>
      </w:r>
    </w:p>
    <w:p w:rsidR="004B2370" w:rsidRPr="00CA0AE3" w:rsidRDefault="004B2370" w:rsidP="00BD4DEA">
      <w:pPr>
        <w:pStyle w:val="ListParagraph"/>
        <w:spacing w:after="0" w:line="240" w:lineRule="auto"/>
        <w:jc w:val="both"/>
      </w:pPr>
      <w:r w:rsidRPr="00CA0AE3">
        <w:t xml:space="preserve">A defined portion of PHTII funding will be aligned with accountability for Medicaid Accountable Care Organization (ACO) performance accountability for the Public Hospital’s </w:t>
      </w:r>
      <w:r w:rsidR="00615147" w:rsidRPr="00CA0AE3">
        <w:t>MassHealth</w:t>
      </w:r>
      <w:r w:rsidRPr="00CA0AE3">
        <w:t xml:space="preserve"> patient panel utilizing the DSRIP measures.  Because the Public Hospital relies on PHTII as an important component of its overall MassHealth funding structure, linking a portion of PHTII funding with these DSRIP performance measures will ensure full alignment across payment streams and focus on improving these outcomes.</w:t>
      </w:r>
    </w:p>
    <w:p w:rsidR="004B2370" w:rsidRPr="00CA0AE3" w:rsidRDefault="004B2370" w:rsidP="00DE07D1">
      <w:pPr>
        <w:spacing w:after="0" w:line="240" w:lineRule="auto"/>
        <w:ind w:left="720"/>
        <w:jc w:val="both"/>
        <w:rPr>
          <w:rFonts w:eastAsia="Times New Roman"/>
        </w:rPr>
      </w:pPr>
    </w:p>
    <w:p w:rsidR="00313777" w:rsidRPr="00CA0AE3" w:rsidRDefault="004B2370" w:rsidP="00BD4DEA">
      <w:pPr>
        <w:spacing w:after="0" w:line="240" w:lineRule="auto"/>
        <w:ind w:left="720"/>
        <w:jc w:val="both"/>
      </w:pPr>
      <w:r w:rsidRPr="00CA0AE3">
        <w:rPr>
          <w:rFonts w:eastAsia="Times New Roman"/>
        </w:rPr>
        <w:t xml:space="preserve">Other </w:t>
      </w:r>
      <w:r w:rsidR="00313777" w:rsidRPr="00CA0AE3">
        <w:rPr>
          <w:rFonts w:eastAsia="Times New Roman"/>
        </w:rPr>
        <w:t xml:space="preserve">PHTII transformation initiatives will include a focus on behavioral health integration initiatives as well as other approved initiatives that support </w:t>
      </w:r>
      <w:r w:rsidR="00496555" w:rsidRPr="00CA0AE3">
        <w:rPr>
          <w:rFonts w:eastAsia="Times New Roman"/>
        </w:rPr>
        <w:t xml:space="preserve">the </w:t>
      </w:r>
      <w:r w:rsidRPr="00CA0AE3">
        <w:rPr>
          <w:rFonts w:eastAsia="Times New Roman"/>
        </w:rPr>
        <w:t>P</w:t>
      </w:r>
      <w:r w:rsidR="00496555" w:rsidRPr="00CA0AE3">
        <w:rPr>
          <w:rFonts w:eastAsia="Times New Roman"/>
        </w:rPr>
        <w:t xml:space="preserve">ublic </w:t>
      </w:r>
      <w:r w:rsidRPr="00CA0AE3">
        <w:rPr>
          <w:rFonts w:eastAsia="Times New Roman"/>
        </w:rPr>
        <w:t>H</w:t>
      </w:r>
      <w:r w:rsidR="00496555" w:rsidRPr="00CA0AE3">
        <w:rPr>
          <w:rFonts w:eastAsia="Times New Roman"/>
        </w:rPr>
        <w:t>ospital system’s</w:t>
      </w:r>
      <w:r w:rsidR="00313777" w:rsidRPr="00CA0AE3">
        <w:rPr>
          <w:rFonts w:eastAsia="Times New Roman"/>
        </w:rPr>
        <w:t xml:space="preserve"> ongoing transformation efforts to ensure high-quality health care services for the Medicaid and safety net populations it serves.  </w:t>
      </w:r>
    </w:p>
    <w:p w:rsidR="00961060" w:rsidRPr="00CA0AE3" w:rsidRDefault="00961060" w:rsidP="00DE07D1">
      <w:pPr>
        <w:spacing w:after="0" w:line="240" w:lineRule="auto"/>
        <w:ind w:left="720"/>
        <w:jc w:val="both"/>
      </w:pPr>
    </w:p>
    <w:p w:rsidR="00313777" w:rsidRPr="00CA0AE3" w:rsidRDefault="00337E94" w:rsidP="00DE07D1">
      <w:pPr>
        <w:spacing w:after="0" w:line="240" w:lineRule="auto"/>
        <w:ind w:left="720"/>
        <w:jc w:val="both"/>
      </w:pPr>
      <w:r w:rsidRPr="00CA0AE3">
        <w:t>Additional PHTII initiatives</w:t>
      </w:r>
      <w:r w:rsidR="00323EF8" w:rsidRPr="00CA0AE3">
        <w:t xml:space="preserve"> may</w:t>
      </w:r>
      <w:r w:rsidRPr="00CA0AE3">
        <w:t xml:space="preserve"> include the following</w:t>
      </w:r>
      <w:r w:rsidR="00D22606" w:rsidRPr="00CA0AE3">
        <w:t>:</w:t>
      </w:r>
    </w:p>
    <w:p w:rsidR="00D22606" w:rsidRPr="00CA0AE3" w:rsidRDefault="00D22606" w:rsidP="00DE07D1">
      <w:pPr>
        <w:spacing w:after="0" w:line="240" w:lineRule="auto"/>
        <w:jc w:val="both"/>
      </w:pPr>
    </w:p>
    <w:p w:rsidR="005F46C3" w:rsidRPr="00CA0AE3" w:rsidRDefault="00B133C2">
      <w:pPr>
        <w:pStyle w:val="ListParagraph"/>
        <w:numPr>
          <w:ilvl w:val="0"/>
          <w:numId w:val="70"/>
        </w:numPr>
        <w:spacing w:after="0" w:line="240" w:lineRule="auto"/>
        <w:jc w:val="both"/>
      </w:pPr>
      <w:r w:rsidRPr="00CA0AE3">
        <w:t>Integration of Behavioral Health and Primary Care</w:t>
      </w:r>
      <w:r w:rsidR="00B93A38" w:rsidRPr="00CA0AE3">
        <w:t>;</w:t>
      </w:r>
      <w:r w:rsidRPr="00CA0AE3" w:rsidDel="00601447">
        <w:t xml:space="preserve"> </w:t>
      </w:r>
    </w:p>
    <w:p w:rsidR="005F46C3" w:rsidRPr="00CA0AE3" w:rsidRDefault="00B133C2">
      <w:pPr>
        <w:pStyle w:val="ListParagraph"/>
        <w:numPr>
          <w:ilvl w:val="0"/>
          <w:numId w:val="70"/>
        </w:numPr>
        <w:spacing w:after="0" w:line="240" w:lineRule="auto"/>
        <w:jc w:val="both"/>
      </w:pPr>
      <w:r w:rsidRPr="00CA0AE3">
        <w:t>Comprehensive Systems for Treating Mental Health &amp; Substance Use (MHSU) Conditions</w:t>
      </w:r>
      <w:r w:rsidR="00B93A38" w:rsidRPr="00CA0AE3">
        <w:t>;</w:t>
      </w:r>
    </w:p>
    <w:p w:rsidR="005F46C3" w:rsidRPr="00CA0AE3" w:rsidRDefault="00601447">
      <w:pPr>
        <w:pStyle w:val="ListParagraph"/>
        <w:numPr>
          <w:ilvl w:val="0"/>
          <w:numId w:val="70"/>
        </w:numPr>
        <w:spacing w:after="0" w:line="240" w:lineRule="auto"/>
        <w:jc w:val="both"/>
      </w:pPr>
      <w:r w:rsidRPr="00CA0AE3">
        <w:t>Referral Management and Integrated Care Management</w:t>
      </w:r>
      <w:r w:rsidR="00B93A38" w:rsidRPr="00CA0AE3">
        <w:t>;</w:t>
      </w:r>
    </w:p>
    <w:p w:rsidR="005F46C3" w:rsidRPr="00CA0AE3" w:rsidRDefault="004A2922">
      <w:pPr>
        <w:pStyle w:val="ListParagraph"/>
        <w:numPr>
          <w:ilvl w:val="0"/>
          <w:numId w:val="70"/>
        </w:numPr>
        <w:tabs>
          <w:tab w:val="left" w:pos="1080"/>
          <w:tab w:val="left" w:pos="1440"/>
        </w:tabs>
        <w:spacing w:after="0" w:line="240" w:lineRule="auto"/>
        <w:jc w:val="both"/>
      </w:pPr>
      <w:r w:rsidRPr="00CA0AE3">
        <w:t>Evidence-Based Practices for Medical Management of Chronic Conditions</w:t>
      </w:r>
      <w:r w:rsidR="00B93A38" w:rsidRPr="00CA0AE3">
        <w:t>; and/or</w:t>
      </w:r>
      <w:r w:rsidRPr="00CA0AE3">
        <w:t xml:space="preserve"> </w:t>
      </w:r>
    </w:p>
    <w:p w:rsidR="005F46C3" w:rsidRPr="00CA0AE3" w:rsidRDefault="00DF2DF0">
      <w:pPr>
        <w:pStyle w:val="ListParagraph"/>
        <w:numPr>
          <w:ilvl w:val="0"/>
          <w:numId w:val="70"/>
        </w:numPr>
        <w:tabs>
          <w:tab w:val="left" w:pos="1080"/>
          <w:tab w:val="left" w:pos="1440"/>
        </w:tabs>
        <w:spacing w:after="0" w:line="240" w:lineRule="auto"/>
        <w:jc w:val="both"/>
      </w:pPr>
      <w:r w:rsidRPr="00CA0AE3">
        <w:t>Community Empowered Population Health Initiative</w:t>
      </w:r>
      <w:r w:rsidR="00615147" w:rsidRPr="00CA0AE3">
        <w:t xml:space="preserve"> (Not Selected)</w:t>
      </w:r>
      <w:r w:rsidR="00B93A38" w:rsidRPr="00CA0AE3">
        <w:t>.</w:t>
      </w:r>
    </w:p>
    <w:p w:rsidR="00F83ED1" w:rsidRPr="00CA0AE3" w:rsidRDefault="00F83ED1">
      <w:pPr>
        <w:spacing w:after="0" w:line="240" w:lineRule="auto"/>
        <w:ind w:left="720"/>
        <w:jc w:val="both"/>
      </w:pPr>
    </w:p>
    <w:p w:rsidR="00967218" w:rsidRPr="00CA0AE3" w:rsidRDefault="00967218" w:rsidP="00967218">
      <w:pPr>
        <w:pStyle w:val="Default"/>
        <w:ind w:left="720"/>
        <w:jc w:val="both"/>
        <w:rPr>
          <w:rFonts w:eastAsia="Calibri"/>
          <w:i/>
          <w:color w:val="auto"/>
          <w:sz w:val="22"/>
          <w:szCs w:val="22"/>
          <w:lang w:eastAsia="en-US"/>
        </w:rPr>
      </w:pPr>
      <w:r w:rsidRPr="00CA0AE3">
        <w:rPr>
          <w:rFonts w:eastAsia="Calibri"/>
          <w:i/>
          <w:color w:val="auto"/>
          <w:sz w:val="22"/>
          <w:szCs w:val="22"/>
          <w:lang w:eastAsia="en-US"/>
        </w:rPr>
        <w:t xml:space="preserve">Integration of Behavioral Health and Primary Care </w:t>
      </w:r>
    </w:p>
    <w:p w:rsidR="00967218" w:rsidRPr="00CA0AE3" w:rsidRDefault="00967218" w:rsidP="00967218">
      <w:pPr>
        <w:pStyle w:val="Default"/>
        <w:ind w:left="720"/>
        <w:jc w:val="both"/>
        <w:rPr>
          <w:sz w:val="22"/>
          <w:szCs w:val="22"/>
        </w:rPr>
      </w:pPr>
      <w:r w:rsidRPr="00CA0AE3">
        <w:rPr>
          <w:sz w:val="22"/>
          <w:szCs w:val="22"/>
        </w:rPr>
        <w:t xml:space="preserve">To continue the advancement in integrated medical and behavioral health care in the context of population health management and alternative payment models, this initiative will leverage evidence-based practices to advance screening, treatment and improved access to behavioral health care based in the primary care setting for adults, children and adolescents. This suite of initiatives will include a focus on population health, quality outcomes, patient engagement and experience of care improvements, coordinated, cross continuum care, and effective care management and follow-up on targeted conditions including depression, anxiety, and substance use disorders.   This will be enabled through the optimization of screening and follow-up workflows, expansion of evidence-based </w:t>
      </w:r>
      <w:r w:rsidRPr="00CA0AE3">
        <w:rPr>
          <w:sz w:val="22"/>
          <w:szCs w:val="22"/>
        </w:rPr>
        <w:lastRenderedPageBreak/>
        <w:t>treatment options, provider and staff training and engagement, building relationships among staff and providers across the system, and building community connections to support patient care.</w:t>
      </w:r>
    </w:p>
    <w:p w:rsidR="00967218" w:rsidRPr="00CA0AE3" w:rsidRDefault="00967218" w:rsidP="00967218">
      <w:pPr>
        <w:pStyle w:val="Default"/>
        <w:ind w:left="720"/>
        <w:jc w:val="both"/>
        <w:rPr>
          <w:sz w:val="22"/>
          <w:szCs w:val="22"/>
        </w:rPr>
      </w:pPr>
    </w:p>
    <w:p w:rsidR="00967218" w:rsidRPr="00CA0AE3" w:rsidRDefault="00967218" w:rsidP="00967218">
      <w:pPr>
        <w:spacing w:after="0" w:line="240" w:lineRule="auto"/>
        <w:ind w:left="720"/>
        <w:jc w:val="both"/>
        <w:rPr>
          <w:color w:val="000000"/>
        </w:rPr>
      </w:pPr>
      <w:r w:rsidRPr="00CA0AE3">
        <w:rPr>
          <w:color w:val="000000"/>
        </w:rPr>
        <w:t>Collaborative care, an evidence based delivery model</w:t>
      </w:r>
      <w:r w:rsidR="00F33A0B" w:rsidRPr="00CA0AE3">
        <w:rPr>
          <w:color w:val="000000"/>
        </w:rPr>
        <w:t xml:space="preserve"> involving a greater role of non-medical specialists to augment primary care and provide care management</w:t>
      </w:r>
      <w:r w:rsidRPr="00CA0AE3">
        <w:rPr>
          <w:color w:val="000000"/>
        </w:rPr>
        <w:t>, has been shown to support the Triple Aim among patients with depression, the most prevalent mental disorder.</w:t>
      </w:r>
      <w:r w:rsidRPr="00CA0AE3">
        <w:rPr>
          <w:rStyle w:val="FootnoteReference"/>
          <w:color w:val="000000"/>
        </w:rPr>
        <w:footnoteReference w:id="1"/>
      </w:r>
      <w:r w:rsidRPr="00CA0AE3">
        <w:rPr>
          <w:color w:val="000000"/>
          <w:vertAlign w:val="superscript"/>
        </w:rPr>
        <w:t>,</w:t>
      </w:r>
      <w:r w:rsidRPr="00CA0AE3">
        <w:rPr>
          <w:rStyle w:val="FootnoteReference"/>
          <w:color w:val="000000"/>
        </w:rPr>
        <w:footnoteReference w:id="2"/>
      </w:r>
      <w:r w:rsidRPr="00CA0AE3">
        <w:rPr>
          <w:color w:val="000000"/>
        </w:rPr>
        <w:t xml:space="preserve"> The key elements of collaborative care models include:  the use of a mental health registry, stepped care approach to depression management (i.e. intensifying treatments when needed), use of validated instruments (such as the Patient Health Questionnaire (PHQ-2 or PHQ-9) for depression, Generalized Anxiety Disorder scale (GAD-7) for anxiety, </w:t>
      </w:r>
      <w:r w:rsidRPr="00CA0AE3">
        <w:t>National Institute on Alcohol Abuse and Alcoholism single item screening tool (</w:t>
      </w:r>
      <w:r w:rsidRPr="00CA0AE3">
        <w:rPr>
          <w:color w:val="000000"/>
        </w:rPr>
        <w:t>NIAAA-1), Alcohol Use Disorders Test (AUDIT), National Institute on Drug Abuse quick screen test (NIDA-1) and the Drug Abuse Screening Test (DAST), and regular caseload consultations by the psychiatrist and the behavioral care manager.  Additional elements of integration include the co-location of behavioral health staff (such as therapists and psychiatrists) into primary care, meetings held by primary care and behavioral health team members to discuss cases, training of primary care and behavioral health staff on effective screening and collaborative care, and strategies to address substance use disorder (such as SBIRT) in primary care.</w:t>
      </w:r>
      <w:r w:rsidRPr="00CA0AE3">
        <w:rPr>
          <w:rStyle w:val="FootnoteReference"/>
          <w:color w:val="000000"/>
        </w:rPr>
        <w:footnoteReference w:id="3"/>
      </w:r>
    </w:p>
    <w:p w:rsidR="00967218" w:rsidRPr="00CA0AE3" w:rsidRDefault="00967218" w:rsidP="00967218">
      <w:pPr>
        <w:spacing w:after="0" w:line="240" w:lineRule="auto"/>
        <w:ind w:left="1080"/>
        <w:jc w:val="both"/>
        <w:rPr>
          <w:color w:val="000000"/>
        </w:rPr>
      </w:pPr>
    </w:p>
    <w:p w:rsidR="00967218" w:rsidRPr="00CA0AE3" w:rsidRDefault="00967218" w:rsidP="00967218">
      <w:pPr>
        <w:spacing w:after="0" w:line="240" w:lineRule="auto"/>
        <w:ind w:left="720"/>
        <w:jc w:val="both"/>
        <w:rPr>
          <w:rFonts w:eastAsia="Times New Roman"/>
          <w:color w:val="000000" w:themeColor="text1"/>
        </w:rPr>
      </w:pPr>
      <w:r w:rsidRPr="00CA0AE3">
        <w:rPr>
          <w:color w:val="000000"/>
        </w:rPr>
        <w:t>Findings from more than 80 studies demonstrated that collaborative care increased adherence to evidence-based depression treatment by twofold and improved outcomes, including in low-income populations.</w:t>
      </w:r>
      <w:r w:rsidRPr="00CA0AE3">
        <w:rPr>
          <w:rStyle w:val="FootnoteReference"/>
          <w:color w:val="000000"/>
        </w:rPr>
        <w:footnoteReference w:id="4"/>
      </w:r>
      <w:r w:rsidRPr="00CA0AE3">
        <w:rPr>
          <w:color w:val="000000"/>
        </w:rPr>
        <w:t xml:space="preserve"> Studies have also revealed value in terms of cost-effectiveness, cost-benefit analysis, and improved patient satisfaction with care.</w:t>
      </w:r>
      <w:r w:rsidRPr="00CA0AE3">
        <w:rPr>
          <w:rStyle w:val="FootnoteReference"/>
          <w:color w:val="000000"/>
        </w:rPr>
        <w:footnoteReference w:id="5"/>
      </w:r>
      <w:r w:rsidRPr="00CA0AE3">
        <w:rPr>
          <w:color w:val="000000"/>
        </w:rPr>
        <w:t xml:space="preserve"> </w:t>
      </w:r>
      <w:r w:rsidRPr="00CA0AE3">
        <w:rPr>
          <w:rFonts w:eastAsia="Times New Roman"/>
          <w:color w:val="000000" w:themeColor="text1"/>
        </w:rPr>
        <w:t>Substance use and addiction are significant challenges for society and for public payer populations. Unidentified mental health and substance use treatment needs contribute to higher costs and poor health outcomes. A recent publication released by the Substance Abuse and Mental Health Services Administration reported that in Massachusetts, only 53.8 % of adults with any mental illness (approximately 522,000 individuals per year in 2010-2014) actually received mental health treatment within the</w:t>
      </w:r>
      <w:r w:rsidRPr="00CA0AE3">
        <w:rPr>
          <w:rFonts w:eastAsia="Times New Roman"/>
        </w:rPr>
        <w:t xml:space="preserve"> prior</w:t>
      </w:r>
      <w:r w:rsidR="00605A41" w:rsidRPr="00CA0AE3">
        <w:rPr>
          <w:rFonts w:eastAsia="Times New Roman"/>
        </w:rPr>
        <w:t xml:space="preserve"> year</w:t>
      </w:r>
      <w:r w:rsidRPr="00CA0AE3">
        <w:rPr>
          <w:rFonts w:eastAsia="Times New Roman"/>
        </w:rPr>
        <w:t>, and only 7.5% of those with alcohol abuse or dependence received treatment in the prior year</w:t>
      </w:r>
      <w:r w:rsidRPr="00CA0AE3">
        <w:rPr>
          <w:rFonts w:eastAsia="Times New Roman"/>
          <w:iCs/>
          <w:color w:val="000000" w:themeColor="text1"/>
        </w:rPr>
        <w:t>.</w:t>
      </w:r>
      <w:r w:rsidRPr="00CA0AE3">
        <w:rPr>
          <w:rFonts w:eastAsia="Times New Roman"/>
          <w:color w:val="000000" w:themeColor="text1"/>
          <w:vertAlign w:val="superscript"/>
        </w:rPr>
        <w:footnoteReference w:id="6"/>
      </w:r>
      <w:r w:rsidRPr="00CA0AE3">
        <w:rPr>
          <w:rFonts w:eastAsia="Times New Roman"/>
          <w:iCs/>
          <w:color w:val="000000" w:themeColor="text1"/>
        </w:rPr>
        <w:t xml:space="preserve"> Furthermore, the national problem of opioid use disorder and overdose is increasing year by year in Massachusetts.</w:t>
      </w:r>
      <w:r w:rsidRPr="00CA0AE3">
        <w:rPr>
          <w:rFonts w:eastAsia="Times New Roman"/>
          <w:iCs/>
          <w:color w:val="000000" w:themeColor="text1"/>
          <w:vertAlign w:val="superscript"/>
        </w:rPr>
        <w:footnoteReference w:id="7"/>
      </w:r>
    </w:p>
    <w:p w:rsidR="00967218" w:rsidRPr="00CA0AE3" w:rsidRDefault="00967218" w:rsidP="00967218">
      <w:pPr>
        <w:spacing w:after="0" w:line="240" w:lineRule="auto"/>
        <w:ind w:left="720"/>
        <w:jc w:val="both"/>
        <w:rPr>
          <w:rFonts w:eastAsia="Times New Roman"/>
          <w:color w:val="000000" w:themeColor="text1"/>
        </w:rPr>
      </w:pPr>
    </w:p>
    <w:p w:rsidR="001600DF" w:rsidRPr="00CA0AE3" w:rsidRDefault="00967218" w:rsidP="00967218">
      <w:pPr>
        <w:spacing w:after="0" w:line="240" w:lineRule="auto"/>
        <w:ind w:left="720"/>
        <w:jc w:val="both"/>
      </w:pPr>
      <w:r w:rsidRPr="00CA0AE3">
        <w:rPr>
          <w:rFonts w:eastAsia="Times New Roman"/>
        </w:rPr>
        <w:t>According to the American Academy of Pediatrics</w:t>
      </w:r>
      <w:r w:rsidR="00F33A0B" w:rsidRPr="00CA0AE3">
        <w:rPr>
          <w:rFonts w:eastAsia="Times New Roman"/>
        </w:rPr>
        <w:t xml:space="preserve"> (AAP)</w:t>
      </w:r>
      <w:r w:rsidRPr="00CA0AE3">
        <w:rPr>
          <w:rFonts w:eastAsia="Times New Roman"/>
        </w:rPr>
        <w:t xml:space="preserve">, behavioral and emotional problems during childhood are common, often undetected, and frequently untreated despite. </w:t>
      </w:r>
      <w:r w:rsidR="00FC6D92" w:rsidRPr="00CA0AE3">
        <w:rPr>
          <w:rFonts w:eastAsia="Times New Roman"/>
        </w:rPr>
        <w:t>A</w:t>
      </w:r>
      <w:r w:rsidRPr="00CA0AE3">
        <w:rPr>
          <w:rFonts w:eastAsia="Times New Roman"/>
        </w:rPr>
        <w:t>pproximately 11% to 20% of children in the United States have a behavioral or emotional disorder at any given time.</w:t>
      </w:r>
      <w:r w:rsidRPr="00CA0AE3">
        <w:rPr>
          <w:rStyle w:val="FootnoteReference"/>
          <w:rFonts w:eastAsia="Times New Roman"/>
        </w:rPr>
        <w:footnoteReference w:id="8"/>
      </w:r>
      <w:r w:rsidRPr="00CA0AE3">
        <w:rPr>
          <w:rFonts w:eastAsia="Times New Roman"/>
          <w:vertAlign w:val="superscript"/>
        </w:rPr>
        <w:t>,</w:t>
      </w:r>
      <w:r w:rsidRPr="00CA0AE3">
        <w:rPr>
          <w:rStyle w:val="FootnoteReference"/>
          <w:rFonts w:eastAsia="Times New Roman"/>
        </w:rPr>
        <w:footnoteReference w:id="9"/>
      </w:r>
      <w:r w:rsidRPr="00CA0AE3">
        <w:rPr>
          <w:rFonts w:eastAsia="Times New Roman"/>
        </w:rPr>
        <w:t xml:space="preserve"> Developmental and behavioral health disorders are now the top 5 chronic pediatric conditions causing </w:t>
      </w:r>
      <w:r w:rsidRPr="00CA0AE3">
        <w:rPr>
          <w:rFonts w:eastAsia="Times New Roman"/>
        </w:rPr>
        <w:lastRenderedPageBreak/>
        <w:t>functional impairment.</w:t>
      </w:r>
      <w:r w:rsidRPr="00CA0AE3">
        <w:rPr>
          <w:rStyle w:val="FootnoteReference"/>
          <w:rFonts w:eastAsia="Times New Roman"/>
        </w:rPr>
        <w:footnoteReference w:id="10"/>
      </w:r>
      <w:r w:rsidRPr="00CA0AE3">
        <w:rPr>
          <w:rFonts w:eastAsia="Times New Roman"/>
          <w:vertAlign w:val="superscript"/>
        </w:rPr>
        <w:t>,</w:t>
      </w:r>
      <w:r w:rsidRPr="00CA0AE3">
        <w:rPr>
          <w:rStyle w:val="FootnoteReference"/>
          <w:rFonts w:eastAsia="Times New Roman"/>
        </w:rPr>
        <w:footnoteReference w:id="11"/>
      </w:r>
      <w:r w:rsidRPr="00CA0AE3">
        <w:rPr>
          <w:rFonts w:eastAsia="Times New Roman"/>
          <w:vertAlign w:val="superscript"/>
        </w:rPr>
        <w:t>,</w:t>
      </w:r>
      <w:r w:rsidRPr="00CA0AE3">
        <w:rPr>
          <w:rStyle w:val="FootnoteReference"/>
          <w:rFonts w:eastAsia="Times New Roman"/>
        </w:rPr>
        <w:footnoteReference w:id="12"/>
      </w:r>
      <w:r w:rsidRPr="00CA0AE3">
        <w:rPr>
          <w:rFonts w:eastAsia="Times New Roman"/>
        </w:rPr>
        <w:t xml:space="preserve"> </w:t>
      </w:r>
      <w:r w:rsidRPr="00CA0AE3">
        <w:rPr>
          <w:rFonts w:eastAsia="MyriadPro-Regular"/>
        </w:rPr>
        <w:t>The AAP urges clinicians to screen for developmental and behavioral problems at all health supervision visits using quality tools.</w:t>
      </w:r>
      <w:r w:rsidRPr="00CA0AE3">
        <w:rPr>
          <w:rStyle w:val="FootnoteReference"/>
          <w:rFonts w:eastAsia="MyriadPro-Regular"/>
        </w:rPr>
        <w:footnoteReference w:id="13"/>
      </w:r>
      <w:r w:rsidRPr="00CA0AE3">
        <w:rPr>
          <w:rFonts w:eastAsia="MyriadPro-Regular"/>
          <w:vertAlign w:val="superscript"/>
        </w:rPr>
        <w:t xml:space="preserve"> </w:t>
      </w:r>
      <w:r w:rsidR="00B36B7E" w:rsidRPr="00CA0AE3">
        <w:t>T</w:t>
      </w:r>
      <w:r w:rsidRPr="00CA0AE3">
        <w:t>here is an opportunity to update routine, comprehensive screening for behavioral and developmental conditions in the child and adolescent population, using validated screening instruments such as the Survey of Wellbeing of Young Children (SWYC) for developmental screening, the Pediatric Symptom Checklist (PSC) and PHQ-9 for depression, and CRAFFT</w:t>
      </w:r>
      <w:r w:rsidR="00F33A0B" w:rsidRPr="00CA0AE3">
        <w:t>, a</w:t>
      </w:r>
      <w:r w:rsidRPr="00CA0AE3">
        <w:t xml:space="preserve"> short clinical assessment tool for substance related risks and problems, and to develop the associated registries</w:t>
      </w:r>
      <w:r w:rsidR="00F33A0B" w:rsidRPr="00CA0AE3">
        <w:t>,</w:t>
      </w:r>
      <w:r w:rsidRPr="00CA0AE3">
        <w:t xml:space="preserve"> analyze utilization patterns and service gaps</w:t>
      </w:r>
      <w:r w:rsidR="00F33A0B" w:rsidRPr="00CA0AE3">
        <w:t>, and</w:t>
      </w:r>
      <w:r w:rsidRPr="00CA0AE3">
        <w:t xml:space="preserve"> optimize follow-up </w:t>
      </w:r>
      <w:r w:rsidR="005A4545" w:rsidRPr="00CA0AE3">
        <w:t xml:space="preserve">care </w:t>
      </w:r>
      <w:r w:rsidRPr="00CA0AE3">
        <w:t>according to the evidence base.</w:t>
      </w:r>
      <w:r w:rsidRPr="00CA0AE3">
        <w:rPr>
          <w:rStyle w:val="FootnoteReference"/>
        </w:rPr>
        <w:footnoteReference w:id="14"/>
      </w:r>
    </w:p>
    <w:p w:rsidR="00CC61F1" w:rsidRPr="00CA0AE3" w:rsidRDefault="00CC61F1" w:rsidP="001600DF">
      <w:pPr>
        <w:spacing w:after="0" w:line="240" w:lineRule="auto"/>
        <w:ind w:left="720"/>
        <w:jc w:val="both"/>
      </w:pPr>
    </w:p>
    <w:p w:rsidR="001600DF" w:rsidRPr="00CA0AE3" w:rsidRDefault="00BC799B" w:rsidP="00967218">
      <w:pPr>
        <w:tabs>
          <w:tab w:val="left" w:pos="360"/>
        </w:tabs>
        <w:spacing w:after="0" w:line="240" w:lineRule="auto"/>
        <w:ind w:left="720"/>
        <w:jc w:val="both"/>
        <w:rPr>
          <w:i/>
        </w:rPr>
      </w:pPr>
      <w:r w:rsidRPr="00CA0AE3">
        <w:rPr>
          <w:i/>
        </w:rPr>
        <w:t>Comprehensive Systems for Treating Mental Health &amp; Substance Use (MHSU) Conditions</w:t>
      </w:r>
      <w:r w:rsidR="008D3CB4" w:rsidRPr="00CA0AE3">
        <w:rPr>
          <w:i/>
        </w:rPr>
        <w:t xml:space="preserve"> </w:t>
      </w:r>
    </w:p>
    <w:p w:rsidR="009D4266" w:rsidRPr="00CA0AE3" w:rsidRDefault="009D4266" w:rsidP="00967218">
      <w:pPr>
        <w:pStyle w:val="Default"/>
        <w:ind w:left="720"/>
        <w:jc w:val="both"/>
        <w:rPr>
          <w:sz w:val="22"/>
          <w:szCs w:val="22"/>
        </w:rPr>
      </w:pPr>
      <w:r w:rsidRPr="00CA0AE3">
        <w:rPr>
          <w:color w:val="auto"/>
          <w:sz w:val="22"/>
          <w:szCs w:val="22"/>
        </w:rPr>
        <w:t>Poor access to appropriate levels of care is a leading barrier to recovery for individuals with mental health and substance use (MHSU) conditions.</w:t>
      </w:r>
      <w:r w:rsidRPr="00CA0AE3">
        <w:rPr>
          <w:rStyle w:val="FootnoteReference"/>
          <w:color w:val="auto"/>
          <w:sz w:val="22"/>
          <w:szCs w:val="22"/>
        </w:rPr>
        <w:footnoteReference w:id="15"/>
      </w:r>
      <w:r w:rsidRPr="00CA0AE3">
        <w:rPr>
          <w:color w:val="auto"/>
          <w:sz w:val="22"/>
          <w:szCs w:val="22"/>
        </w:rPr>
        <w:t xml:space="preserve">  A comprehensive system for MHSU treatment – offering the right care to the right people at the right time – requires a wide range of services and delivery methods to meet the unique needs of individuals and families.  Among others, these services include outpatient counseling (including primary care integration), intermediate care (intensive outpatient, partial hospital), residential and inpatient facilities, support for care transitions, and triage and emergency services.  A robust continuum of care helps people access services when they need and want them, improving patient experience and the value of care (quality/cost). A comprehensive treatment system allows individuals and their providers to develop an optimal care plan most likely to help them stay connected to their communities</w:t>
      </w:r>
      <w:r w:rsidR="00B36B7E" w:rsidRPr="00CA0AE3">
        <w:rPr>
          <w:color w:val="auto"/>
          <w:sz w:val="22"/>
          <w:szCs w:val="22"/>
        </w:rPr>
        <w:t>,</w:t>
      </w:r>
      <w:r w:rsidRPr="00CA0AE3">
        <w:rPr>
          <w:color w:val="auto"/>
          <w:sz w:val="22"/>
          <w:szCs w:val="22"/>
        </w:rPr>
        <w:t xml:space="preserve"> succeed in daily activities, such as work or school</w:t>
      </w:r>
      <w:r w:rsidR="00B36B7E" w:rsidRPr="00CA0AE3">
        <w:rPr>
          <w:color w:val="auto"/>
          <w:sz w:val="22"/>
          <w:szCs w:val="22"/>
        </w:rPr>
        <w:t>, and</w:t>
      </w:r>
      <w:r w:rsidRPr="00CA0AE3">
        <w:rPr>
          <w:color w:val="auto"/>
          <w:sz w:val="22"/>
          <w:szCs w:val="22"/>
        </w:rPr>
        <w:t xml:space="preserve"> engage</w:t>
      </w:r>
      <w:r w:rsidR="00B36B7E" w:rsidRPr="00CA0AE3">
        <w:rPr>
          <w:color w:val="auto"/>
          <w:sz w:val="22"/>
          <w:szCs w:val="22"/>
        </w:rPr>
        <w:t xml:space="preserve"> in</w:t>
      </w:r>
      <w:r w:rsidRPr="00CA0AE3">
        <w:rPr>
          <w:color w:val="auto"/>
          <w:sz w:val="22"/>
          <w:szCs w:val="22"/>
        </w:rPr>
        <w:t xml:space="preserve"> family and community supports</w:t>
      </w:r>
      <w:r w:rsidR="00B36B7E" w:rsidRPr="00CA0AE3">
        <w:rPr>
          <w:color w:val="auto"/>
          <w:sz w:val="22"/>
          <w:szCs w:val="22"/>
        </w:rPr>
        <w:t xml:space="preserve"> toward</w:t>
      </w:r>
      <w:r w:rsidRPr="00CA0AE3">
        <w:rPr>
          <w:color w:val="auto"/>
          <w:sz w:val="22"/>
          <w:szCs w:val="22"/>
        </w:rPr>
        <w:t xml:space="preserve"> recovery.  Individuals who do receive appropriate treatment early in their onset of illness may require less intensive </w:t>
      </w:r>
      <w:r w:rsidRPr="00CA0AE3">
        <w:rPr>
          <w:rStyle w:val="term-highlight1"/>
          <w:b w:val="0"/>
          <w:color w:val="auto"/>
          <w:sz w:val="22"/>
          <w:szCs w:val="22"/>
        </w:rPr>
        <w:t>care</w:t>
      </w:r>
      <w:r w:rsidRPr="00CA0AE3">
        <w:rPr>
          <w:color w:val="auto"/>
          <w:sz w:val="22"/>
          <w:szCs w:val="22"/>
        </w:rPr>
        <w:t>, experience fewer relapses,</w:t>
      </w:r>
      <w:r w:rsidRPr="00CA0AE3">
        <w:rPr>
          <w:rStyle w:val="FootnoteReference"/>
          <w:color w:val="auto"/>
          <w:sz w:val="22"/>
          <w:szCs w:val="22"/>
        </w:rPr>
        <w:footnoteReference w:id="16"/>
      </w:r>
      <w:r w:rsidRPr="00CA0AE3">
        <w:rPr>
          <w:color w:val="auto"/>
          <w:sz w:val="22"/>
          <w:szCs w:val="22"/>
        </w:rPr>
        <w:t xml:space="preserve"> and have better long-term health outcomes.</w:t>
      </w:r>
      <w:r w:rsidRPr="00CA0AE3">
        <w:rPr>
          <w:rStyle w:val="FootnoteReference"/>
          <w:color w:val="auto"/>
          <w:sz w:val="22"/>
          <w:szCs w:val="22"/>
        </w:rPr>
        <w:footnoteReference w:id="17"/>
      </w:r>
      <w:r w:rsidRPr="00CA0AE3">
        <w:rPr>
          <w:sz w:val="22"/>
          <w:szCs w:val="22"/>
        </w:rPr>
        <w:t xml:space="preserve">  New programs offering integrated, person-centered MHSU care show promising results – greater use of community-based outpatient care, fewer hospital and emergency department (ED) admissions,</w:t>
      </w:r>
      <w:r w:rsidR="00971C2D" w:rsidRPr="00CA0AE3">
        <w:rPr>
          <w:sz w:val="22"/>
          <w:szCs w:val="22"/>
        </w:rPr>
        <w:t xml:space="preserve"> and</w:t>
      </w:r>
      <w:r w:rsidRPr="00CA0AE3">
        <w:rPr>
          <w:sz w:val="22"/>
          <w:szCs w:val="22"/>
        </w:rPr>
        <w:t xml:space="preserve"> better health outcomes</w:t>
      </w:r>
      <w:r w:rsidR="00B36B7E" w:rsidRPr="00CA0AE3">
        <w:rPr>
          <w:sz w:val="22"/>
          <w:szCs w:val="22"/>
        </w:rPr>
        <w:t>.</w:t>
      </w:r>
      <w:r w:rsidRPr="00CA0AE3">
        <w:rPr>
          <w:sz w:val="22"/>
          <w:szCs w:val="22"/>
          <w:vertAlign w:val="superscript"/>
        </w:rPr>
        <w:footnoteReference w:id="18"/>
      </w:r>
      <w:r w:rsidRPr="00CA0AE3">
        <w:rPr>
          <w:sz w:val="22"/>
          <w:szCs w:val="22"/>
          <w:vertAlign w:val="superscript"/>
        </w:rPr>
        <w:t>-</w:t>
      </w:r>
      <w:r w:rsidRPr="00CA0AE3">
        <w:rPr>
          <w:sz w:val="22"/>
          <w:szCs w:val="22"/>
          <w:vertAlign w:val="superscript"/>
        </w:rPr>
        <w:footnoteReference w:id="19"/>
      </w:r>
      <w:r w:rsidRPr="00CA0AE3">
        <w:rPr>
          <w:sz w:val="22"/>
          <w:szCs w:val="22"/>
        </w:rPr>
        <w:t xml:space="preserve">  </w:t>
      </w:r>
    </w:p>
    <w:p w:rsidR="009D4266" w:rsidRPr="00CA0AE3" w:rsidRDefault="009D4266" w:rsidP="00967218">
      <w:pPr>
        <w:pStyle w:val="Default"/>
        <w:ind w:left="720"/>
        <w:jc w:val="both"/>
        <w:rPr>
          <w:sz w:val="22"/>
          <w:szCs w:val="22"/>
        </w:rPr>
      </w:pPr>
    </w:p>
    <w:p w:rsidR="009D4266" w:rsidRPr="00CA0AE3" w:rsidRDefault="009D4266" w:rsidP="00967218">
      <w:pPr>
        <w:pStyle w:val="Default"/>
        <w:ind w:left="720"/>
        <w:jc w:val="both"/>
        <w:rPr>
          <w:sz w:val="22"/>
          <w:szCs w:val="22"/>
        </w:rPr>
      </w:pPr>
      <w:r w:rsidRPr="00CA0AE3">
        <w:rPr>
          <w:color w:val="auto"/>
          <w:sz w:val="22"/>
          <w:szCs w:val="22"/>
        </w:rPr>
        <w:t>However, left untreated, behavioral health disorders and co-occurring health conditions have harmful economic, interpersonal, and social impacts for the population as a whole.</w:t>
      </w:r>
      <w:r w:rsidRPr="00CA0AE3">
        <w:rPr>
          <w:rStyle w:val="FootnoteReference"/>
          <w:color w:val="auto"/>
          <w:sz w:val="22"/>
          <w:szCs w:val="22"/>
        </w:rPr>
        <w:footnoteReference w:id="20"/>
      </w:r>
      <w:r w:rsidRPr="00CA0AE3">
        <w:rPr>
          <w:color w:val="auto"/>
          <w:sz w:val="22"/>
          <w:szCs w:val="22"/>
        </w:rPr>
        <w:t xml:space="preserve"> </w:t>
      </w:r>
      <w:r w:rsidRPr="00CA0AE3">
        <w:rPr>
          <w:sz w:val="22"/>
          <w:szCs w:val="22"/>
        </w:rPr>
        <w:t xml:space="preserve">This troubling impact is most evident in the 20 to 30 year gap in life expectancy among people living with serious mental </w:t>
      </w:r>
      <w:r w:rsidRPr="00CA0AE3">
        <w:rPr>
          <w:sz w:val="22"/>
          <w:szCs w:val="22"/>
        </w:rPr>
        <w:lastRenderedPageBreak/>
        <w:t>illnesses (SMI).</w:t>
      </w:r>
      <w:r w:rsidRPr="00CA0AE3">
        <w:rPr>
          <w:rStyle w:val="FootnoteReference"/>
          <w:sz w:val="22"/>
          <w:szCs w:val="22"/>
        </w:rPr>
        <w:footnoteReference w:id="21"/>
      </w:r>
      <w:r w:rsidRPr="00CA0AE3">
        <w:rPr>
          <w:sz w:val="22"/>
          <w:szCs w:val="22"/>
          <w:vertAlign w:val="superscript"/>
        </w:rPr>
        <w:t>-</w:t>
      </w:r>
      <w:r w:rsidRPr="00CA0AE3">
        <w:rPr>
          <w:rStyle w:val="FootnoteReference"/>
          <w:sz w:val="22"/>
          <w:szCs w:val="22"/>
        </w:rPr>
        <w:footnoteReference w:id="22"/>
      </w:r>
      <w:r w:rsidRPr="00CA0AE3">
        <w:rPr>
          <w:sz w:val="22"/>
          <w:szCs w:val="22"/>
          <w:vertAlign w:val="superscript"/>
        </w:rPr>
        <w:t xml:space="preserve">   </w:t>
      </w:r>
      <w:r w:rsidRPr="00CA0AE3">
        <w:rPr>
          <w:sz w:val="22"/>
          <w:szCs w:val="22"/>
        </w:rPr>
        <w:t xml:space="preserve">This disparity is driven by </w:t>
      </w:r>
      <w:r w:rsidRPr="00CA0AE3">
        <w:rPr>
          <w:color w:val="auto"/>
          <w:sz w:val="22"/>
          <w:szCs w:val="22"/>
        </w:rPr>
        <w:t xml:space="preserve">higher rates of chronic disease (e.g. diabetes, hypertension, hyperlipidemia, and obesity), </w:t>
      </w:r>
      <w:r w:rsidRPr="00CA0AE3">
        <w:rPr>
          <w:sz w:val="22"/>
          <w:szCs w:val="22"/>
        </w:rPr>
        <w:t>delayed diagnosis and treatment of medical conditions,</w:t>
      </w:r>
      <w:r w:rsidRPr="00CA0AE3">
        <w:rPr>
          <w:rStyle w:val="FootnoteReference"/>
          <w:sz w:val="22"/>
          <w:szCs w:val="22"/>
        </w:rPr>
        <w:footnoteReference w:id="23"/>
      </w:r>
      <w:r w:rsidRPr="00CA0AE3">
        <w:rPr>
          <w:sz w:val="22"/>
          <w:szCs w:val="22"/>
        </w:rPr>
        <w:t xml:space="preserve"> fragmented delivery of care, medication side effects,</w:t>
      </w:r>
      <w:r w:rsidRPr="00CA0AE3">
        <w:rPr>
          <w:rStyle w:val="FootnoteReference"/>
          <w:sz w:val="22"/>
          <w:szCs w:val="22"/>
        </w:rPr>
        <w:footnoteReference w:id="24"/>
      </w:r>
      <w:r w:rsidRPr="00CA0AE3">
        <w:rPr>
          <w:sz w:val="22"/>
          <w:szCs w:val="22"/>
        </w:rPr>
        <w:t xml:space="preserve"> and higher rates of modifiable risk factors</w:t>
      </w:r>
      <w:r w:rsidR="00605A41" w:rsidRPr="00CA0AE3">
        <w:rPr>
          <w:sz w:val="22"/>
          <w:szCs w:val="22"/>
        </w:rPr>
        <w:t>.</w:t>
      </w:r>
      <w:r w:rsidRPr="00CA0AE3">
        <w:rPr>
          <w:rStyle w:val="FootnoteReference"/>
          <w:sz w:val="22"/>
          <w:szCs w:val="22"/>
        </w:rPr>
        <w:footnoteReference w:id="25"/>
      </w:r>
      <w:r w:rsidR="00605A41" w:rsidRPr="00CA0AE3">
        <w:rPr>
          <w:sz w:val="22"/>
          <w:szCs w:val="22"/>
        </w:rPr>
        <w:t xml:space="preserve"> O</w:t>
      </w:r>
      <w:r w:rsidRPr="00CA0AE3">
        <w:rPr>
          <w:sz w:val="22"/>
          <w:szCs w:val="22"/>
        </w:rPr>
        <w:t>n average</w:t>
      </w:r>
      <w:r w:rsidR="00605A41" w:rsidRPr="00CA0AE3">
        <w:rPr>
          <w:sz w:val="22"/>
          <w:szCs w:val="22"/>
        </w:rPr>
        <w:t>,</w:t>
      </w:r>
      <w:r w:rsidRPr="00CA0AE3">
        <w:rPr>
          <w:sz w:val="22"/>
          <w:szCs w:val="22"/>
        </w:rPr>
        <w:t xml:space="preserve"> 4.2 percent of Massachusetts residents are living with SMI and 10 percent have a SUD</w:t>
      </w:r>
      <w:r w:rsidR="00B36B7E" w:rsidRPr="00CA0AE3">
        <w:rPr>
          <w:sz w:val="22"/>
          <w:szCs w:val="22"/>
        </w:rPr>
        <w:t>.</w:t>
      </w:r>
      <w:r w:rsidRPr="00CA0AE3">
        <w:rPr>
          <w:rStyle w:val="FootnoteReference"/>
          <w:sz w:val="22"/>
          <w:szCs w:val="22"/>
        </w:rPr>
        <w:footnoteReference w:id="26"/>
      </w:r>
      <w:r w:rsidRPr="00CA0AE3">
        <w:rPr>
          <w:sz w:val="22"/>
          <w:szCs w:val="22"/>
        </w:rPr>
        <w:t xml:space="preserve"> Among adults who access mental health care, 30 percent still report unmet needs, and more than one-third of those treated in the state’s public mental health system say it has not improved their functioning.</w:t>
      </w:r>
      <w:r w:rsidRPr="00CA0AE3">
        <w:rPr>
          <w:rStyle w:val="FootnoteReference"/>
          <w:sz w:val="22"/>
          <w:szCs w:val="22"/>
        </w:rPr>
        <w:footnoteReference w:id="27"/>
      </w:r>
      <w:r w:rsidRPr="00CA0AE3">
        <w:rPr>
          <w:sz w:val="22"/>
          <w:szCs w:val="22"/>
        </w:rPr>
        <w:t xml:space="preserve"> </w:t>
      </w:r>
    </w:p>
    <w:p w:rsidR="009D4266" w:rsidRPr="00CA0AE3" w:rsidRDefault="009D4266" w:rsidP="00967218">
      <w:pPr>
        <w:pStyle w:val="Default"/>
        <w:ind w:left="720"/>
        <w:jc w:val="both"/>
        <w:rPr>
          <w:sz w:val="22"/>
          <w:szCs w:val="22"/>
          <w:vertAlign w:val="superscript"/>
        </w:rPr>
      </w:pPr>
    </w:p>
    <w:p w:rsidR="00916E3B" w:rsidRPr="00CA0AE3" w:rsidRDefault="009D4266" w:rsidP="00916E3B">
      <w:pPr>
        <w:spacing w:after="0" w:line="240" w:lineRule="auto"/>
        <w:ind w:left="720"/>
        <w:jc w:val="both"/>
      </w:pPr>
      <w:r w:rsidRPr="00CA0AE3">
        <w:t xml:space="preserve">Massachusetts’ MHSU service gaps are due in part to </w:t>
      </w:r>
      <w:r w:rsidR="00916E3B" w:rsidRPr="00CA0AE3">
        <w:t>s</w:t>
      </w:r>
      <w:r w:rsidRPr="00CA0AE3">
        <w:t xml:space="preserve">hortages across the entire care continuum, from outpatient care to emergency services, inpatient beds, partial hospital programs, crisis stabilization units, detoxification, residential programs, and so on.  This </w:t>
      </w:r>
      <w:r w:rsidR="00CB4BE1" w:rsidRPr="00CA0AE3">
        <w:t xml:space="preserve">can </w:t>
      </w:r>
      <w:r w:rsidRPr="00CA0AE3">
        <w:t xml:space="preserve">result in </w:t>
      </w:r>
      <w:r w:rsidR="00CB4BE1" w:rsidRPr="00CA0AE3">
        <w:t>sub-optimal</w:t>
      </w:r>
      <w:r w:rsidRPr="00CA0AE3">
        <w:t xml:space="preserve"> wait times for outpatient therapy; extended hospitalizations due to lack of community-based services; </w:t>
      </w:r>
      <w:r w:rsidR="00971C2D" w:rsidRPr="00CA0AE3">
        <w:t xml:space="preserve">and </w:t>
      </w:r>
      <w:r w:rsidRPr="00CA0AE3">
        <w:t>“boarding” in emergency departments (ED) as people await transfer to intermediate or acute care. Massachusetts faces an opioid use epidemic that has doubled the rate of overdose deaths from 2012 to 2015</w:t>
      </w:r>
      <w:r w:rsidRPr="00CA0AE3">
        <w:rPr>
          <w:vertAlign w:val="superscript"/>
        </w:rPr>
        <w:footnoteReference w:id="28"/>
      </w:r>
      <w:r w:rsidR="00605A41" w:rsidRPr="00CA0AE3">
        <w:t>, and</w:t>
      </w:r>
      <w:r w:rsidRPr="00CA0AE3">
        <w:t xml:space="preserve"> </w:t>
      </w:r>
      <w:r w:rsidR="00605A41" w:rsidRPr="00CA0AE3">
        <w:t xml:space="preserve">the need </w:t>
      </w:r>
      <w:r w:rsidRPr="00CA0AE3">
        <w:t>is growing exponentially</w:t>
      </w:r>
      <w:r w:rsidR="00605A41" w:rsidRPr="00CA0AE3">
        <w:t xml:space="preserve"> </w:t>
      </w:r>
      <w:r w:rsidR="00CB4BE1" w:rsidRPr="00CA0AE3">
        <w:t>for</w:t>
      </w:r>
      <w:r w:rsidR="00605A41" w:rsidRPr="00CA0AE3">
        <w:t xml:space="preserve"> </w:t>
      </w:r>
      <w:r w:rsidRPr="00CA0AE3">
        <w:t>expand</w:t>
      </w:r>
      <w:r w:rsidR="00605A41" w:rsidRPr="00CA0AE3">
        <w:t>ed</w:t>
      </w:r>
      <w:r w:rsidRPr="00CA0AE3">
        <w:t xml:space="preserve"> Medication-Assisted Treatment (MAT) </w:t>
      </w:r>
      <w:r w:rsidR="00E1406B" w:rsidRPr="00CA0AE3">
        <w:t>and</w:t>
      </w:r>
      <w:r w:rsidRPr="00CA0AE3">
        <w:t xml:space="preserve"> evidence-based outpatient care for SUD.</w:t>
      </w:r>
      <w:r w:rsidR="00916E3B" w:rsidRPr="00CA0AE3">
        <w:t xml:space="preserve">  Expansion of services in areas that are most lacking, particularly in the intermediate </w:t>
      </w:r>
      <w:r w:rsidR="00CB4BE1" w:rsidRPr="00CA0AE3">
        <w:t xml:space="preserve">care </w:t>
      </w:r>
      <w:r w:rsidR="00916E3B" w:rsidRPr="00CA0AE3">
        <w:t xml:space="preserve">levels that provide step-down and diversionary services, will assist </w:t>
      </w:r>
      <w:r w:rsidR="00CB4BE1" w:rsidRPr="00CA0AE3">
        <w:t>in</w:t>
      </w:r>
      <w:r w:rsidR="00916E3B" w:rsidRPr="00CA0AE3">
        <w:t xml:space="preserve"> shifting care away from more intensive levels and providing care at the appropriate level.  Enhancement of treatment modalities will be explored that promote greater efficiency and create capacity within existing services, such as shorter term evidence-based treatments and technology-based services such as telemedicine consultations.  Patient care teams may be redefined to include clinicians, paraprofessionals, peer specialists/coaches, community-based providers, social support providers, etc</w:t>
      </w:r>
      <w:r w:rsidR="009178C7">
        <w:t>.</w:t>
      </w:r>
      <w:r w:rsidR="00916E3B" w:rsidRPr="00CA0AE3">
        <w:t>, with the patient at the center of the team.</w:t>
      </w:r>
    </w:p>
    <w:p w:rsidR="009D4266" w:rsidRPr="00CA0AE3" w:rsidRDefault="009D4266" w:rsidP="009D4266">
      <w:pPr>
        <w:pStyle w:val="Default"/>
        <w:ind w:left="720"/>
        <w:rPr>
          <w:sz w:val="22"/>
          <w:szCs w:val="22"/>
        </w:rPr>
      </w:pPr>
    </w:p>
    <w:p w:rsidR="009D4266" w:rsidRPr="00CA0AE3" w:rsidRDefault="009D4266" w:rsidP="00967218">
      <w:pPr>
        <w:pStyle w:val="Default"/>
        <w:ind w:left="720"/>
        <w:jc w:val="both"/>
        <w:rPr>
          <w:sz w:val="22"/>
          <w:szCs w:val="22"/>
        </w:rPr>
      </w:pPr>
      <w:r w:rsidRPr="00CA0AE3">
        <w:rPr>
          <w:color w:val="auto"/>
          <w:sz w:val="22"/>
        </w:rPr>
        <w:t xml:space="preserve">A substantial portion of the public </w:t>
      </w:r>
      <w:r w:rsidRPr="00CA0AE3">
        <w:rPr>
          <w:rStyle w:val="term-highlight1"/>
          <w:b w:val="0"/>
          <w:color w:val="auto"/>
          <w:sz w:val="22"/>
        </w:rPr>
        <w:t>care</w:t>
      </w:r>
      <w:r w:rsidRPr="00CA0AE3">
        <w:rPr>
          <w:color w:val="auto"/>
          <w:sz w:val="22"/>
        </w:rPr>
        <w:t xml:space="preserve"> system for individuals with the most disabling conditions extends beyond </w:t>
      </w:r>
      <w:r w:rsidRPr="00CA0AE3">
        <w:rPr>
          <w:rStyle w:val="term-highlight1"/>
          <w:b w:val="0"/>
          <w:color w:val="auto"/>
          <w:sz w:val="22"/>
        </w:rPr>
        <w:t>health</w:t>
      </w:r>
      <w:r w:rsidRPr="00CA0AE3">
        <w:rPr>
          <w:b/>
          <w:color w:val="auto"/>
          <w:sz w:val="22"/>
        </w:rPr>
        <w:t xml:space="preserve"> </w:t>
      </w:r>
      <w:r w:rsidRPr="00CA0AE3">
        <w:rPr>
          <w:rStyle w:val="term-highlight1"/>
          <w:b w:val="0"/>
          <w:color w:val="auto"/>
          <w:sz w:val="22"/>
        </w:rPr>
        <w:t>care</w:t>
      </w:r>
      <w:r w:rsidRPr="00CA0AE3">
        <w:rPr>
          <w:color w:val="auto"/>
          <w:sz w:val="22"/>
        </w:rPr>
        <w:t xml:space="preserve"> services to rehabilitative and support services, including housing, job counseling, literacy, and other programs.  Poor linkage and fractured funding impedes the ability to provide access to these services in a coordinated and integrated way.</w:t>
      </w:r>
      <w:r w:rsidRPr="00CA0AE3">
        <w:rPr>
          <w:rStyle w:val="FootnoteReference"/>
          <w:color w:val="auto"/>
          <w:sz w:val="22"/>
        </w:rPr>
        <w:footnoteReference w:id="29"/>
      </w:r>
      <w:r w:rsidRPr="00CA0AE3">
        <w:rPr>
          <w:color w:val="auto"/>
          <w:sz w:val="22"/>
        </w:rPr>
        <w:t xml:space="preserve">  One strategy is</w:t>
      </w:r>
      <w:r w:rsidR="00916E3B" w:rsidRPr="00CA0AE3">
        <w:rPr>
          <w:color w:val="auto"/>
          <w:sz w:val="22"/>
        </w:rPr>
        <w:t xml:space="preserve"> the</w:t>
      </w:r>
      <w:r w:rsidRPr="00CA0AE3">
        <w:rPr>
          <w:color w:val="auto"/>
          <w:sz w:val="22"/>
        </w:rPr>
        <w:t xml:space="preserve"> formalization of agreements between healthcare providers and community-based providers who offer complementary services, and providing integrated population case management.</w:t>
      </w:r>
      <w:r w:rsidR="00043653" w:rsidRPr="00CA0AE3">
        <w:rPr>
          <w:color w:val="auto"/>
          <w:sz w:val="22"/>
        </w:rPr>
        <w:t xml:space="preserve">  </w:t>
      </w:r>
      <w:r w:rsidR="00916E3B" w:rsidRPr="00CA0AE3">
        <w:rPr>
          <w:sz w:val="22"/>
          <w:szCs w:val="22"/>
        </w:rPr>
        <w:t>A</w:t>
      </w:r>
      <w:r w:rsidRPr="00CA0AE3">
        <w:rPr>
          <w:sz w:val="22"/>
          <w:szCs w:val="22"/>
        </w:rPr>
        <w:t xml:space="preserve"> focus on health promotion is essential to impact health outcomes for this population</w:t>
      </w:r>
      <w:r w:rsidR="00043653" w:rsidRPr="00CA0AE3">
        <w:rPr>
          <w:sz w:val="22"/>
          <w:szCs w:val="22"/>
        </w:rPr>
        <w:t>, as a</w:t>
      </w:r>
      <w:r w:rsidRPr="00CA0AE3">
        <w:rPr>
          <w:sz w:val="22"/>
          <w:szCs w:val="22"/>
        </w:rPr>
        <w:t xml:space="preserve"> national study estimated 85 percent of the life expectancy gap for people living with schizophrenia was attributable to “natural” causes, such as cardiovascular disease, cancers, pneumonia, </w:t>
      </w:r>
      <w:r w:rsidR="00916E3B" w:rsidRPr="00CA0AE3">
        <w:rPr>
          <w:sz w:val="22"/>
          <w:szCs w:val="22"/>
        </w:rPr>
        <w:t xml:space="preserve">and </w:t>
      </w:r>
      <w:r w:rsidRPr="00CA0AE3">
        <w:rPr>
          <w:sz w:val="22"/>
          <w:szCs w:val="22"/>
        </w:rPr>
        <w:t>diabetes.</w:t>
      </w:r>
      <w:r w:rsidRPr="00CA0AE3">
        <w:rPr>
          <w:rStyle w:val="FootnoteReference"/>
          <w:sz w:val="22"/>
          <w:szCs w:val="22"/>
        </w:rPr>
        <w:footnoteReference w:id="30"/>
      </w:r>
      <w:r w:rsidRPr="00CA0AE3">
        <w:rPr>
          <w:sz w:val="22"/>
          <w:szCs w:val="22"/>
        </w:rPr>
        <w:t xml:space="preserve">  Early screening and </w:t>
      </w:r>
      <w:r w:rsidRPr="00CA0AE3">
        <w:rPr>
          <w:sz w:val="22"/>
          <w:szCs w:val="22"/>
        </w:rPr>
        <w:lastRenderedPageBreak/>
        <w:t xml:space="preserve">intervention for medical conditions is </w:t>
      </w:r>
      <w:r w:rsidR="00916E3B" w:rsidRPr="00CA0AE3">
        <w:rPr>
          <w:sz w:val="22"/>
          <w:szCs w:val="22"/>
        </w:rPr>
        <w:t>essential</w:t>
      </w:r>
      <w:r w:rsidR="00605A41" w:rsidRPr="00CA0AE3">
        <w:rPr>
          <w:sz w:val="22"/>
          <w:szCs w:val="22"/>
        </w:rPr>
        <w:t xml:space="preserve">, </w:t>
      </w:r>
      <w:r w:rsidRPr="00CA0AE3">
        <w:rPr>
          <w:sz w:val="22"/>
          <w:szCs w:val="22"/>
        </w:rPr>
        <w:t xml:space="preserve">particularly for patients taking antipsychotic medications that increase the risk for certain medical conditions, most notably metabolic syndrome. </w:t>
      </w:r>
      <w:r w:rsidR="00916E3B" w:rsidRPr="00CA0AE3">
        <w:rPr>
          <w:sz w:val="22"/>
          <w:szCs w:val="22"/>
        </w:rPr>
        <w:t>M</w:t>
      </w:r>
      <w:r w:rsidRPr="00CA0AE3">
        <w:rPr>
          <w:sz w:val="22"/>
          <w:szCs w:val="22"/>
        </w:rPr>
        <w:t>odifiable factors such as smoking, diet, physical activity, substance use, and social needs are key drivers</w:t>
      </w:r>
      <w:r w:rsidR="00043653" w:rsidRPr="00CA0AE3">
        <w:rPr>
          <w:sz w:val="22"/>
          <w:szCs w:val="22"/>
        </w:rPr>
        <w:t xml:space="preserve"> that can be addressed throu</w:t>
      </w:r>
      <w:r w:rsidR="00EF5728" w:rsidRPr="00CA0AE3">
        <w:rPr>
          <w:sz w:val="22"/>
          <w:szCs w:val="22"/>
        </w:rPr>
        <w:t>g</w:t>
      </w:r>
      <w:r w:rsidR="00043653" w:rsidRPr="00CA0AE3">
        <w:rPr>
          <w:sz w:val="22"/>
          <w:szCs w:val="22"/>
        </w:rPr>
        <w:t>h</w:t>
      </w:r>
      <w:r w:rsidRPr="00CA0AE3">
        <w:rPr>
          <w:sz w:val="22"/>
          <w:szCs w:val="22"/>
        </w:rPr>
        <w:t xml:space="preserve"> </w:t>
      </w:r>
      <w:r w:rsidR="00043653" w:rsidRPr="00CA0AE3">
        <w:rPr>
          <w:sz w:val="22"/>
          <w:szCs w:val="22"/>
        </w:rPr>
        <w:t>p</w:t>
      </w:r>
      <w:r w:rsidRPr="00CA0AE3">
        <w:rPr>
          <w:sz w:val="22"/>
          <w:szCs w:val="22"/>
        </w:rPr>
        <w:t>romoting healthy living through education, skills training, and behavioral therapy.</w:t>
      </w:r>
      <w:r w:rsidRPr="00CA0AE3">
        <w:rPr>
          <w:sz w:val="22"/>
          <w:szCs w:val="22"/>
          <w:vertAlign w:val="superscript"/>
        </w:rPr>
        <w:footnoteReference w:id="31"/>
      </w:r>
      <w:r w:rsidRPr="00CA0AE3">
        <w:rPr>
          <w:sz w:val="22"/>
          <w:szCs w:val="22"/>
          <w:vertAlign w:val="superscript"/>
        </w:rPr>
        <w:t>-</w:t>
      </w:r>
      <w:r w:rsidRPr="00CA0AE3">
        <w:rPr>
          <w:sz w:val="22"/>
          <w:szCs w:val="22"/>
          <w:vertAlign w:val="superscript"/>
        </w:rPr>
        <w:footnoteReference w:id="32"/>
      </w:r>
      <w:r w:rsidRPr="00CA0AE3">
        <w:rPr>
          <w:sz w:val="22"/>
          <w:szCs w:val="22"/>
        </w:rPr>
        <w:t xml:space="preserve">  </w:t>
      </w:r>
    </w:p>
    <w:p w:rsidR="005D66FC" w:rsidRPr="00CA0AE3" w:rsidRDefault="005D66FC" w:rsidP="00967218">
      <w:pPr>
        <w:spacing w:after="0" w:line="240" w:lineRule="auto"/>
        <w:ind w:left="720"/>
        <w:rPr>
          <w:i/>
        </w:rPr>
      </w:pPr>
    </w:p>
    <w:p w:rsidR="000D08DB" w:rsidRPr="00CA0AE3" w:rsidRDefault="000D08DB" w:rsidP="00967218">
      <w:pPr>
        <w:spacing w:after="0" w:line="240" w:lineRule="auto"/>
        <w:ind w:left="720"/>
        <w:jc w:val="both"/>
        <w:rPr>
          <w:i/>
        </w:rPr>
      </w:pPr>
      <w:r w:rsidRPr="00CA0AE3">
        <w:rPr>
          <w:i/>
        </w:rPr>
        <w:t>Referral Management and Integrated Care Management</w:t>
      </w:r>
    </w:p>
    <w:p w:rsidR="000D08DB" w:rsidRPr="00CA0AE3" w:rsidRDefault="000D08DB" w:rsidP="000D08DB">
      <w:pPr>
        <w:spacing w:after="0" w:line="240" w:lineRule="auto"/>
        <w:ind w:left="720"/>
        <w:jc w:val="both"/>
      </w:pPr>
      <w:r w:rsidRPr="00CA0AE3">
        <w:t xml:space="preserve">Toward the goals of better health and optimal, more coordinated and cost-effective care, this suite of initiatives is aimed at increasing patient access to high-quality care, promote appropriate referrals and access (i.e. the right provider in the right setting) based on the complexity of the patient’s needs. Providing integrated care across the continuum </w:t>
      </w:r>
      <w:r w:rsidR="00EF5728" w:rsidRPr="00CA0AE3">
        <w:t xml:space="preserve">of </w:t>
      </w:r>
      <w:r w:rsidRPr="00CA0AE3">
        <w:t>care through effective referral management and care coordination is foundational to the accountable care model and alternative payment arrangements with quality, cost and health care utilization accountability.  This is particularly important for Medicaid and other vulnerable patient populations that often face barriers to care and care fragmentation.</w:t>
      </w:r>
      <w:r w:rsidR="00654CEE" w:rsidRPr="00CA0AE3">
        <w:t xml:space="preserve"> </w:t>
      </w:r>
      <w:r w:rsidRPr="00CA0AE3">
        <w:t xml:space="preserve">This initiative builds and supports systems to maintain a preferred, high </w:t>
      </w:r>
      <w:r w:rsidR="00561DD5" w:rsidRPr="00CA0AE3">
        <w:t>value network</w:t>
      </w:r>
      <w:r w:rsidRPr="00CA0AE3">
        <w:t xml:space="preserve"> and simultaneously provide highly coordinated and quality care</w:t>
      </w:r>
      <w:r w:rsidR="009E291E" w:rsidRPr="00CA0AE3">
        <w:t xml:space="preserve"> </w:t>
      </w:r>
      <w:r w:rsidRPr="00CA0AE3">
        <w:t>in four ways: focus on public hospital system access and effective operational improvements in primary care</w:t>
      </w:r>
      <w:r w:rsidR="009E291E" w:rsidRPr="00CA0AE3">
        <w:t xml:space="preserve"> and</w:t>
      </w:r>
      <w:r w:rsidRPr="00CA0AE3">
        <w:t xml:space="preserve"> </w:t>
      </w:r>
      <w:r w:rsidR="009E291E" w:rsidRPr="00CA0AE3">
        <w:t xml:space="preserve">medical, surgical and behavioral health </w:t>
      </w:r>
      <w:r w:rsidRPr="00CA0AE3">
        <w:t>specialties, encourage public hospital referrals and the use of care within the public hospital system and with clearly defined high value preferred provider networks enabled to coordinate care</w:t>
      </w:r>
      <w:r w:rsidR="009E291E" w:rsidRPr="00CA0AE3">
        <w:t xml:space="preserve"> and redirect referrals from higher cost, lower-value external referrals</w:t>
      </w:r>
      <w:r w:rsidRPr="00CA0AE3">
        <w:t xml:space="preserve">, build relationships with key community-based partners such as visiting nurse associations (VNAs), skilled nursing facilities (SNFs), and detoxification facilities, and leverage proven technology to improve access and convenience for </w:t>
      </w:r>
      <w:r w:rsidR="00EF5728" w:rsidRPr="00CA0AE3">
        <w:t>the</w:t>
      </w:r>
      <w:r w:rsidRPr="00CA0AE3">
        <w:t xml:space="preserve"> patient panel to specialty opinions and care. The Massachusetts Office of the Attorney General’s report published in September 2015 found wide variation in the prices health insurance companies pay providers for similar services, unexplained by differences in quality, complexity of services, or other common measures of consumer value. The report found that </w:t>
      </w:r>
      <w:r w:rsidR="007711C0" w:rsidRPr="00CA0AE3">
        <w:t>h</w:t>
      </w:r>
      <w:r w:rsidRPr="00CA0AE3">
        <w:t>igher priced providers are drawing patient volume from lower priced providers</w:t>
      </w:r>
      <w:r w:rsidR="00FD5DCD" w:rsidRPr="00CA0AE3">
        <w:t>, which</w:t>
      </w:r>
      <w:r w:rsidRPr="00CA0AE3">
        <w:t xml:space="preserve"> increases costs as care is shifted from less expensive settings to more expensive settings.  </w:t>
      </w:r>
      <w:r w:rsidR="007711C0" w:rsidRPr="00CA0AE3">
        <w:t>R</w:t>
      </w:r>
      <w:r w:rsidRPr="00CA0AE3">
        <w:t xml:space="preserve">eferral networks comprised of high value providers </w:t>
      </w:r>
      <w:r w:rsidR="007711C0" w:rsidRPr="00CA0AE3">
        <w:t>are</w:t>
      </w:r>
      <w:r w:rsidRPr="00CA0AE3">
        <w:t xml:space="preserve"> an opportunity to address </w:t>
      </w:r>
      <w:r w:rsidR="007711C0" w:rsidRPr="00CA0AE3">
        <w:t>this</w:t>
      </w:r>
      <w:r w:rsidRPr="00CA0AE3">
        <w:t xml:space="preserve">.  </w:t>
      </w:r>
    </w:p>
    <w:p w:rsidR="000D08DB" w:rsidRPr="00CA0AE3" w:rsidRDefault="000D08DB" w:rsidP="000D08DB">
      <w:pPr>
        <w:spacing w:after="0" w:line="240" w:lineRule="auto"/>
        <w:ind w:left="720"/>
        <w:jc w:val="both"/>
      </w:pPr>
    </w:p>
    <w:p w:rsidR="0064550B" w:rsidRPr="00CA0AE3" w:rsidRDefault="000D08DB" w:rsidP="000D08DB">
      <w:pPr>
        <w:spacing w:after="0" w:line="240" w:lineRule="auto"/>
        <w:ind w:left="720"/>
        <w:jc w:val="both"/>
      </w:pPr>
      <w:r w:rsidRPr="00CA0AE3">
        <w:t>In addition, this initiative will refine emergency department (ED) and inpatient case management capabilities to offer alternative treatment modalities and community-based care to patients. This initiative will expand e-consults beyond tele-dermatology in order to increase access to consultations with specialists, reduc</w:t>
      </w:r>
      <w:r w:rsidR="00EE3B31" w:rsidRPr="00CA0AE3">
        <w:t>ing</w:t>
      </w:r>
      <w:r w:rsidRPr="00CA0AE3">
        <w:t xml:space="preserve"> cost and </w:t>
      </w:r>
      <w:r w:rsidR="00EE3B31" w:rsidRPr="00CA0AE3">
        <w:t xml:space="preserve">enabling </w:t>
      </w:r>
      <w:r w:rsidRPr="00CA0AE3">
        <w:t xml:space="preserve">more capacity for face-to-face visits when appropriate.  This initiative may focus on facilitating transportation to in-network care providers for patients who lack transportation by utilizing a non-medical transportation support service. Convenience and effectiveness also drives efforts to examine text-messaging in care management. </w:t>
      </w:r>
    </w:p>
    <w:p w:rsidR="000D08DB" w:rsidRPr="00CA0AE3" w:rsidRDefault="000D08DB" w:rsidP="000D08DB">
      <w:pPr>
        <w:spacing w:after="0" w:line="240" w:lineRule="auto"/>
        <w:ind w:left="720"/>
        <w:jc w:val="both"/>
      </w:pPr>
    </w:p>
    <w:p w:rsidR="004A2922" w:rsidRPr="00CA0AE3" w:rsidRDefault="004A2922" w:rsidP="004A2922">
      <w:pPr>
        <w:spacing w:after="0" w:line="240" w:lineRule="auto"/>
        <w:ind w:left="720"/>
        <w:jc w:val="both"/>
        <w:rPr>
          <w:i/>
        </w:rPr>
      </w:pPr>
      <w:r w:rsidRPr="00CA0AE3">
        <w:rPr>
          <w:i/>
        </w:rPr>
        <w:t xml:space="preserve">Evidence-Based Practices for Medical Management of Chronic Conditions </w:t>
      </w:r>
    </w:p>
    <w:p w:rsidR="004A2922" w:rsidRPr="00CA0AE3" w:rsidRDefault="004A2922" w:rsidP="004A2922">
      <w:pPr>
        <w:spacing w:after="0" w:line="240" w:lineRule="auto"/>
        <w:ind w:left="720"/>
        <w:jc w:val="both"/>
      </w:pPr>
      <w:r w:rsidRPr="00CA0AE3">
        <w:t xml:space="preserve">Evidence </w:t>
      </w:r>
      <w:r w:rsidR="00310A31" w:rsidRPr="00CA0AE3">
        <w:t>b</w:t>
      </w:r>
      <w:r w:rsidRPr="00CA0AE3">
        <w:t xml:space="preserve">ased </w:t>
      </w:r>
      <w:r w:rsidR="00310A31" w:rsidRPr="00CA0AE3">
        <w:t>m</w:t>
      </w:r>
      <w:r w:rsidRPr="00CA0AE3">
        <w:t xml:space="preserve">edicine (EBM) is the conscientious, explicit, and judicious use of current best evidence in making decisions about the care of individual patients.  The goal is to improve outcomes, quality, and cost by reducing the variation of care for key conditions and integrate EBM into the health care delivery system across the continuum. </w:t>
      </w:r>
      <w:r w:rsidR="00310A31" w:rsidRPr="00CA0AE3">
        <w:t>V</w:t>
      </w:r>
      <w:r w:rsidRPr="00CA0AE3">
        <w:t>ariation of care was outlined in the 2010 Dartmouth Institute’s reflections on geographic variations; however, similar variations in care may also be observed within health care systems and practices, acknowledging natural difference</w:t>
      </w:r>
      <w:r w:rsidR="00EE3B31" w:rsidRPr="00CA0AE3">
        <w:t>s</w:t>
      </w:r>
      <w:r w:rsidRPr="00CA0AE3">
        <w:t xml:space="preserve"> between patients. </w:t>
      </w:r>
      <w:r w:rsidR="00310A31" w:rsidRPr="00CA0AE3">
        <w:t>S</w:t>
      </w:r>
      <w:r w:rsidRPr="00CA0AE3">
        <w:t>afer, higher-quality care, redesigned systems of care</w:t>
      </w:r>
      <w:r w:rsidR="00310A31" w:rsidRPr="00CA0AE3">
        <w:t xml:space="preserve"> that integrate</w:t>
      </w:r>
      <w:r w:rsidRPr="00CA0AE3">
        <w:t xml:space="preserve"> the use of </w:t>
      </w:r>
      <w:r w:rsidRPr="00CA0AE3">
        <w:lastRenderedPageBreak/>
        <w:t xml:space="preserve">information technology can best support clinical and administrative processes to adopt EBM and improve patient outcomes.  </w:t>
      </w:r>
    </w:p>
    <w:p w:rsidR="004A2922" w:rsidRPr="00CA0AE3" w:rsidRDefault="004A2922" w:rsidP="004A2922">
      <w:pPr>
        <w:spacing w:after="0" w:line="240" w:lineRule="auto"/>
        <w:ind w:left="720"/>
        <w:jc w:val="both"/>
      </w:pPr>
    </w:p>
    <w:p w:rsidR="004A2922" w:rsidRPr="00CA0AE3" w:rsidRDefault="004A2922" w:rsidP="004A2922">
      <w:pPr>
        <w:spacing w:after="0" w:line="240" w:lineRule="auto"/>
        <w:ind w:left="720"/>
        <w:jc w:val="both"/>
      </w:pPr>
      <w:r w:rsidRPr="00CA0AE3">
        <w:t>Efforts to change the culture of medical practice to adopt EBM include education on recommendations from peer-reviewed groups such as Cochrane or the U.S. Preventive Services Task Force (USPTF), integration of EBM into clinical activities via clinical decision support (CDS)</w:t>
      </w:r>
      <w:r w:rsidR="00310A31" w:rsidRPr="00CA0AE3">
        <w:t xml:space="preserve"> for chronic conditions and prevention</w:t>
      </w:r>
      <w:r w:rsidRPr="00CA0AE3">
        <w:t xml:space="preserve">, and the application of population health data to prioritize and subsequently develop systems to close quality gaps. </w:t>
      </w:r>
      <w:r w:rsidR="00B36B7E" w:rsidRPr="00CA0AE3">
        <w:t>P</w:t>
      </w:r>
      <w:r w:rsidRPr="00CA0AE3">
        <w:t xml:space="preserve">lanned future initiatives build on capabilities to develop and use population health databases, risk stratify patients, and help connect </w:t>
      </w:r>
      <w:r w:rsidR="00EE3B31" w:rsidRPr="00CA0AE3">
        <w:t>the</w:t>
      </w:r>
      <w:r w:rsidRPr="00CA0AE3">
        <w:t xml:space="preserve"> most costly and vulnerable patients with complex care management, transitional facilitators, and palliative care services. </w:t>
      </w:r>
      <w:r w:rsidR="008B699A" w:rsidRPr="00CA0AE3">
        <w:t xml:space="preserve">Medical management programs aim to develop and implement evidence-based clinical guidelines for populations of patients with particular conditions to ensure the right care at the right time in the right context and produce optimal outcomes for quality, safety, cost, and experience.  Efforts </w:t>
      </w:r>
      <w:r w:rsidR="00952A5B" w:rsidRPr="00CA0AE3">
        <w:t>may</w:t>
      </w:r>
      <w:r w:rsidR="008B699A" w:rsidRPr="00CA0AE3">
        <w:t xml:space="preserve"> focus on improving care and reducing cost for populations of patients with five conditions: chronic obstructive pulmonary disease; congestive heart failure; hypertension; diabetes; and pediatric asthma.  </w:t>
      </w:r>
    </w:p>
    <w:p w:rsidR="004A2922" w:rsidRPr="00CA0AE3" w:rsidRDefault="004A2922" w:rsidP="004A2922">
      <w:pPr>
        <w:spacing w:after="0" w:line="240" w:lineRule="auto"/>
        <w:ind w:left="720"/>
        <w:jc w:val="both"/>
      </w:pPr>
    </w:p>
    <w:p w:rsidR="001600DF" w:rsidRPr="00CA0AE3" w:rsidRDefault="004A2922" w:rsidP="004A2922">
      <w:pPr>
        <w:spacing w:after="0" w:line="240" w:lineRule="auto"/>
        <w:ind w:left="720"/>
        <w:jc w:val="both"/>
      </w:pPr>
      <w:r w:rsidRPr="00CA0AE3">
        <w:t xml:space="preserve">Evidence-based patient engagement strategies may include those such as motivational interviewing in chronic health conditions and for substance use disorders, expansion of nursing, pharmacist, and other care team member roles in chronic disease management, and mental health team integration within primary care.  Initiatives may include refining tools, frameworks, analytics, and clinical workforce development in the use of evidence-based guidelines across the care continuum.   </w:t>
      </w:r>
    </w:p>
    <w:p w:rsidR="00313777" w:rsidRPr="00CA0AE3" w:rsidRDefault="00313777" w:rsidP="00DE07D1">
      <w:pPr>
        <w:spacing w:after="0" w:line="240" w:lineRule="auto"/>
        <w:ind w:left="720"/>
        <w:jc w:val="both"/>
      </w:pPr>
    </w:p>
    <w:p w:rsidR="00DF2DF0" w:rsidRPr="00CA0AE3" w:rsidRDefault="00DF2DF0" w:rsidP="0064550B">
      <w:pPr>
        <w:spacing w:after="0" w:line="240" w:lineRule="auto"/>
        <w:ind w:left="720"/>
        <w:jc w:val="both"/>
        <w:rPr>
          <w:i/>
        </w:rPr>
      </w:pPr>
      <w:r w:rsidRPr="00CA0AE3">
        <w:rPr>
          <w:i/>
        </w:rPr>
        <w:t xml:space="preserve">Community Empowered Population Health Initiative </w:t>
      </w:r>
    </w:p>
    <w:p w:rsidR="00DF2DF0" w:rsidRPr="00CA0AE3" w:rsidRDefault="008D3CB4" w:rsidP="00DF2DF0">
      <w:pPr>
        <w:spacing w:after="0" w:line="240" w:lineRule="auto"/>
        <w:ind w:left="720"/>
        <w:jc w:val="both"/>
      </w:pPr>
      <w:r w:rsidRPr="00CA0AE3">
        <w:t>In recognition that social, behavioral, and environmental factors account for 70% of what it takes to stay healthy while only 10% are attributable to direct medical care, this initiative will build and support systems to address social determinants of health (SDH) and address health disparities in patients with chronic conditions.</w:t>
      </w:r>
      <w:r w:rsidRPr="00CA0AE3">
        <w:rPr>
          <w:rStyle w:val="FootnoteReference"/>
        </w:rPr>
        <w:footnoteReference w:id="33"/>
      </w:r>
      <w:r w:rsidRPr="00CA0AE3">
        <w:t xml:space="preserve">  According to the Institute of Medicine, “an aligned system with a strong interface among public health, health care, and the community and non</w:t>
      </w:r>
      <w:r w:rsidR="00BC3ADB" w:rsidRPr="00CA0AE3">
        <w:t>-</w:t>
      </w:r>
      <w:r w:rsidRPr="00CA0AE3">
        <w:t>health sectors could produce better prevention and treatment outcomes for populations living with chronic illness.”</w:t>
      </w:r>
      <w:r w:rsidRPr="00CA0AE3">
        <w:rPr>
          <w:rStyle w:val="FootnoteReference"/>
        </w:rPr>
        <w:footnoteReference w:id="34"/>
      </w:r>
      <w:r w:rsidRPr="00CA0AE3">
        <w:t xml:space="preserve"> Healthy People 2020 highlights the importance of addressing the social determinants of health by including “</w:t>
      </w:r>
      <w:r w:rsidR="006D1718" w:rsidRPr="00CA0AE3">
        <w:t>c</w:t>
      </w:r>
      <w:r w:rsidRPr="00CA0AE3">
        <w:t>reate social and physical environments that promote good health for all” as one of the four overarching goals for the decade.</w:t>
      </w:r>
      <w:r w:rsidRPr="00CA0AE3">
        <w:rPr>
          <w:rStyle w:val="FootnoteReference"/>
        </w:rPr>
        <w:footnoteReference w:id="35"/>
      </w:r>
      <w:r w:rsidRPr="00CA0AE3">
        <w:t xml:space="preserve">  Based on emerging evidence that addressing social needs through enhanced clinical-community linkages can improve health outcomes and reduce costs, CMS has prioritized addressing SDH through the Accountable Health Communities model to address critical gaps between clinical care and community services.</w:t>
      </w:r>
      <w:r w:rsidRPr="00CA0AE3">
        <w:rPr>
          <w:rStyle w:val="FootnoteReference"/>
        </w:rPr>
        <w:footnoteReference w:id="36"/>
      </w:r>
      <w:r w:rsidRPr="00CA0AE3">
        <w:t xml:space="preserve">  The initiative also recognizes that health disparities have persisted for families and communities that have systematically experienced social and economic disadvantage and consequently face greater obstacles to optimal health</w:t>
      </w:r>
      <w:proofErr w:type="gramStart"/>
      <w:r w:rsidRPr="00CA0AE3">
        <w:t>.</w:t>
      </w:r>
      <w:r w:rsidRPr="00CA0AE3">
        <w:rPr>
          <w:rStyle w:val="FootnoteReference"/>
        </w:rPr>
        <w:footnoteReference w:id="37"/>
      </w:r>
      <w:r w:rsidRPr="00CA0AE3">
        <w:rPr>
          <w:vertAlign w:val="superscript"/>
        </w:rPr>
        <w:t>,</w:t>
      </w:r>
      <w:proofErr w:type="gramEnd"/>
      <w:r w:rsidRPr="00CA0AE3">
        <w:rPr>
          <w:rStyle w:val="FootnoteReference"/>
        </w:rPr>
        <w:footnoteReference w:id="38"/>
      </w:r>
    </w:p>
    <w:p w:rsidR="00DF2DF0" w:rsidRPr="00CA0AE3" w:rsidRDefault="00DF2DF0" w:rsidP="00DF2DF0">
      <w:pPr>
        <w:spacing w:after="0" w:line="240" w:lineRule="auto"/>
        <w:ind w:left="720"/>
        <w:jc w:val="both"/>
      </w:pPr>
    </w:p>
    <w:p w:rsidR="00313777" w:rsidRPr="00CA0AE3" w:rsidRDefault="008D3CB4" w:rsidP="0064550B">
      <w:pPr>
        <w:spacing w:after="0" w:line="240" w:lineRule="auto"/>
        <w:ind w:left="720"/>
        <w:jc w:val="both"/>
      </w:pPr>
      <w:r w:rsidRPr="00CA0AE3">
        <w:t xml:space="preserve">Improving SDH and health disparities requires supporting communities in addressing their health needs, implementing screening and referral processes to social service agencies and building programs that identify and address health disparities. Community health improvement teams will work with community based organizations and governmental entities to support their efforts to improve community health.   Clinical and community health improvement teams will work together </w:t>
      </w:r>
      <w:r w:rsidRPr="00CA0AE3">
        <w:lastRenderedPageBreak/>
        <w:t>to screen for SDH, refer patients with social needs to existing community services, and rescreen patients with social needs. Clinical and community health improvement teams will also work closely to identify populations with disproportionately higher rates of poor control of chronic health conditions, monitor and improve their care through ensuring they receive interventions such as education, outreach, and linkage to primary, specialty and other ambulatory care services.</w:t>
      </w:r>
    </w:p>
    <w:p w:rsidR="002272F0" w:rsidRPr="00CA0AE3" w:rsidRDefault="002272F0">
      <w:pPr>
        <w:spacing w:after="0" w:line="240" w:lineRule="auto"/>
        <w:rPr>
          <w:b/>
        </w:rPr>
      </w:pPr>
    </w:p>
    <w:p w:rsidR="00140063" w:rsidRPr="00CA0AE3" w:rsidRDefault="00140063" w:rsidP="004A7100">
      <w:pPr>
        <w:pStyle w:val="ListParagraph"/>
        <w:numPr>
          <w:ilvl w:val="0"/>
          <w:numId w:val="35"/>
        </w:numPr>
        <w:autoSpaceDE w:val="0"/>
        <w:autoSpaceDN w:val="0"/>
        <w:adjustRightInd w:val="0"/>
        <w:spacing w:after="0" w:line="240" w:lineRule="auto"/>
        <w:jc w:val="both"/>
        <w:rPr>
          <w:b/>
        </w:rPr>
      </w:pPr>
      <w:r w:rsidRPr="00CA0AE3">
        <w:rPr>
          <w:b/>
        </w:rPr>
        <w:t xml:space="preserve">PROPOSED PUBLIC HOSPITAL </w:t>
      </w:r>
      <w:r w:rsidR="00601447" w:rsidRPr="00CA0AE3">
        <w:rPr>
          <w:b/>
        </w:rPr>
        <w:t>TRANSFORMATION AND INCENTIVE INITIATIVES</w:t>
      </w:r>
    </w:p>
    <w:p w:rsidR="00140063" w:rsidRPr="00CA0AE3" w:rsidRDefault="00140063" w:rsidP="00297E0B">
      <w:pPr>
        <w:pStyle w:val="ListParagraph"/>
        <w:autoSpaceDE w:val="0"/>
        <w:autoSpaceDN w:val="0"/>
        <w:adjustRightInd w:val="0"/>
        <w:spacing w:after="0" w:line="240" w:lineRule="auto"/>
        <w:ind w:left="0"/>
        <w:jc w:val="both"/>
      </w:pPr>
    </w:p>
    <w:p w:rsidR="00723B4D" w:rsidRPr="00CA0AE3" w:rsidRDefault="00723B4D" w:rsidP="00297E0B">
      <w:pPr>
        <w:pStyle w:val="ListParagraph"/>
        <w:numPr>
          <w:ilvl w:val="1"/>
          <w:numId w:val="39"/>
        </w:numPr>
        <w:suppressAutoHyphens/>
        <w:spacing w:after="0" w:line="240" w:lineRule="auto"/>
        <w:jc w:val="both"/>
        <w:outlineLvl w:val="1"/>
        <w:rPr>
          <w:b/>
        </w:rPr>
      </w:pPr>
      <w:r w:rsidRPr="00CA0AE3">
        <w:rPr>
          <w:rFonts w:eastAsia="Times New Roman"/>
          <w:b/>
        </w:rPr>
        <w:t xml:space="preserve">Public Hospital </w:t>
      </w:r>
      <w:r w:rsidR="009738B8" w:rsidRPr="00CA0AE3">
        <w:rPr>
          <w:rFonts w:eastAsia="Times New Roman"/>
          <w:b/>
        </w:rPr>
        <w:t xml:space="preserve">Transformation and </w:t>
      </w:r>
      <w:r w:rsidRPr="00CA0AE3">
        <w:rPr>
          <w:rFonts w:eastAsia="Times New Roman"/>
          <w:b/>
        </w:rPr>
        <w:t>Incentive Initiative</w:t>
      </w:r>
      <w:r w:rsidR="00601447" w:rsidRPr="00CA0AE3">
        <w:rPr>
          <w:rFonts w:eastAsia="Times New Roman"/>
          <w:b/>
        </w:rPr>
        <w:t>s</w:t>
      </w:r>
    </w:p>
    <w:p w:rsidR="003A13C3" w:rsidRPr="00CA0AE3" w:rsidRDefault="00723B4D" w:rsidP="00297E0B">
      <w:pPr>
        <w:suppressAutoHyphens/>
        <w:spacing w:after="0" w:line="240" w:lineRule="auto"/>
        <w:ind w:left="720"/>
        <w:jc w:val="both"/>
        <w:outlineLvl w:val="1"/>
      </w:pPr>
      <w:r w:rsidRPr="00CA0AE3">
        <w:t xml:space="preserve">The Public Hospital must implement </w:t>
      </w:r>
      <w:r w:rsidR="00A941CF" w:rsidRPr="00CA0AE3">
        <w:t>PHTII</w:t>
      </w:r>
      <w:r w:rsidRPr="00CA0AE3">
        <w:t xml:space="preserve"> </w:t>
      </w:r>
      <w:r w:rsidR="00601447" w:rsidRPr="00CA0AE3">
        <w:t xml:space="preserve">initiatives </w:t>
      </w:r>
      <w:r w:rsidRPr="00CA0AE3">
        <w:t xml:space="preserve">approved by EOHHS and CMS that </w:t>
      </w:r>
      <w:r w:rsidR="00601447" w:rsidRPr="00CA0AE3">
        <w:t xml:space="preserve">are outlined within this protocol and </w:t>
      </w:r>
      <w:r w:rsidR="00B93A38" w:rsidRPr="00CA0AE3">
        <w:t xml:space="preserve">that </w:t>
      </w:r>
      <w:r w:rsidRPr="00CA0AE3">
        <w:t xml:space="preserve">meet all requirements pursuant to </w:t>
      </w:r>
      <w:r w:rsidR="008D3CB4" w:rsidRPr="00CA0AE3">
        <w:t xml:space="preserve">STC </w:t>
      </w:r>
      <w:r w:rsidR="00615147" w:rsidRPr="00CA0AE3">
        <w:t>56</w:t>
      </w:r>
      <w:r w:rsidR="00BA30F9" w:rsidRPr="00CA0AE3">
        <w:t>,</w:t>
      </w:r>
      <w:r w:rsidRPr="00CA0AE3">
        <w:t xml:space="preserve"> and all requirements </w:t>
      </w:r>
      <w:r w:rsidR="008D3CB4" w:rsidRPr="00CA0AE3">
        <w:t>set forth in Section III.</w:t>
      </w:r>
    </w:p>
    <w:p w:rsidR="006873C7" w:rsidRPr="00CA0AE3" w:rsidRDefault="006873C7" w:rsidP="00297E0B">
      <w:pPr>
        <w:pStyle w:val="ListParagraph"/>
        <w:suppressAutoHyphens/>
        <w:spacing w:after="0" w:line="240" w:lineRule="auto"/>
        <w:ind w:left="0"/>
        <w:jc w:val="both"/>
        <w:outlineLvl w:val="1"/>
      </w:pPr>
    </w:p>
    <w:p w:rsidR="00706848" w:rsidRPr="00CA0AE3" w:rsidRDefault="00706848" w:rsidP="00297E0B">
      <w:pPr>
        <w:pStyle w:val="ListParagraph"/>
        <w:numPr>
          <w:ilvl w:val="1"/>
          <w:numId w:val="39"/>
        </w:numPr>
        <w:suppressAutoHyphens/>
        <w:spacing w:after="0" w:line="240" w:lineRule="auto"/>
        <w:jc w:val="both"/>
        <w:outlineLvl w:val="1"/>
        <w:rPr>
          <w:b/>
        </w:rPr>
      </w:pPr>
      <w:r w:rsidRPr="00CA0AE3">
        <w:rPr>
          <w:rFonts w:eastAsia="Times New Roman"/>
          <w:b/>
        </w:rPr>
        <w:t>Minimum</w:t>
      </w:r>
      <w:r w:rsidRPr="00CA0AE3">
        <w:rPr>
          <w:b/>
        </w:rPr>
        <w:t xml:space="preserve"> </w:t>
      </w:r>
      <w:r w:rsidRPr="00CA0AE3">
        <w:rPr>
          <w:rFonts w:eastAsia="Times New Roman"/>
          <w:b/>
        </w:rPr>
        <w:t>Number</w:t>
      </w:r>
      <w:r w:rsidRPr="00CA0AE3">
        <w:rPr>
          <w:b/>
        </w:rPr>
        <w:t xml:space="preserve"> of </w:t>
      </w:r>
      <w:r w:rsidR="00601447" w:rsidRPr="00CA0AE3">
        <w:rPr>
          <w:b/>
        </w:rPr>
        <w:t>Initiatives</w:t>
      </w:r>
    </w:p>
    <w:p w:rsidR="003A13C3" w:rsidRPr="00CA0AE3" w:rsidRDefault="006873C7" w:rsidP="00297E0B">
      <w:pPr>
        <w:suppressAutoHyphens/>
        <w:spacing w:after="0" w:line="240" w:lineRule="auto"/>
        <w:ind w:left="720"/>
        <w:jc w:val="both"/>
        <w:outlineLvl w:val="1"/>
      </w:pPr>
      <w:r w:rsidRPr="00CA0AE3">
        <w:t xml:space="preserve">The Public Hospital </w:t>
      </w:r>
      <w:r w:rsidR="007F4B71" w:rsidRPr="00CA0AE3">
        <w:t>must</w:t>
      </w:r>
      <w:r w:rsidRPr="00CA0AE3">
        <w:t xml:space="preserve"> select a minimum of </w:t>
      </w:r>
      <w:r w:rsidR="00C00F4A" w:rsidRPr="00CA0AE3">
        <w:t xml:space="preserve">four initiatives </w:t>
      </w:r>
      <w:r w:rsidR="0036147F" w:rsidRPr="00CA0AE3">
        <w:t xml:space="preserve">and no more than </w:t>
      </w:r>
      <w:r w:rsidR="00C00F4A" w:rsidRPr="00CA0AE3">
        <w:t xml:space="preserve">five initiatives </w:t>
      </w:r>
      <w:r w:rsidR="0036147F" w:rsidRPr="00CA0AE3">
        <w:t>in total for PHTII</w:t>
      </w:r>
      <w:r w:rsidR="00875CD1" w:rsidRPr="00CA0AE3">
        <w:t>, in addition to the portion of PHTII funding linked to DSRIP performance accountability for the Public Hospital’s attributed primary care panel within an ACO</w:t>
      </w:r>
      <w:r w:rsidR="00140063" w:rsidRPr="00CA0AE3">
        <w:t>.</w:t>
      </w:r>
      <w:r w:rsidR="00CA0AE3">
        <w:t xml:space="preserve"> </w:t>
      </w:r>
      <w:r w:rsidR="00952A5B" w:rsidRPr="00CA0AE3">
        <w:t>Cambridge Health Alliance has selected four initiative areas 1 – 4 and corresponding Measure Slates 1 – 4 and 6.</w:t>
      </w:r>
    </w:p>
    <w:p w:rsidR="003A13C3" w:rsidRPr="00CA0AE3" w:rsidRDefault="003A13C3" w:rsidP="00297E0B">
      <w:pPr>
        <w:pStyle w:val="ListParagraph"/>
        <w:suppressAutoHyphens/>
        <w:spacing w:after="0" w:line="240" w:lineRule="auto"/>
        <w:ind w:left="0"/>
        <w:jc w:val="both"/>
        <w:outlineLvl w:val="1"/>
      </w:pPr>
    </w:p>
    <w:p w:rsidR="00706848" w:rsidRPr="00CA0AE3" w:rsidRDefault="006873C7" w:rsidP="00297E0B">
      <w:pPr>
        <w:pStyle w:val="ListParagraph"/>
        <w:numPr>
          <w:ilvl w:val="1"/>
          <w:numId w:val="39"/>
        </w:numPr>
        <w:suppressAutoHyphens/>
        <w:spacing w:after="0" w:line="240" w:lineRule="auto"/>
        <w:jc w:val="both"/>
        <w:outlineLvl w:val="1"/>
        <w:rPr>
          <w:b/>
        </w:rPr>
      </w:pPr>
      <w:r w:rsidRPr="00CA0AE3">
        <w:rPr>
          <w:b/>
        </w:rPr>
        <w:t xml:space="preserve">Public </w:t>
      </w:r>
      <w:r w:rsidRPr="00CA0AE3">
        <w:rPr>
          <w:rFonts w:eastAsia="Times New Roman"/>
          <w:b/>
        </w:rPr>
        <w:t>Hospital</w:t>
      </w:r>
      <w:r w:rsidR="00706848" w:rsidRPr="00CA0AE3">
        <w:rPr>
          <w:b/>
        </w:rPr>
        <w:t xml:space="preserve"> </w:t>
      </w:r>
      <w:r w:rsidR="0036147F" w:rsidRPr="00CA0AE3">
        <w:rPr>
          <w:b/>
        </w:rPr>
        <w:t xml:space="preserve">PHTII </w:t>
      </w:r>
      <w:r w:rsidR="00C00F4A" w:rsidRPr="00CA0AE3">
        <w:rPr>
          <w:b/>
        </w:rPr>
        <w:t>Initiative Toolkit</w:t>
      </w:r>
    </w:p>
    <w:p w:rsidR="005F46C3" w:rsidRPr="00CA0AE3" w:rsidRDefault="009D61B4" w:rsidP="00297E0B">
      <w:pPr>
        <w:spacing w:after="0" w:line="240" w:lineRule="auto"/>
        <w:ind w:left="720"/>
        <w:jc w:val="both"/>
        <w:rPr>
          <w:rFonts w:eastAsia="Times New Roman"/>
        </w:rPr>
      </w:pPr>
      <w:r w:rsidRPr="00CA0AE3">
        <w:rPr>
          <w:rFonts w:eastAsia="Times New Roman"/>
        </w:rPr>
        <w:t xml:space="preserve">Section VIII, paragraph </w:t>
      </w:r>
      <w:r w:rsidR="00007792" w:rsidRPr="00CA0AE3">
        <w:rPr>
          <w:rFonts w:eastAsia="Times New Roman"/>
        </w:rPr>
        <w:t>2</w:t>
      </w:r>
      <w:r w:rsidR="003014C3" w:rsidRPr="00CA0AE3">
        <w:rPr>
          <w:rFonts w:eastAsia="Times New Roman"/>
        </w:rPr>
        <w:t>3</w:t>
      </w:r>
      <w:r w:rsidRPr="00CA0AE3">
        <w:rPr>
          <w:rFonts w:eastAsia="Times New Roman"/>
        </w:rPr>
        <w:t xml:space="preserve"> includes the menu of PHTII </w:t>
      </w:r>
      <w:r w:rsidRPr="00CA0AE3">
        <w:rPr>
          <w:sz w:val="23"/>
          <w:szCs w:val="23"/>
        </w:rPr>
        <w:t xml:space="preserve">Initiatives and corresponding outcomes and improvement Measure Slates from which an eligible public hospital may select. </w:t>
      </w:r>
      <w:r w:rsidR="00C00F4A" w:rsidRPr="00CA0AE3">
        <w:rPr>
          <w:rFonts w:eastAsia="Times New Roman"/>
        </w:rPr>
        <w:t>Each initiative description includes:</w:t>
      </w:r>
    </w:p>
    <w:p w:rsidR="002F0973" w:rsidRPr="00CA0AE3" w:rsidRDefault="002F0973" w:rsidP="00297E0B">
      <w:pPr>
        <w:spacing w:after="0" w:line="240" w:lineRule="auto"/>
        <w:ind w:left="720"/>
        <w:jc w:val="both"/>
        <w:rPr>
          <w:rFonts w:eastAsia="Times New Roman"/>
        </w:rPr>
      </w:pPr>
    </w:p>
    <w:p w:rsidR="006234DB" w:rsidRPr="00CA0AE3" w:rsidRDefault="00C00F4A" w:rsidP="00297E0B">
      <w:pPr>
        <w:pStyle w:val="ListParagraph"/>
        <w:numPr>
          <w:ilvl w:val="2"/>
          <w:numId w:val="39"/>
        </w:numPr>
        <w:suppressAutoHyphens/>
        <w:autoSpaceDE w:val="0"/>
        <w:autoSpaceDN w:val="0"/>
        <w:adjustRightInd w:val="0"/>
        <w:spacing w:after="0" w:line="240" w:lineRule="auto"/>
        <w:jc w:val="both"/>
        <w:outlineLvl w:val="2"/>
      </w:pPr>
      <w:r w:rsidRPr="00CA0AE3">
        <w:rPr>
          <w:rFonts w:eastAsia="Times New Roman"/>
        </w:rPr>
        <w:t xml:space="preserve">Rationale for the proposed initiative (evidence base and reasoning behind initiative idea); </w:t>
      </w:r>
    </w:p>
    <w:p w:rsidR="00C00F4A" w:rsidRPr="00CA0AE3" w:rsidRDefault="00C00F4A" w:rsidP="00297E0B">
      <w:pPr>
        <w:pStyle w:val="ListParagraph"/>
        <w:numPr>
          <w:ilvl w:val="2"/>
          <w:numId w:val="39"/>
        </w:numPr>
        <w:suppressAutoHyphens/>
        <w:autoSpaceDE w:val="0"/>
        <w:autoSpaceDN w:val="0"/>
        <w:adjustRightInd w:val="0"/>
        <w:spacing w:after="0" w:line="240" w:lineRule="auto"/>
        <w:jc w:val="both"/>
        <w:outlineLvl w:val="2"/>
      </w:pPr>
      <w:r w:rsidRPr="00CA0AE3">
        <w:rPr>
          <w:rFonts w:eastAsia="Times New Roman"/>
        </w:rPr>
        <w:t xml:space="preserve">Goals and objectives for the initiative (initiative-specific Triple Aim goals and expected </w:t>
      </w:r>
      <w:r w:rsidR="00224FC8" w:rsidRPr="00CA0AE3">
        <w:rPr>
          <w:rFonts w:eastAsia="Times New Roman"/>
        </w:rPr>
        <w:t>initiative</w:t>
      </w:r>
      <w:r w:rsidRPr="00CA0AE3">
        <w:rPr>
          <w:rFonts w:eastAsia="Times New Roman"/>
        </w:rPr>
        <w:t xml:space="preserve"> outcomes); </w:t>
      </w:r>
    </w:p>
    <w:p w:rsidR="00C00F4A" w:rsidRPr="00CA0AE3" w:rsidRDefault="00C00F4A" w:rsidP="00297E0B">
      <w:pPr>
        <w:pStyle w:val="ListParagraph"/>
        <w:numPr>
          <w:ilvl w:val="2"/>
          <w:numId w:val="39"/>
        </w:numPr>
        <w:suppressAutoHyphens/>
        <w:autoSpaceDE w:val="0"/>
        <w:autoSpaceDN w:val="0"/>
        <w:adjustRightInd w:val="0"/>
        <w:spacing w:after="0" w:line="240" w:lineRule="auto"/>
        <w:jc w:val="both"/>
        <w:outlineLvl w:val="2"/>
      </w:pPr>
      <w:r w:rsidRPr="00CA0AE3">
        <w:rPr>
          <w:rFonts w:eastAsia="Times New Roman"/>
        </w:rPr>
        <w:t xml:space="preserve">Core components or key activities to guide initiative development and implementation; </w:t>
      </w:r>
    </w:p>
    <w:p w:rsidR="005F46C3" w:rsidRPr="00CA0AE3" w:rsidRDefault="00C00F4A">
      <w:pPr>
        <w:pStyle w:val="ListParagraph"/>
        <w:numPr>
          <w:ilvl w:val="3"/>
          <w:numId w:val="39"/>
        </w:numPr>
        <w:suppressAutoHyphens/>
        <w:autoSpaceDE w:val="0"/>
        <w:autoSpaceDN w:val="0"/>
        <w:adjustRightInd w:val="0"/>
        <w:spacing w:after="0" w:line="240" w:lineRule="auto"/>
        <w:jc w:val="both"/>
        <w:outlineLvl w:val="2"/>
      </w:pPr>
      <w:r w:rsidRPr="00CA0AE3">
        <w:t>The core components for the initiatives are not required. However, most will be necessary to achieve the required results. The core components provide a guide for how the initiatives are implemented by the public hospital.</w:t>
      </w:r>
    </w:p>
    <w:p w:rsidR="005F46C3" w:rsidRPr="00CA0AE3" w:rsidRDefault="008D3CB4">
      <w:pPr>
        <w:numPr>
          <w:ilvl w:val="2"/>
          <w:numId w:val="39"/>
        </w:numPr>
        <w:suppressAutoHyphens/>
        <w:autoSpaceDE w:val="0"/>
        <w:autoSpaceDN w:val="0"/>
        <w:adjustRightInd w:val="0"/>
        <w:spacing w:after="0" w:line="240" w:lineRule="auto"/>
        <w:jc w:val="both"/>
        <w:outlineLvl w:val="4"/>
        <w:rPr>
          <w:rFonts w:eastAsia="MS Gothic"/>
        </w:rPr>
      </w:pPr>
      <w:r w:rsidRPr="00CA0AE3">
        <w:rPr>
          <w:rFonts w:eastAsia="Times New Roman"/>
        </w:rPr>
        <w:t>Measure Slates required for the initiative, including clinical event outcomes</w:t>
      </w:r>
      <w:r w:rsidR="003014C3" w:rsidRPr="00CA0AE3">
        <w:rPr>
          <w:rFonts w:eastAsia="Times New Roman"/>
        </w:rPr>
        <w:t xml:space="preserve"> and other specified outcomes and improvement </w:t>
      </w:r>
      <w:r w:rsidRPr="00CA0AE3">
        <w:rPr>
          <w:rFonts w:eastAsia="Times New Roman"/>
        </w:rPr>
        <w:t xml:space="preserve">measures. </w:t>
      </w:r>
    </w:p>
    <w:p w:rsidR="00082812" w:rsidRPr="00CA0AE3" w:rsidRDefault="00082812" w:rsidP="00082812">
      <w:pPr>
        <w:pStyle w:val="ListParagraph"/>
        <w:numPr>
          <w:ilvl w:val="3"/>
          <w:numId w:val="13"/>
        </w:numPr>
        <w:spacing w:after="0" w:line="240" w:lineRule="auto"/>
        <w:jc w:val="both"/>
        <w:rPr>
          <w:lang w:eastAsia="ja-JP"/>
        </w:rPr>
      </w:pPr>
      <w:r w:rsidRPr="00CA0AE3">
        <w:rPr>
          <w:lang w:eastAsia="ja-JP"/>
        </w:rPr>
        <w:t xml:space="preserve">The PHTII funding at risk for improved performance on outcomes and improvement indicators will be spread among </w:t>
      </w:r>
      <w:r w:rsidR="00E27320" w:rsidRPr="00CA0AE3">
        <w:rPr>
          <w:lang w:eastAsia="ja-JP"/>
        </w:rPr>
        <w:t>f</w:t>
      </w:r>
      <w:r w:rsidR="00512C9F" w:rsidRPr="00CA0AE3">
        <w:rPr>
          <w:lang w:eastAsia="ja-JP"/>
        </w:rPr>
        <w:t>our</w:t>
      </w:r>
      <w:r w:rsidRPr="00CA0AE3">
        <w:rPr>
          <w:lang w:eastAsia="ja-JP"/>
        </w:rPr>
        <w:t xml:space="preserve"> (</w:t>
      </w:r>
      <w:r w:rsidR="00512C9F" w:rsidRPr="00CA0AE3">
        <w:rPr>
          <w:lang w:eastAsia="ja-JP"/>
        </w:rPr>
        <w:t>4</w:t>
      </w:r>
      <w:r w:rsidRPr="00CA0AE3">
        <w:rPr>
          <w:lang w:eastAsia="ja-JP"/>
        </w:rPr>
        <w:t xml:space="preserve">) Measure Slates associated with </w:t>
      </w:r>
      <w:r w:rsidR="00E020B9" w:rsidRPr="00CA0AE3">
        <w:rPr>
          <w:rFonts w:eastAsia="Times New Roman"/>
        </w:rPr>
        <w:t>ongoing transformation efforts to ensure high-quality health care services for the Medicaid and safety net populations</w:t>
      </w:r>
      <w:r w:rsidRPr="00CA0AE3">
        <w:rPr>
          <w:lang w:eastAsia="ja-JP"/>
        </w:rPr>
        <w:t>. Each Measure</w:t>
      </w:r>
      <w:r w:rsidR="008D3CB4" w:rsidRPr="00CA0AE3">
        <w:rPr>
          <w:rFonts w:eastAsia="MS Gothic"/>
          <w:lang w:eastAsia="ja-JP"/>
        </w:rPr>
        <w:t xml:space="preserve"> </w:t>
      </w:r>
      <w:r w:rsidRPr="00CA0AE3">
        <w:rPr>
          <w:lang w:eastAsia="ja-JP"/>
        </w:rPr>
        <w:t xml:space="preserve">Slate is a list of outcomes and improvement indicators for which the Public Hospital must successfully achieve defined metrics for a specified number of the </w:t>
      </w:r>
      <w:r w:rsidR="00B8008C" w:rsidRPr="00CA0AE3">
        <w:rPr>
          <w:lang w:eastAsia="ja-JP"/>
        </w:rPr>
        <w:t>indicators on the list within each specified demonstration year</w:t>
      </w:r>
      <w:r w:rsidRPr="00CA0AE3">
        <w:rPr>
          <w:lang w:eastAsia="ja-JP"/>
        </w:rPr>
        <w:t xml:space="preserve">. </w:t>
      </w:r>
    </w:p>
    <w:p w:rsidR="00082812" w:rsidRPr="00CA0AE3" w:rsidRDefault="00082812" w:rsidP="00082812">
      <w:pPr>
        <w:pStyle w:val="ListParagraph"/>
        <w:numPr>
          <w:ilvl w:val="3"/>
          <w:numId w:val="13"/>
        </w:numPr>
        <w:spacing w:after="0" w:line="240" w:lineRule="auto"/>
        <w:jc w:val="both"/>
        <w:rPr>
          <w:lang w:eastAsia="ja-JP"/>
        </w:rPr>
      </w:pPr>
      <w:r w:rsidRPr="00CA0AE3">
        <w:rPr>
          <w:lang w:eastAsia="ja-JP"/>
        </w:rPr>
        <w:t>Each Measure Slate</w:t>
      </w:r>
      <w:r w:rsidR="00585753" w:rsidRPr="00CA0AE3">
        <w:rPr>
          <w:lang w:eastAsia="ja-JP"/>
        </w:rPr>
        <w:t xml:space="preserve"> </w:t>
      </w:r>
      <w:r w:rsidRPr="00CA0AE3">
        <w:rPr>
          <w:lang w:eastAsia="ja-JP"/>
        </w:rPr>
        <w:t xml:space="preserve">is designed specifically for </w:t>
      </w:r>
      <w:r w:rsidR="00BC7A75" w:rsidRPr="00CA0AE3">
        <w:rPr>
          <w:lang w:eastAsia="ja-JP"/>
        </w:rPr>
        <w:t>a</w:t>
      </w:r>
      <w:r w:rsidR="00380D30" w:rsidRPr="00CA0AE3">
        <w:rPr>
          <w:lang w:eastAsia="ja-JP"/>
        </w:rPr>
        <w:t xml:space="preserve"> PHTII </w:t>
      </w:r>
      <w:r w:rsidR="00560063" w:rsidRPr="00CA0AE3">
        <w:rPr>
          <w:lang w:eastAsia="ja-JP"/>
        </w:rPr>
        <w:t>initiative</w:t>
      </w:r>
      <w:r w:rsidR="0085528A" w:rsidRPr="00CA0AE3">
        <w:rPr>
          <w:lang w:eastAsia="ja-JP"/>
        </w:rPr>
        <w:t>.</w:t>
      </w:r>
      <w:r w:rsidR="00585753" w:rsidRPr="00CA0AE3">
        <w:rPr>
          <w:lang w:eastAsia="ja-JP"/>
        </w:rPr>
        <w:t xml:space="preserve">  </w:t>
      </w:r>
      <w:r w:rsidR="0085528A" w:rsidRPr="00CA0AE3">
        <w:rPr>
          <w:lang w:eastAsia="ja-JP"/>
        </w:rPr>
        <w:t>For the purposes of the at-</w:t>
      </w:r>
      <w:r w:rsidRPr="00CA0AE3">
        <w:rPr>
          <w:lang w:eastAsia="ja-JP"/>
        </w:rPr>
        <w:t xml:space="preserve">risk funding for improved performance on outcomes and improvement indicators, the Measure Slates for PHTII </w:t>
      </w:r>
      <w:r w:rsidR="00560063" w:rsidRPr="00CA0AE3">
        <w:rPr>
          <w:lang w:eastAsia="ja-JP"/>
        </w:rPr>
        <w:t xml:space="preserve">initiatives </w:t>
      </w:r>
      <w:r w:rsidRPr="00CA0AE3">
        <w:rPr>
          <w:lang w:eastAsia="ja-JP"/>
        </w:rPr>
        <w:t>are as follows:</w:t>
      </w:r>
    </w:p>
    <w:p w:rsidR="00082812" w:rsidRPr="00CA0AE3" w:rsidRDefault="00082812" w:rsidP="00082812">
      <w:pPr>
        <w:spacing w:after="0" w:line="240" w:lineRule="auto"/>
        <w:jc w:val="both"/>
        <w:rPr>
          <w:lang w:eastAsia="ja-JP"/>
        </w:rPr>
      </w:pPr>
    </w:p>
    <w:p w:rsidR="005D66FC" w:rsidRPr="00CA0AE3" w:rsidRDefault="003B33CD">
      <w:pPr>
        <w:numPr>
          <w:ilvl w:val="4"/>
          <w:numId w:val="13"/>
        </w:numPr>
        <w:spacing w:after="0" w:line="240" w:lineRule="auto"/>
        <w:jc w:val="both"/>
        <w:rPr>
          <w:lang w:eastAsia="ja-JP"/>
        </w:rPr>
      </w:pPr>
      <w:r w:rsidRPr="00CA0AE3">
        <w:rPr>
          <w:lang w:eastAsia="ja-JP"/>
        </w:rPr>
        <w:t xml:space="preserve">Measure Slate 1 – </w:t>
      </w:r>
      <w:r w:rsidR="0013070F" w:rsidRPr="00CA0AE3">
        <w:rPr>
          <w:lang w:eastAsia="ja-JP"/>
        </w:rPr>
        <w:t xml:space="preserve">Integration of </w:t>
      </w:r>
      <w:r w:rsidR="00560063" w:rsidRPr="00CA0AE3">
        <w:t xml:space="preserve">Behavioral Health (BH) </w:t>
      </w:r>
      <w:r w:rsidR="0013070F" w:rsidRPr="00CA0AE3">
        <w:t xml:space="preserve">and Primary Care </w:t>
      </w:r>
      <w:r w:rsidR="00560063" w:rsidRPr="00CA0AE3">
        <w:t>Initiatives</w:t>
      </w:r>
    </w:p>
    <w:p w:rsidR="00082812" w:rsidRPr="00CA0AE3" w:rsidRDefault="00082812" w:rsidP="00082812">
      <w:pPr>
        <w:numPr>
          <w:ilvl w:val="4"/>
          <w:numId w:val="13"/>
        </w:numPr>
        <w:spacing w:after="0" w:line="240" w:lineRule="auto"/>
        <w:jc w:val="both"/>
        <w:rPr>
          <w:lang w:eastAsia="ja-JP"/>
        </w:rPr>
      </w:pPr>
      <w:r w:rsidRPr="00CA0AE3">
        <w:rPr>
          <w:lang w:eastAsia="ja-JP"/>
        </w:rPr>
        <w:t xml:space="preserve">Measure Slate </w:t>
      </w:r>
      <w:r w:rsidR="00155A4D" w:rsidRPr="00CA0AE3">
        <w:rPr>
          <w:lang w:eastAsia="ja-JP"/>
        </w:rPr>
        <w:t xml:space="preserve">2 </w:t>
      </w:r>
      <w:r w:rsidRPr="00CA0AE3">
        <w:rPr>
          <w:lang w:eastAsia="ja-JP"/>
        </w:rPr>
        <w:t xml:space="preserve">– </w:t>
      </w:r>
      <w:r w:rsidR="00560063" w:rsidRPr="00CA0AE3">
        <w:t xml:space="preserve">Comprehensive </w:t>
      </w:r>
      <w:r w:rsidR="007D225B" w:rsidRPr="00CA0AE3">
        <w:t>Systems for Treating</w:t>
      </w:r>
      <w:r w:rsidR="00560063" w:rsidRPr="00CA0AE3">
        <w:t xml:space="preserve"> Mental Health and Substance Use</w:t>
      </w:r>
      <w:r w:rsidR="007D225B" w:rsidRPr="00CA0AE3">
        <w:t xml:space="preserve"> Conditions</w:t>
      </w:r>
      <w:r w:rsidR="00560063" w:rsidRPr="00CA0AE3" w:rsidDel="00560063">
        <w:rPr>
          <w:lang w:eastAsia="ja-JP"/>
        </w:rPr>
        <w:t xml:space="preserve"> </w:t>
      </w:r>
    </w:p>
    <w:p w:rsidR="00082812" w:rsidRPr="00CA0AE3" w:rsidRDefault="00082812" w:rsidP="00082812">
      <w:pPr>
        <w:numPr>
          <w:ilvl w:val="4"/>
          <w:numId w:val="13"/>
        </w:numPr>
        <w:spacing w:after="0" w:line="240" w:lineRule="auto"/>
        <w:jc w:val="both"/>
        <w:rPr>
          <w:lang w:eastAsia="ja-JP"/>
        </w:rPr>
      </w:pPr>
      <w:r w:rsidRPr="00CA0AE3">
        <w:rPr>
          <w:lang w:eastAsia="ja-JP"/>
        </w:rPr>
        <w:t xml:space="preserve">Measure Slate </w:t>
      </w:r>
      <w:r w:rsidR="00155A4D" w:rsidRPr="00CA0AE3">
        <w:rPr>
          <w:lang w:eastAsia="ja-JP"/>
        </w:rPr>
        <w:t xml:space="preserve">3 </w:t>
      </w:r>
      <w:r w:rsidRPr="00CA0AE3">
        <w:rPr>
          <w:lang w:eastAsia="ja-JP"/>
        </w:rPr>
        <w:t xml:space="preserve">– </w:t>
      </w:r>
      <w:r w:rsidR="00560063" w:rsidRPr="00CA0AE3">
        <w:t>Referral Management Initiatives  and Integrated Care Management</w:t>
      </w:r>
    </w:p>
    <w:p w:rsidR="00082812" w:rsidRPr="00CA0AE3" w:rsidRDefault="00082812" w:rsidP="00082812">
      <w:pPr>
        <w:numPr>
          <w:ilvl w:val="4"/>
          <w:numId w:val="13"/>
        </w:numPr>
        <w:spacing w:after="0" w:line="240" w:lineRule="auto"/>
        <w:jc w:val="both"/>
        <w:rPr>
          <w:lang w:eastAsia="ja-JP"/>
        </w:rPr>
      </w:pPr>
      <w:r w:rsidRPr="00CA0AE3">
        <w:rPr>
          <w:lang w:eastAsia="ja-JP"/>
        </w:rPr>
        <w:t xml:space="preserve">Measure Slate </w:t>
      </w:r>
      <w:r w:rsidR="00155A4D" w:rsidRPr="00CA0AE3">
        <w:rPr>
          <w:lang w:eastAsia="ja-JP"/>
        </w:rPr>
        <w:t xml:space="preserve">4 </w:t>
      </w:r>
      <w:r w:rsidRPr="00CA0AE3">
        <w:rPr>
          <w:lang w:eastAsia="ja-JP"/>
        </w:rPr>
        <w:t xml:space="preserve">– </w:t>
      </w:r>
      <w:r w:rsidR="00E16AFA" w:rsidRPr="00CA0AE3">
        <w:t>Evidence-Based Practices for Medical Management of Chronic Conditions</w:t>
      </w:r>
      <w:r w:rsidR="00560063" w:rsidRPr="00CA0AE3" w:rsidDel="00560063">
        <w:rPr>
          <w:lang w:eastAsia="ja-JP"/>
        </w:rPr>
        <w:t xml:space="preserve"> </w:t>
      </w:r>
    </w:p>
    <w:p w:rsidR="00082812" w:rsidRPr="00CA0AE3" w:rsidRDefault="00082812" w:rsidP="00155A4D">
      <w:pPr>
        <w:numPr>
          <w:ilvl w:val="4"/>
          <w:numId w:val="13"/>
        </w:numPr>
        <w:spacing w:after="0" w:line="240" w:lineRule="auto"/>
        <w:jc w:val="both"/>
        <w:rPr>
          <w:lang w:eastAsia="ja-JP"/>
        </w:rPr>
      </w:pPr>
      <w:r w:rsidRPr="00CA0AE3">
        <w:rPr>
          <w:lang w:eastAsia="ja-JP"/>
        </w:rPr>
        <w:t xml:space="preserve">Measure Slate </w:t>
      </w:r>
      <w:r w:rsidR="00155A4D" w:rsidRPr="00CA0AE3">
        <w:rPr>
          <w:lang w:eastAsia="ja-JP"/>
        </w:rPr>
        <w:t xml:space="preserve">5 </w:t>
      </w:r>
      <w:r w:rsidRPr="00CA0AE3">
        <w:rPr>
          <w:lang w:eastAsia="ja-JP"/>
        </w:rPr>
        <w:t xml:space="preserve">– </w:t>
      </w:r>
      <w:r w:rsidR="00DF2DF0" w:rsidRPr="00CA0AE3">
        <w:t>Community Empowered Population Health Initiative</w:t>
      </w:r>
      <w:r w:rsidR="00153343" w:rsidRPr="00CA0AE3">
        <w:t xml:space="preserve"> (Not Selected)</w:t>
      </w:r>
      <w:r w:rsidR="0013070F" w:rsidRPr="00CA0AE3">
        <w:t>.</w:t>
      </w:r>
      <w:r w:rsidR="00DF2DF0" w:rsidRPr="00CA0AE3">
        <w:t xml:space="preserve"> </w:t>
      </w:r>
      <w:r w:rsidR="00560063" w:rsidRPr="00CA0AE3" w:rsidDel="00560063">
        <w:rPr>
          <w:lang w:eastAsia="ja-JP"/>
        </w:rPr>
        <w:t xml:space="preserve"> </w:t>
      </w:r>
    </w:p>
    <w:p w:rsidR="00082812" w:rsidRPr="00CA0AE3" w:rsidRDefault="00082812" w:rsidP="00082812">
      <w:pPr>
        <w:spacing w:after="0" w:line="240" w:lineRule="auto"/>
        <w:jc w:val="both"/>
        <w:rPr>
          <w:lang w:eastAsia="ja-JP"/>
        </w:rPr>
      </w:pPr>
    </w:p>
    <w:p w:rsidR="00FE2FE8" w:rsidRPr="00CA0AE3" w:rsidRDefault="007819FB" w:rsidP="00082812">
      <w:pPr>
        <w:pStyle w:val="ListParagraph"/>
        <w:numPr>
          <w:ilvl w:val="3"/>
          <w:numId w:val="13"/>
        </w:numPr>
        <w:spacing w:after="0" w:line="240" w:lineRule="auto"/>
        <w:jc w:val="both"/>
        <w:rPr>
          <w:lang w:eastAsia="ja-JP"/>
        </w:rPr>
      </w:pPr>
      <w:r w:rsidRPr="00CA0AE3">
        <w:rPr>
          <w:lang w:eastAsia="ja-JP"/>
        </w:rPr>
        <w:lastRenderedPageBreak/>
        <w:t>A</w:t>
      </w:r>
      <w:r w:rsidR="00082812" w:rsidRPr="00CA0AE3">
        <w:rPr>
          <w:lang w:eastAsia="ja-JP"/>
        </w:rPr>
        <w:t xml:space="preserve"> specified number of outcomes and improvement indicators will need to </w:t>
      </w:r>
      <w:r w:rsidR="0085528A" w:rsidRPr="00CA0AE3">
        <w:rPr>
          <w:lang w:eastAsia="ja-JP"/>
        </w:rPr>
        <w:t>be achieved</w:t>
      </w:r>
      <w:r w:rsidR="003B33CD" w:rsidRPr="00CA0AE3">
        <w:rPr>
          <w:lang w:eastAsia="ja-JP"/>
        </w:rPr>
        <w:t xml:space="preserve"> in each DY, </w:t>
      </w:r>
      <w:r w:rsidR="00082812" w:rsidRPr="00CA0AE3">
        <w:rPr>
          <w:lang w:eastAsia="ja-JP"/>
        </w:rPr>
        <w:t xml:space="preserve">according to the table below. </w:t>
      </w:r>
    </w:p>
    <w:p w:rsidR="00FE2FE8" w:rsidRPr="00CA0AE3" w:rsidRDefault="00FE2FE8" w:rsidP="00FE2FE8">
      <w:pPr>
        <w:pStyle w:val="ListParagraph"/>
        <w:spacing w:after="0" w:line="240" w:lineRule="auto"/>
        <w:ind w:left="1440"/>
        <w:jc w:val="both"/>
        <w:rPr>
          <w:lang w:eastAsia="ja-JP"/>
        </w:rPr>
      </w:pPr>
    </w:p>
    <w:p w:rsidR="00082812" w:rsidRPr="00CA0AE3" w:rsidRDefault="0014129C" w:rsidP="00FE2FE8">
      <w:pPr>
        <w:pStyle w:val="ListParagraph"/>
        <w:spacing w:after="0" w:line="240" w:lineRule="auto"/>
        <w:ind w:left="1440"/>
        <w:jc w:val="both"/>
        <w:rPr>
          <w:lang w:eastAsia="ja-JP"/>
        </w:rPr>
      </w:pPr>
      <w:r w:rsidRPr="00CA0AE3">
        <w:rPr>
          <w:lang w:eastAsia="ja-JP"/>
        </w:rPr>
        <w:t xml:space="preserve">The Public Hospital receives payment when a measure is individually achieved and reported, up to the established number of outcomes and improvement indicators assigned funding in </w:t>
      </w:r>
      <w:r w:rsidR="003014C3" w:rsidRPr="00CA0AE3">
        <w:rPr>
          <w:lang w:eastAsia="ja-JP"/>
        </w:rPr>
        <w:t xml:space="preserve">a </w:t>
      </w:r>
      <w:r w:rsidRPr="00CA0AE3">
        <w:rPr>
          <w:lang w:eastAsia="ja-JP"/>
        </w:rPr>
        <w:t>given demonstration year.  For example in Measure Slate 2 in DY 22, if the Public Hospital achieves 4 indicators (out of the defined number for that year which is set at 5</w:t>
      </w:r>
      <w:r w:rsidR="008D3CB4" w:rsidRPr="00CA0AE3">
        <w:rPr>
          <w:lang w:eastAsia="ja-JP"/>
        </w:rPr>
        <w:t xml:space="preserve"> indicators), the public hospital will be paid for those 4 indicators during that demonstration year.  However, if the Public Hospital achieves a greater number than the defined number of improvement indicators established for a given year (for example, 6 indicators compared to the defined number established at 5 indicators), the Public Hospital will only be paid for the first 5 indicators that it achieves on that Measure Slate during that demonstration year.</w:t>
      </w:r>
      <w:r w:rsidR="006E0FB7" w:rsidRPr="00CA0AE3">
        <w:rPr>
          <w:lang w:eastAsia="ja-JP"/>
        </w:rPr>
        <w:t xml:space="preserve"> </w:t>
      </w:r>
      <w:r w:rsidR="00872281" w:rsidRPr="00CA0AE3">
        <w:rPr>
          <w:lang w:eastAsia="ja-JP"/>
        </w:rPr>
        <w:t xml:space="preserve"> </w:t>
      </w:r>
    </w:p>
    <w:p w:rsidR="000464B5" w:rsidRPr="00CA0AE3" w:rsidRDefault="000464B5" w:rsidP="00082812">
      <w:pPr>
        <w:spacing w:after="0" w:line="240" w:lineRule="auto"/>
        <w:jc w:val="both"/>
        <w:rPr>
          <w:lang w:eastAsia="ja-JP"/>
        </w:rPr>
      </w:pPr>
    </w:p>
    <w:tbl>
      <w:tblPr>
        <w:tblStyle w:val="TableGrid"/>
        <w:tblW w:w="4154" w:type="pct"/>
        <w:tblInd w:w="1542" w:type="dxa"/>
        <w:tblLayout w:type="fixed"/>
        <w:tblLook w:val="04A0" w:firstRow="1" w:lastRow="0" w:firstColumn="1" w:lastColumn="0" w:noHBand="0" w:noVBand="1"/>
      </w:tblPr>
      <w:tblGrid>
        <w:gridCol w:w="1064"/>
        <w:gridCol w:w="1371"/>
        <w:gridCol w:w="1371"/>
        <w:gridCol w:w="1371"/>
        <w:gridCol w:w="1371"/>
        <w:gridCol w:w="1370"/>
      </w:tblGrid>
      <w:tr w:rsidR="002E72DC" w:rsidRPr="00CA0AE3" w:rsidTr="002F0973">
        <w:trPr>
          <w:trHeight w:val="197"/>
          <w:tblHeader/>
        </w:trPr>
        <w:tc>
          <w:tcPr>
            <w:tcW w:w="671" w:type="pct"/>
            <w:vAlign w:val="center"/>
          </w:tcPr>
          <w:p w:rsidR="00DF2DF0" w:rsidRPr="00CA0AE3" w:rsidRDefault="00DF2DF0">
            <w:pPr>
              <w:spacing w:after="0" w:line="240" w:lineRule="auto"/>
              <w:ind w:left="720"/>
              <w:contextualSpacing/>
              <w:rPr>
                <w:rFonts w:ascii="Times New Roman" w:hAnsi="Times New Roman" w:cs="Times New Roman"/>
                <w:b/>
                <w:lang w:eastAsia="ja-JP"/>
              </w:rPr>
            </w:pPr>
          </w:p>
        </w:tc>
        <w:tc>
          <w:tcPr>
            <w:tcW w:w="866" w:type="pct"/>
            <w:vAlign w:val="center"/>
          </w:tcPr>
          <w:p w:rsidR="00DF2DF0" w:rsidRPr="00CA0AE3" w:rsidRDefault="008D3CB4">
            <w:pPr>
              <w:spacing w:after="0" w:line="240" w:lineRule="auto"/>
              <w:jc w:val="center"/>
              <w:rPr>
                <w:rFonts w:ascii="Times New Roman" w:hAnsi="Times New Roman" w:cs="Times New Roman"/>
                <w:b/>
                <w:lang w:eastAsia="ja-JP"/>
              </w:rPr>
            </w:pPr>
            <w:r w:rsidRPr="00CA0AE3">
              <w:rPr>
                <w:rFonts w:ascii="Times New Roman" w:hAnsi="Times New Roman" w:cs="Times New Roman"/>
                <w:b/>
                <w:lang w:eastAsia="ja-JP"/>
              </w:rPr>
              <w:t>DY21</w:t>
            </w:r>
          </w:p>
        </w:tc>
        <w:tc>
          <w:tcPr>
            <w:tcW w:w="866" w:type="pct"/>
            <w:vAlign w:val="center"/>
          </w:tcPr>
          <w:p w:rsidR="00DF2DF0" w:rsidRPr="00CA0AE3" w:rsidRDefault="008D3CB4">
            <w:pPr>
              <w:spacing w:after="0" w:line="240" w:lineRule="auto"/>
              <w:jc w:val="center"/>
              <w:rPr>
                <w:rFonts w:ascii="Times New Roman" w:hAnsi="Times New Roman" w:cs="Times New Roman"/>
                <w:b/>
                <w:lang w:eastAsia="ja-JP"/>
              </w:rPr>
            </w:pPr>
            <w:r w:rsidRPr="00CA0AE3">
              <w:rPr>
                <w:rFonts w:ascii="Times New Roman" w:hAnsi="Times New Roman" w:cs="Times New Roman"/>
                <w:b/>
                <w:lang w:eastAsia="ja-JP"/>
              </w:rPr>
              <w:t>DY22</w:t>
            </w:r>
          </w:p>
        </w:tc>
        <w:tc>
          <w:tcPr>
            <w:tcW w:w="866" w:type="pct"/>
            <w:vAlign w:val="center"/>
          </w:tcPr>
          <w:p w:rsidR="00DF2DF0" w:rsidRPr="00CA0AE3" w:rsidRDefault="008D3CB4">
            <w:pPr>
              <w:spacing w:after="0" w:line="240" w:lineRule="auto"/>
              <w:jc w:val="center"/>
              <w:rPr>
                <w:rFonts w:ascii="Times New Roman" w:hAnsi="Times New Roman" w:cs="Times New Roman"/>
                <w:b/>
                <w:lang w:eastAsia="ja-JP"/>
              </w:rPr>
            </w:pPr>
            <w:r w:rsidRPr="00CA0AE3">
              <w:rPr>
                <w:rFonts w:ascii="Times New Roman" w:hAnsi="Times New Roman" w:cs="Times New Roman"/>
                <w:b/>
                <w:lang w:eastAsia="ja-JP"/>
              </w:rPr>
              <w:t>DY23</w:t>
            </w:r>
          </w:p>
        </w:tc>
        <w:tc>
          <w:tcPr>
            <w:tcW w:w="866" w:type="pct"/>
            <w:vAlign w:val="center"/>
          </w:tcPr>
          <w:p w:rsidR="00DF2DF0" w:rsidRPr="00CA0AE3" w:rsidRDefault="008D3CB4">
            <w:pPr>
              <w:spacing w:after="0" w:line="240" w:lineRule="auto"/>
              <w:jc w:val="center"/>
              <w:rPr>
                <w:rFonts w:ascii="Times New Roman" w:hAnsi="Times New Roman" w:cs="Times New Roman"/>
                <w:b/>
                <w:lang w:eastAsia="ja-JP"/>
              </w:rPr>
            </w:pPr>
            <w:r w:rsidRPr="00CA0AE3">
              <w:rPr>
                <w:rFonts w:ascii="Times New Roman" w:hAnsi="Times New Roman" w:cs="Times New Roman"/>
                <w:b/>
                <w:lang w:eastAsia="ja-JP"/>
              </w:rPr>
              <w:t>DY24</w:t>
            </w:r>
          </w:p>
        </w:tc>
        <w:tc>
          <w:tcPr>
            <w:tcW w:w="865" w:type="pct"/>
            <w:vAlign w:val="center"/>
          </w:tcPr>
          <w:p w:rsidR="00DF2DF0" w:rsidRPr="00CA0AE3" w:rsidRDefault="008D3CB4">
            <w:pPr>
              <w:spacing w:after="0" w:line="240" w:lineRule="auto"/>
              <w:jc w:val="center"/>
              <w:rPr>
                <w:rFonts w:ascii="Times New Roman" w:hAnsi="Times New Roman" w:cs="Times New Roman"/>
                <w:b/>
                <w:lang w:eastAsia="ja-JP"/>
              </w:rPr>
            </w:pPr>
            <w:r w:rsidRPr="00CA0AE3">
              <w:rPr>
                <w:rFonts w:ascii="Times New Roman" w:hAnsi="Times New Roman" w:cs="Times New Roman"/>
                <w:b/>
                <w:lang w:eastAsia="ja-JP"/>
              </w:rPr>
              <w:t>DY25</w:t>
            </w:r>
          </w:p>
        </w:tc>
      </w:tr>
      <w:tr w:rsidR="00946474" w:rsidRPr="00CA0AE3" w:rsidTr="00946474">
        <w:tc>
          <w:tcPr>
            <w:tcW w:w="671" w:type="pct"/>
            <w:vAlign w:val="center"/>
          </w:tcPr>
          <w:p w:rsidR="00DF2DF0" w:rsidRPr="00CA0AE3" w:rsidRDefault="008D3CB4">
            <w:pPr>
              <w:spacing w:after="0" w:line="240" w:lineRule="auto"/>
              <w:rPr>
                <w:rFonts w:ascii="Times New Roman" w:hAnsi="Times New Roman" w:cs="Times New Roman"/>
                <w:lang w:eastAsia="ja-JP"/>
              </w:rPr>
            </w:pPr>
            <w:r w:rsidRPr="00CA0AE3">
              <w:rPr>
                <w:rFonts w:ascii="Times New Roman" w:hAnsi="Times New Roman" w:cs="Times New Roman"/>
                <w:lang w:eastAsia="ja-JP"/>
              </w:rPr>
              <w:t>Measure Slate 1</w:t>
            </w:r>
          </w:p>
        </w:tc>
        <w:tc>
          <w:tcPr>
            <w:tcW w:w="866" w:type="pct"/>
            <w:vAlign w:val="center"/>
          </w:tcPr>
          <w:p w:rsidR="00DF2DF0" w:rsidRPr="00CA0AE3" w:rsidRDefault="008D3CB4">
            <w:pPr>
              <w:spacing w:after="0" w:line="240" w:lineRule="auto"/>
              <w:jc w:val="center"/>
              <w:rPr>
                <w:rFonts w:ascii="Times New Roman" w:hAnsi="Times New Roman" w:cs="Times New Roman"/>
                <w:lang w:eastAsia="ja-JP"/>
              </w:rPr>
            </w:pPr>
            <w:r w:rsidRPr="00CA0AE3">
              <w:rPr>
                <w:rFonts w:ascii="Times New Roman" w:hAnsi="Times New Roman" w:cs="Times New Roman"/>
                <w:bCs/>
                <w:kern w:val="24"/>
              </w:rPr>
              <w:t xml:space="preserve">Achieve 2 of 4 </w:t>
            </w:r>
            <w:r w:rsidRPr="00CA0AE3">
              <w:rPr>
                <w:rFonts w:ascii="Times New Roman" w:hAnsi="Times New Roman" w:cs="Times New Roman"/>
                <w:lang w:eastAsia="ja-JP"/>
              </w:rPr>
              <w:t>Indicator Goals</w:t>
            </w:r>
          </w:p>
        </w:tc>
        <w:tc>
          <w:tcPr>
            <w:tcW w:w="866" w:type="pct"/>
            <w:vAlign w:val="center"/>
          </w:tcPr>
          <w:p w:rsidR="00DF2DF0" w:rsidRPr="00CA0AE3" w:rsidRDefault="008D3CB4" w:rsidP="00BC085D">
            <w:pPr>
              <w:spacing w:after="0" w:line="240" w:lineRule="auto"/>
              <w:jc w:val="center"/>
              <w:rPr>
                <w:rFonts w:ascii="Times New Roman" w:hAnsi="Times New Roman" w:cs="Times New Roman"/>
                <w:lang w:eastAsia="ja-JP"/>
              </w:rPr>
            </w:pPr>
            <w:r w:rsidRPr="00CA0AE3">
              <w:rPr>
                <w:rFonts w:ascii="Times New Roman" w:hAnsi="Times New Roman" w:cs="Times New Roman"/>
                <w:bCs/>
                <w:kern w:val="24"/>
              </w:rPr>
              <w:t>Achieve 4 of 1</w:t>
            </w:r>
            <w:r w:rsidR="00BC085D" w:rsidRPr="00CA0AE3">
              <w:rPr>
                <w:rFonts w:ascii="Times New Roman" w:hAnsi="Times New Roman" w:cs="Times New Roman"/>
                <w:bCs/>
                <w:kern w:val="24"/>
              </w:rPr>
              <w:t>1</w:t>
            </w:r>
            <w:r w:rsidRPr="00CA0AE3">
              <w:rPr>
                <w:rFonts w:ascii="Times New Roman" w:hAnsi="Times New Roman" w:cs="Times New Roman"/>
                <w:bCs/>
                <w:kern w:val="24"/>
              </w:rPr>
              <w:t xml:space="preserve"> </w:t>
            </w:r>
            <w:r w:rsidRPr="00CA0AE3">
              <w:rPr>
                <w:rFonts w:ascii="Times New Roman" w:hAnsi="Times New Roman" w:cs="Times New Roman"/>
                <w:lang w:eastAsia="ja-JP"/>
              </w:rPr>
              <w:t>Indicator Goals</w:t>
            </w:r>
          </w:p>
        </w:tc>
        <w:tc>
          <w:tcPr>
            <w:tcW w:w="866" w:type="pct"/>
            <w:vAlign w:val="center"/>
          </w:tcPr>
          <w:p w:rsidR="00DF2DF0" w:rsidRPr="00CA0AE3" w:rsidRDefault="008D3CB4" w:rsidP="00BC085D">
            <w:pPr>
              <w:spacing w:after="0" w:line="240" w:lineRule="auto"/>
              <w:jc w:val="center"/>
              <w:rPr>
                <w:rFonts w:ascii="Times New Roman" w:hAnsi="Times New Roman" w:cs="Times New Roman"/>
                <w:lang w:eastAsia="ja-JP"/>
              </w:rPr>
            </w:pPr>
            <w:r w:rsidRPr="00CA0AE3">
              <w:rPr>
                <w:rFonts w:ascii="Times New Roman" w:hAnsi="Times New Roman" w:cs="Times New Roman"/>
                <w:bCs/>
                <w:kern w:val="24"/>
              </w:rPr>
              <w:t xml:space="preserve">Achieve </w:t>
            </w:r>
            <w:r w:rsidR="00BC085D" w:rsidRPr="00CA0AE3">
              <w:rPr>
                <w:rFonts w:ascii="Times New Roman" w:hAnsi="Times New Roman" w:cs="Times New Roman"/>
                <w:bCs/>
                <w:kern w:val="24"/>
              </w:rPr>
              <w:t>5</w:t>
            </w:r>
            <w:r w:rsidRPr="00CA0AE3">
              <w:rPr>
                <w:rFonts w:ascii="Times New Roman" w:hAnsi="Times New Roman" w:cs="Times New Roman"/>
                <w:bCs/>
                <w:kern w:val="24"/>
              </w:rPr>
              <w:t xml:space="preserve"> of 1</w:t>
            </w:r>
            <w:r w:rsidR="00BC085D" w:rsidRPr="00CA0AE3">
              <w:rPr>
                <w:rFonts w:ascii="Times New Roman" w:hAnsi="Times New Roman" w:cs="Times New Roman"/>
                <w:bCs/>
                <w:kern w:val="24"/>
              </w:rPr>
              <w:t>1</w:t>
            </w:r>
            <w:r w:rsidRPr="00CA0AE3">
              <w:rPr>
                <w:rFonts w:ascii="Times New Roman" w:hAnsi="Times New Roman" w:cs="Times New Roman"/>
                <w:bCs/>
                <w:kern w:val="24"/>
              </w:rPr>
              <w:t xml:space="preserve"> </w:t>
            </w:r>
            <w:r w:rsidRPr="00CA0AE3">
              <w:rPr>
                <w:rFonts w:ascii="Times New Roman" w:hAnsi="Times New Roman" w:cs="Times New Roman"/>
                <w:lang w:eastAsia="ja-JP"/>
              </w:rPr>
              <w:t>Indicator Goals</w:t>
            </w:r>
          </w:p>
        </w:tc>
        <w:tc>
          <w:tcPr>
            <w:tcW w:w="866" w:type="pct"/>
            <w:vAlign w:val="center"/>
          </w:tcPr>
          <w:p w:rsidR="00DF2DF0" w:rsidRPr="00CA0AE3" w:rsidRDefault="008D3CB4" w:rsidP="00BC085D">
            <w:pPr>
              <w:spacing w:after="0" w:line="240" w:lineRule="auto"/>
              <w:jc w:val="center"/>
              <w:rPr>
                <w:rFonts w:ascii="Times New Roman" w:hAnsi="Times New Roman" w:cs="Times New Roman"/>
                <w:lang w:eastAsia="ja-JP"/>
              </w:rPr>
            </w:pPr>
            <w:r w:rsidRPr="00CA0AE3">
              <w:rPr>
                <w:rFonts w:ascii="Times New Roman" w:hAnsi="Times New Roman" w:cs="Times New Roman"/>
                <w:bCs/>
                <w:kern w:val="24"/>
              </w:rPr>
              <w:t xml:space="preserve">Achieve </w:t>
            </w:r>
            <w:r w:rsidR="00BC085D" w:rsidRPr="00CA0AE3">
              <w:rPr>
                <w:rFonts w:ascii="Times New Roman" w:hAnsi="Times New Roman" w:cs="Times New Roman"/>
                <w:bCs/>
                <w:kern w:val="24"/>
              </w:rPr>
              <w:t>6</w:t>
            </w:r>
            <w:r w:rsidRPr="00CA0AE3">
              <w:rPr>
                <w:rFonts w:ascii="Times New Roman" w:hAnsi="Times New Roman" w:cs="Times New Roman"/>
                <w:bCs/>
                <w:kern w:val="24"/>
              </w:rPr>
              <w:t xml:space="preserve"> of 1</w:t>
            </w:r>
            <w:r w:rsidR="00BC085D" w:rsidRPr="00CA0AE3">
              <w:rPr>
                <w:rFonts w:ascii="Times New Roman" w:hAnsi="Times New Roman" w:cs="Times New Roman"/>
                <w:bCs/>
                <w:kern w:val="24"/>
              </w:rPr>
              <w:t>1</w:t>
            </w:r>
            <w:r w:rsidRPr="00CA0AE3">
              <w:rPr>
                <w:rFonts w:ascii="Times New Roman" w:hAnsi="Times New Roman" w:cs="Times New Roman"/>
                <w:bCs/>
                <w:kern w:val="24"/>
              </w:rPr>
              <w:t xml:space="preserve"> </w:t>
            </w:r>
            <w:r w:rsidRPr="00CA0AE3">
              <w:rPr>
                <w:rFonts w:ascii="Times New Roman" w:hAnsi="Times New Roman" w:cs="Times New Roman"/>
                <w:lang w:eastAsia="ja-JP"/>
              </w:rPr>
              <w:t>Indicator Goals</w:t>
            </w:r>
          </w:p>
        </w:tc>
        <w:tc>
          <w:tcPr>
            <w:tcW w:w="865" w:type="pct"/>
            <w:vAlign w:val="center"/>
          </w:tcPr>
          <w:p w:rsidR="00DF2DF0" w:rsidRPr="00CA0AE3" w:rsidRDefault="008D3CB4" w:rsidP="00BC085D">
            <w:pPr>
              <w:spacing w:after="0" w:line="240" w:lineRule="auto"/>
              <w:jc w:val="center"/>
              <w:rPr>
                <w:rFonts w:ascii="Times New Roman" w:hAnsi="Times New Roman" w:cs="Times New Roman"/>
                <w:lang w:eastAsia="ja-JP"/>
              </w:rPr>
            </w:pPr>
            <w:r w:rsidRPr="00CA0AE3">
              <w:rPr>
                <w:rFonts w:ascii="Times New Roman" w:hAnsi="Times New Roman" w:cs="Times New Roman"/>
                <w:bCs/>
                <w:kern w:val="24"/>
              </w:rPr>
              <w:t xml:space="preserve">Achieve </w:t>
            </w:r>
            <w:r w:rsidR="00BC085D" w:rsidRPr="00CA0AE3">
              <w:rPr>
                <w:rFonts w:ascii="Times New Roman" w:hAnsi="Times New Roman" w:cs="Times New Roman"/>
                <w:bCs/>
                <w:kern w:val="24"/>
              </w:rPr>
              <w:t>7</w:t>
            </w:r>
            <w:r w:rsidRPr="00CA0AE3">
              <w:rPr>
                <w:rFonts w:ascii="Times New Roman" w:hAnsi="Times New Roman" w:cs="Times New Roman"/>
                <w:bCs/>
                <w:kern w:val="24"/>
              </w:rPr>
              <w:t xml:space="preserve"> of 1</w:t>
            </w:r>
            <w:r w:rsidR="00BC085D" w:rsidRPr="00CA0AE3">
              <w:rPr>
                <w:rFonts w:ascii="Times New Roman" w:hAnsi="Times New Roman" w:cs="Times New Roman"/>
                <w:bCs/>
                <w:kern w:val="24"/>
              </w:rPr>
              <w:t>1</w:t>
            </w:r>
            <w:r w:rsidRPr="00CA0AE3">
              <w:rPr>
                <w:rFonts w:ascii="Times New Roman" w:hAnsi="Times New Roman" w:cs="Times New Roman"/>
                <w:bCs/>
                <w:kern w:val="24"/>
              </w:rPr>
              <w:t xml:space="preserve"> </w:t>
            </w:r>
            <w:r w:rsidRPr="00CA0AE3">
              <w:rPr>
                <w:rFonts w:ascii="Times New Roman" w:hAnsi="Times New Roman" w:cs="Times New Roman"/>
                <w:lang w:eastAsia="ja-JP"/>
              </w:rPr>
              <w:t>Indicator Goals</w:t>
            </w:r>
          </w:p>
        </w:tc>
      </w:tr>
      <w:tr w:rsidR="00946474" w:rsidRPr="00CA0AE3" w:rsidTr="00946474">
        <w:tc>
          <w:tcPr>
            <w:tcW w:w="671" w:type="pct"/>
            <w:vAlign w:val="center"/>
          </w:tcPr>
          <w:p w:rsidR="00DF2DF0" w:rsidRPr="00CA0AE3" w:rsidRDefault="008D3CB4">
            <w:pPr>
              <w:spacing w:after="0" w:line="240" w:lineRule="auto"/>
              <w:rPr>
                <w:rFonts w:ascii="Times New Roman" w:hAnsi="Times New Roman" w:cs="Times New Roman"/>
                <w:lang w:eastAsia="ja-JP"/>
              </w:rPr>
            </w:pPr>
            <w:r w:rsidRPr="00CA0AE3">
              <w:rPr>
                <w:rFonts w:ascii="Times New Roman" w:hAnsi="Times New Roman" w:cs="Times New Roman"/>
                <w:lang w:eastAsia="ja-JP"/>
              </w:rPr>
              <w:t>Measure Slate 2</w:t>
            </w:r>
          </w:p>
        </w:tc>
        <w:tc>
          <w:tcPr>
            <w:tcW w:w="866" w:type="pct"/>
            <w:vAlign w:val="center"/>
          </w:tcPr>
          <w:p w:rsidR="00DF2DF0" w:rsidRPr="00CA0AE3" w:rsidRDefault="008D3CB4">
            <w:pPr>
              <w:spacing w:after="0" w:line="240" w:lineRule="auto"/>
              <w:jc w:val="center"/>
              <w:rPr>
                <w:rFonts w:ascii="Times New Roman" w:hAnsi="Times New Roman" w:cs="Times New Roman"/>
                <w:lang w:eastAsia="ja-JP"/>
              </w:rPr>
            </w:pPr>
            <w:r w:rsidRPr="00CA0AE3">
              <w:rPr>
                <w:rFonts w:ascii="Times New Roman" w:hAnsi="Times New Roman" w:cs="Times New Roman"/>
                <w:bCs/>
                <w:kern w:val="24"/>
              </w:rPr>
              <w:t xml:space="preserve">Achieve 2 of 5 </w:t>
            </w:r>
            <w:r w:rsidRPr="00CA0AE3">
              <w:rPr>
                <w:rFonts w:ascii="Times New Roman" w:hAnsi="Times New Roman" w:cs="Times New Roman"/>
                <w:lang w:eastAsia="ja-JP"/>
              </w:rPr>
              <w:t>Indicator Goals</w:t>
            </w:r>
          </w:p>
        </w:tc>
        <w:tc>
          <w:tcPr>
            <w:tcW w:w="866" w:type="pct"/>
            <w:vAlign w:val="center"/>
          </w:tcPr>
          <w:p w:rsidR="00DF2DF0" w:rsidRPr="00CA0AE3" w:rsidRDefault="008D3CB4" w:rsidP="00DD7B0B">
            <w:pPr>
              <w:spacing w:after="0" w:line="240" w:lineRule="auto"/>
              <w:jc w:val="center"/>
              <w:rPr>
                <w:rFonts w:ascii="Times New Roman" w:hAnsi="Times New Roman" w:cs="Times New Roman"/>
                <w:lang w:eastAsia="ja-JP"/>
              </w:rPr>
            </w:pPr>
            <w:r w:rsidRPr="00CA0AE3">
              <w:rPr>
                <w:rFonts w:ascii="Times New Roman" w:hAnsi="Times New Roman" w:cs="Times New Roman"/>
                <w:bCs/>
                <w:kern w:val="24"/>
              </w:rPr>
              <w:t>Achieve 5 of 1</w:t>
            </w:r>
            <w:r w:rsidR="00DD7B0B" w:rsidRPr="00CA0AE3">
              <w:rPr>
                <w:rFonts w:ascii="Times New Roman" w:hAnsi="Times New Roman" w:cs="Times New Roman"/>
                <w:bCs/>
                <w:kern w:val="24"/>
              </w:rPr>
              <w:t>3</w:t>
            </w:r>
            <w:r w:rsidRPr="00CA0AE3">
              <w:rPr>
                <w:rFonts w:ascii="Times New Roman" w:hAnsi="Times New Roman" w:cs="Times New Roman"/>
                <w:bCs/>
                <w:kern w:val="24"/>
              </w:rPr>
              <w:t xml:space="preserve"> </w:t>
            </w:r>
            <w:r w:rsidRPr="00CA0AE3">
              <w:rPr>
                <w:rFonts w:ascii="Times New Roman" w:hAnsi="Times New Roman" w:cs="Times New Roman"/>
                <w:lang w:eastAsia="ja-JP"/>
              </w:rPr>
              <w:t>Indicator Goals</w:t>
            </w:r>
          </w:p>
        </w:tc>
        <w:tc>
          <w:tcPr>
            <w:tcW w:w="866" w:type="pct"/>
            <w:vAlign w:val="center"/>
          </w:tcPr>
          <w:p w:rsidR="00DF2DF0" w:rsidRPr="00CA0AE3" w:rsidRDefault="008D3CB4" w:rsidP="00DD7B0B">
            <w:pPr>
              <w:spacing w:after="0" w:line="240" w:lineRule="auto"/>
              <w:jc w:val="center"/>
              <w:rPr>
                <w:rFonts w:ascii="Times New Roman" w:hAnsi="Times New Roman" w:cs="Times New Roman"/>
                <w:lang w:eastAsia="ja-JP"/>
              </w:rPr>
            </w:pPr>
            <w:r w:rsidRPr="00CA0AE3">
              <w:rPr>
                <w:rFonts w:ascii="Times New Roman" w:hAnsi="Times New Roman" w:cs="Times New Roman"/>
                <w:bCs/>
                <w:kern w:val="24"/>
              </w:rPr>
              <w:t xml:space="preserve">Achieve </w:t>
            </w:r>
            <w:r w:rsidR="00DD7B0B" w:rsidRPr="00CA0AE3">
              <w:rPr>
                <w:rFonts w:ascii="Times New Roman" w:hAnsi="Times New Roman" w:cs="Times New Roman"/>
                <w:bCs/>
                <w:kern w:val="24"/>
              </w:rPr>
              <w:t>7</w:t>
            </w:r>
            <w:r w:rsidRPr="00CA0AE3">
              <w:rPr>
                <w:rFonts w:ascii="Times New Roman" w:hAnsi="Times New Roman" w:cs="Times New Roman"/>
                <w:bCs/>
                <w:kern w:val="24"/>
              </w:rPr>
              <w:t xml:space="preserve"> of 1</w:t>
            </w:r>
            <w:r w:rsidR="00DD7B0B" w:rsidRPr="00CA0AE3">
              <w:rPr>
                <w:rFonts w:ascii="Times New Roman" w:hAnsi="Times New Roman" w:cs="Times New Roman"/>
                <w:bCs/>
                <w:kern w:val="24"/>
              </w:rPr>
              <w:t>3</w:t>
            </w:r>
            <w:r w:rsidRPr="00CA0AE3">
              <w:rPr>
                <w:rFonts w:ascii="Times New Roman" w:hAnsi="Times New Roman" w:cs="Times New Roman"/>
                <w:bCs/>
                <w:kern w:val="24"/>
              </w:rPr>
              <w:t xml:space="preserve"> </w:t>
            </w:r>
            <w:r w:rsidRPr="00CA0AE3">
              <w:rPr>
                <w:rFonts w:ascii="Times New Roman" w:hAnsi="Times New Roman" w:cs="Times New Roman"/>
                <w:lang w:eastAsia="ja-JP"/>
              </w:rPr>
              <w:t>Indicator Goals</w:t>
            </w:r>
          </w:p>
        </w:tc>
        <w:tc>
          <w:tcPr>
            <w:tcW w:w="866" w:type="pct"/>
            <w:vAlign w:val="center"/>
          </w:tcPr>
          <w:p w:rsidR="00DF2DF0" w:rsidRPr="00CA0AE3" w:rsidRDefault="008D3CB4" w:rsidP="00DD7B0B">
            <w:pPr>
              <w:spacing w:after="0" w:line="240" w:lineRule="auto"/>
              <w:jc w:val="center"/>
              <w:rPr>
                <w:rFonts w:ascii="Times New Roman" w:hAnsi="Times New Roman" w:cs="Times New Roman"/>
                <w:lang w:eastAsia="ja-JP"/>
              </w:rPr>
            </w:pPr>
            <w:r w:rsidRPr="00CA0AE3">
              <w:rPr>
                <w:rFonts w:ascii="Times New Roman" w:hAnsi="Times New Roman" w:cs="Times New Roman"/>
                <w:bCs/>
                <w:kern w:val="24"/>
              </w:rPr>
              <w:t xml:space="preserve">Achieve </w:t>
            </w:r>
            <w:r w:rsidR="00DD7B0B" w:rsidRPr="00CA0AE3">
              <w:rPr>
                <w:rFonts w:ascii="Times New Roman" w:hAnsi="Times New Roman" w:cs="Times New Roman"/>
                <w:bCs/>
                <w:kern w:val="24"/>
              </w:rPr>
              <w:t>8</w:t>
            </w:r>
            <w:r w:rsidRPr="00CA0AE3">
              <w:rPr>
                <w:rFonts w:ascii="Times New Roman" w:hAnsi="Times New Roman" w:cs="Times New Roman"/>
                <w:bCs/>
                <w:kern w:val="24"/>
              </w:rPr>
              <w:t xml:space="preserve"> of 1</w:t>
            </w:r>
            <w:r w:rsidR="00DD7B0B" w:rsidRPr="00CA0AE3">
              <w:rPr>
                <w:rFonts w:ascii="Times New Roman" w:hAnsi="Times New Roman" w:cs="Times New Roman"/>
                <w:bCs/>
                <w:kern w:val="24"/>
              </w:rPr>
              <w:t>3</w:t>
            </w:r>
            <w:r w:rsidRPr="00CA0AE3">
              <w:rPr>
                <w:rFonts w:ascii="Times New Roman" w:hAnsi="Times New Roman" w:cs="Times New Roman"/>
                <w:bCs/>
                <w:kern w:val="24"/>
              </w:rPr>
              <w:t xml:space="preserve"> </w:t>
            </w:r>
            <w:r w:rsidRPr="00CA0AE3">
              <w:rPr>
                <w:rFonts w:ascii="Times New Roman" w:hAnsi="Times New Roman" w:cs="Times New Roman"/>
                <w:lang w:eastAsia="ja-JP"/>
              </w:rPr>
              <w:t>Indicator Goals</w:t>
            </w:r>
          </w:p>
        </w:tc>
        <w:tc>
          <w:tcPr>
            <w:tcW w:w="865" w:type="pct"/>
            <w:vAlign w:val="center"/>
          </w:tcPr>
          <w:p w:rsidR="00DF2DF0" w:rsidRPr="00CA0AE3" w:rsidRDefault="008D3CB4" w:rsidP="00DD7B0B">
            <w:pPr>
              <w:spacing w:after="0" w:line="240" w:lineRule="auto"/>
              <w:jc w:val="center"/>
              <w:rPr>
                <w:rFonts w:ascii="Times New Roman" w:hAnsi="Times New Roman" w:cs="Times New Roman"/>
                <w:lang w:eastAsia="ja-JP"/>
              </w:rPr>
            </w:pPr>
            <w:r w:rsidRPr="00CA0AE3">
              <w:rPr>
                <w:rFonts w:ascii="Times New Roman" w:hAnsi="Times New Roman" w:cs="Times New Roman"/>
                <w:bCs/>
                <w:kern w:val="24"/>
              </w:rPr>
              <w:t xml:space="preserve">Achieve </w:t>
            </w:r>
            <w:r w:rsidR="00DD7B0B" w:rsidRPr="00CA0AE3">
              <w:rPr>
                <w:rFonts w:ascii="Times New Roman" w:hAnsi="Times New Roman" w:cs="Times New Roman"/>
                <w:bCs/>
                <w:kern w:val="24"/>
              </w:rPr>
              <w:t>8</w:t>
            </w:r>
            <w:r w:rsidRPr="00CA0AE3">
              <w:rPr>
                <w:rFonts w:ascii="Times New Roman" w:hAnsi="Times New Roman" w:cs="Times New Roman"/>
                <w:bCs/>
                <w:kern w:val="24"/>
              </w:rPr>
              <w:t xml:space="preserve"> of 1</w:t>
            </w:r>
            <w:r w:rsidR="00DD7B0B" w:rsidRPr="00CA0AE3">
              <w:rPr>
                <w:rFonts w:ascii="Times New Roman" w:hAnsi="Times New Roman" w:cs="Times New Roman"/>
                <w:bCs/>
                <w:kern w:val="24"/>
              </w:rPr>
              <w:t>3</w:t>
            </w:r>
            <w:r w:rsidRPr="00CA0AE3">
              <w:rPr>
                <w:rFonts w:ascii="Times New Roman" w:hAnsi="Times New Roman" w:cs="Times New Roman"/>
                <w:bCs/>
                <w:kern w:val="24"/>
              </w:rPr>
              <w:t xml:space="preserve"> </w:t>
            </w:r>
            <w:r w:rsidRPr="00CA0AE3">
              <w:rPr>
                <w:rFonts w:ascii="Times New Roman" w:hAnsi="Times New Roman" w:cs="Times New Roman"/>
                <w:lang w:eastAsia="ja-JP"/>
              </w:rPr>
              <w:t>Indicator Goals</w:t>
            </w:r>
          </w:p>
        </w:tc>
      </w:tr>
      <w:tr w:rsidR="00BB22F1" w:rsidRPr="00CA0AE3" w:rsidTr="00946474">
        <w:tc>
          <w:tcPr>
            <w:tcW w:w="671" w:type="pct"/>
            <w:vAlign w:val="center"/>
          </w:tcPr>
          <w:p w:rsidR="00DF2DF0" w:rsidRPr="00CA0AE3" w:rsidRDefault="008D3CB4">
            <w:pPr>
              <w:spacing w:after="0" w:line="240" w:lineRule="auto"/>
              <w:rPr>
                <w:rFonts w:ascii="Times New Roman" w:hAnsi="Times New Roman" w:cs="Times New Roman"/>
                <w:lang w:eastAsia="ja-JP"/>
              </w:rPr>
            </w:pPr>
            <w:r w:rsidRPr="00CA0AE3">
              <w:rPr>
                <w:rFonts w:ascii="Times New Roman" w:hAnsi="Times New Roman" w:cs="Times New Roman"/>
                <w:lang w:eastAsia="ja-JP"/>
              </w:rPr>
              <w:t>Measure Slate 3</w:t>
            </w:r>
          </w:p>
        </w:tc>
        <w:tc>
          <w:tcPr>
            <w:tcW w:w="866" w:type="pct"/>
            <w:vAlign w:val="center"/>
          </w:tcPr>
          <w:p w:rsidR="00DF2DF0" w:rsidRPr="00CA0AE3" w:rsidRDefault="008D3CB4">
            <w:pPr>
              <w:spacing w:after="0" w:line="240" w:lineRule="auto"/>
              <w:jc w:val="center"/>
              <w:rPr>
                <w:rFonts w:ascii="Times New Roman" w:hAnsi="Times New Roman" w:cs="Times New Roman"/>
                <w:lang w:eastAsia="ja-JP"/>
              </w:rPr>
            </w:pPr>
            <w:r w:rsidRPr="00CA0AE3">
              <w:rPr>
                <w:rFonts w:ascii="Times New Roman" w:hAnsi="Times New Roman" w:cs="Times New Roman"/>
                <w:bCs/>
                <w:kern w:val="24"/>
              </w:rPr>
              <w:t xml:space="preserve">Achieve 2 of 5 </w:t>
            </w:r>
            <w:r w:rsidRPr="00CA0AE3">
              <w:rPr>
                <w:rFonts w:ascii="Times New Roman" w:hAnsi="Times New Roman" w:cs="Times New Roman"/>
                <w:lang w:eastAsia="ja-JP"/>
              </w:rPr>
              <w:t>Indicator Goals</w:t>
            </w:r>
          </w:p>
        </w:tc>
        <w:tc>
          <w:tcPr>
            <w:tcW w:w="866" w:type="pct"/>
            <w:vAlign w:val="center"/>
          </w:tcPr>
          <w:p w:rsidR="00DF2DF0" w:rsidRPr="00CA0AE3" w:rsidRDefault="008D3CB4" w:rsidP="00E56FFC">
            <w:pPr>
              <w:spacing w:after="0" w:line="240" w:lineRule="auto"/>
              <w:jc w:val="center"/>
              <w:rPr>
                <w:rFonts w:ascii="Times New Roman" w:hAnsi="Times New Roman" w:cs="Times New Roman"/>
                <w:lang w:eastAsia="ja-JP"/>
              </w:rPr>
            </w:pPr>
            <w:r w:rsidRPr="00CA0AE3">
              <w:rPr>
                <w:rFonts w:ascii="Times New Roman" w:hAnsi="Times New Roman" w:cs="Times New Roman"/>
                <w:bCs/>
                <w:kern w:val="24"/>
              </w:rPr>
              <w:t>Achieve 4 of 1</w:t>
            </w:r>
            <w:r w:rsidR="00E56FFC" w:rsidRPr="00CA0AE3">
              <w:rPr>
                <w:rFonts w:ascii="Times New Roman" w:hAnsi="Times New Roman" w:cs="Times New Roman"/>
                <w:bCs/>
                <w:kern w:val="24"/>
              </w:rPr>
              <w:t>0</w:t>
            </w:r>
            <w:r w:rsidRPr="00CA0AE3">
              <w:rPr>
                <w:rFonts w:ascii="Times New Roman" w:hAnsi="Times New Roman" w:cs="Times New Roman"/>
                <w:bCs/>
                <w:kern w:val="24"/>
              </w:rPr>
              <w:t xml:space="preserve"> </w:t>
            </w:r>
            <w:r w:rsidRPr="00CA0AE3">
              <w:rPr>
                <w:rFonts w:ascii="Times New Roman" w:hAnsi="Times New Roman" w:cs="Times New Roman"/>
                <w:lang w:eastAsia="ja-JP"/>
              </w:rPr>
              <w:t>Indicator Goals</w:t>
            </w:r>
          </w:p>
        </w:tc>
        <w:tc>
          <w:tcPr>
            <w:tcW w:w="866" w:type="pct"/>
            <w:vAlign w:val="center"/>
          </w:tcPr>
          <w:p w:rsidR="00DF2DF0" w:rsidRPr="00CA0AE3" w:rsidRDefault="008D3CB4">
            <w:pPr>
              <w:spacing w:after="0" w:line="240" w:lineRule="auto"/>
              <w:jc w:val="center"/>
              <w:rPr>
                <w:rFonts w:ascii="Times New Roman" w:hAnsi="Times New Roman" w:cs="Times New Roman"/>
                <w:lang w:eastAsia="ja-JP"/>
              </w:rPr>
            </w:pPr>
            <w:r w:rsidRPr="00CA0AE3">
              <w:rPr>
                <w:rFonts w:ascii="Times New Roman" w:hAnsi="Times New Roman" w:cs="Times New Roman"/>
                <w:bCs/>
                <w:kern w:val="24"/>
              </w:rPr>
              <w:t>Achieve 7 of 1</w:t>
            </w:r>
            <w:r w:rsidR="00BC085D" w:rsidRPr="00CA0AE3">
              <w:rPr>
                <w:rFonts w:ascii="Times New Roman" w:hAnsi="Times New Roman" w:cs="Times New Roman"/>
                <w:bCs/>
                <w:kern w:val="24"/>
              </w:rPr>
              <w:t>3</w:t>
            </w:r>
            <w:r w:rsidRPr="00CA0AE3">
              <w:rPr>
                <w:rFonts w:ascii="Times New Roman" w:hAnsi="Times New Roman" w:cs="Times New Roman"/>
                <w:bCs/>
                <w:kern w:val="24"/>
              </w:rPr>
              <w:t xml:space="preserve"> </w:t>
            </w:r>
            <w:r w:rsidRPr="00CA0AE3">
              <w:rPr>
                <w:rFonts w:ascii="Times New Roman" w:hAnsi="Times New Roman" w:cs="Times New Roman"/>
                <w:lang w:eastAsia="ja-JP"/>
              </w:rPr>
              <w:t>Indicator Goals</w:t>
            </w:r>
          </w:p>
        </w:tc>
        <w:tc>
          <w:tcPr>
            <w:tcW w:w="866" w:type="pct"/>
            <w:vAlign w:val="center"/>
          </w:tcPr>
          <w:p w:rsidR="00DF2DF0" w:rsidRPr="00CA0AE3" w:rsidRDefault="008D3CB4" w:rsidP="00E56FFC">
            <w:pPr>
              <w:spacing w:after="0" w:line="240" w:lineRule="auto"/>
              <w:jc w:val="center"/>
              <w:rPr>
                <w:rFonts w:ascii="Times New Roman" w:hAnsi="Times New Roman" w:cs="Times New Roman"/>
                <w:lang w:eastAsia="ja-JP"/>
              </w:rPr>
            </w:pPr>
            <w:r w:rsidRPr="00CA0AE3">
              <w:rPr>
                <w:rFonts w:ascii="Times New Roman" w:hAnsi="Times New Roman" w:cs="Times New Roman"/>
                <w:bCs/>
                <w:kern w:val="24"/>
              </w:rPr>
              <w:t xml:space="preserve">Achieve </w:t>
            </w:r>
            <w:r w:rsidR="008B14CA" w:rsidRPr="00CA0AE3">
              <w:rPr>
                <w:bCs/>
                <w:kern w:val="24"/>
              </w:rPr>
              <w:t>6</w:t>
            </w:r>
            <w:r w:rsidRPr="00CA0AE3">
              <w:rPr>
                <w:rFonts w:ascii="Times New Roman" w:hAnsi="Times New Roman" w:cs="Times New Roman"/>
                <w:bCs/>
                <w:kern w:val="24"/>
              </w:rPr>
              <w:t xml:space="preserve"> of 1</w:t>
            </w:r>
            <w:r w:rsidR="00E56FFC" w:rsidRPr="00CA0AE3">
              <w:rPr>
                <w:rFonts w:ascii="Times New Roman" w:hAnsi="Times New Roman" w:cs="Times New Roman"/>
                <w:bCs/>
                <w:kern w:val="24"/>
              </w:rPr>
              <w:t>0</w:t>
            </w:r>
            <w:r w:rsidRPr="00CA0AE3">
              <w:rPr>
                <w:rFonts w:ascii="Times New Roman" w:hAnsi="Times New Roman" w:cs="Times New Roman"/>
                <w:bCs/>
                <w:kern w:val="24"/>
              </w:rPr>
              <w:t xml:space="preserve"> </w:t>
            </w:r>
            <w:r w:rsidRPr="00CA0AE3">
              <w:rPr>
                <w:rFonts w:ascii="Times New Roman" w:hAnsi="Times New Roman" w:cs="Times New Roman"/>
                <w:lang w:eastAsia="ja-JP"/>
              </w:rPr>
              <w:t>Indicator Goals</w:t>
            </w:r>
          </w:p>
        </w:tc>
        <w:tc>
          <w:tcPr>
            <w:tcW w:w="865" w:type="pct"/>
            <w:vAlign w:val="center"/>
          </w:tcPr>
          <w:p w:rsidR="00DF2DF0" w:rsidRPr="00CA0AE3" w:rsidRDefault="008D3CB4" w:rsidP="00031EE9">
            <w:pPr>
              <w:spacing w:after="0" w:line="240" w:lineRule="auto"/>
              <w:jc w:val="center"/>
              <w:rPr>
                <w:rFonts w:ascii="Times New Roman" w:hAnsi="Times New Roman" w:cs="Times New Roman"/>
                <w:lang w:eastAsia="ja-JP"/>
              </w:rPr>
            </w:pPr>
            <w:r w:rsidRPr="00CA0AE3">
              <w:rPr>
                <w:rFonts w:ascii="Times New Roman" w:hAnsi="Times New Roman" w:cs="Times New Roman"/>
                <w:bCs/>
                <w:kern w:val="24"/>
              </w:rPr>
              <w:t xml:space="preserve">Achieve </w:t>
            </w:r>
            <w:r w:rsidR="00031EE9" w:rsidRPr="00CA0AE3">
              <w:rPr>
                <w:rFonts w:ascii="Times New Roman" w:hAnsi="Times New Roman" w:cs="Times New Roman"/>
                <w:bCs/>
                <w:kern w:val="24"/>
              </w:rPr>
              <w:t>8</w:t>
            </w:r>
            <w:r w:rsidRPr="00CA0AE3">
              <w:rPr>
                <w:rFonts w:ascii="Times New Roman" w:hAnsi="Times New Roman" w:cs="Times New Roman"/>
                <w:bCs/>
                <w:kern w:val="24"/>
              </w:rPr>
              <w:t xml:space="preserve"> of 1</w:t>
            </w:r>
            <w:r w:rsidR="00BC085D" w:rsidRPr="00CA0AE3">
              <w:rPr>
                <w:rFonts w:ascii="Times New Roman" w:hAnsi="Times New Roman" w:cs="Times New Roman"/>
                <w:bCs/>
                <w:kern w:val="24"/>
              </w:rPr>
              <w:t>3</w:t>
            </w:r>
            <w:r w:rsidRPr="00CA0AE3">
              <w:rPr>
                <w:rFonts w:ascii="Times New Roman" w:hAnsi="Times New Roman" w:cs="Times New Roman"/>
                <w:bCs/>
                <w:kern w:val="24"/>
              </w:rPr>
              <w:t xml:space="preserve"> </w:t>
            </w:r>
            <w:r w:rsidRPr="00CA0AE3">
              <w:rPr>
                <w:rFonts w:ascii="Times New Roman" w:hAnsi="Times New Roman" w:cs="Times New Roman"/>
                <w:lang w:eastAsia="ja-JP"/>
              </w:rPr>
              <w:t>Indicator Goals</w:t>
            </w:r>
          </w:p>
        </w:tc>
      </w:tr>
      <w:tr w:rsidR="00DF2DF0" w:rsidRPr="00CA0AE3" w:rsidTr="00DF2DF0">
        <w:tc>
          <w:tcPr>
            <w:tcW w:w="671" w:type="pct"/>
            <w:vAlign w:val="center"/>
          </w:tcPr>
          <w:p w:rsidR="00DF2DF0" w:rsidRPr="00CA0AE3" w:rsidRDefault="008D3CB4">
            <w:pPr>
              <w:spacing w:after="0" w:line="240" w:lineRule="auto"/>
              <w:rPr>
                <w:rFonts w:ascii="Times New Roman" w:hAnsi="Times New Roman" w:cs="Times New Roman"/>
                <w:lang w:eastAsia="ja-JP"/>
              </w:rPr>
            </w:pPr>
            <w:r w:rsidRPr="00CA0AE3">
              <w:rPr>
                <w:rFonts w:ascii="Times New Roman" w:hAnsi="Times New Roman" w:cs="Times New Roman"/>
                <w:lang w:eastAsia="ja-JP"/>
              </w:rPr>
              <w:t>Measure Slate 4</w:t>
            </w:r>
          </w:p>
        </w:tc>
        <w:tc>
          <w:tcPr>
            <w:tcW w:w="866" w:type="pct"/>
            <w:vAlign w:val="center"/>
          </w:tcPr>
          <w:p w:rsidR="00DF2DF0" w:rsidRPr="00CA0AE3" w:rsidRDefault="008D3CB4" w:rsidP="00BC085D">
            <w:pPr>
              <w:spacing w:after="0" w:line="240" w:lineRule="auto"/>
              <w:jc w:val="center"/>
              <w:rPr>
                <w:rFonts w:ascii="Times New Roman" w:hAnsi="Times New Roman" w:cs="Times New Roman"/>
                <w:lang w:eastAsia="ja-JP"/>
              </w:rPr>
            </w:pPr>
            <w:r w:rsidRPr="00CA0AE3">
              <w:rPr>
                <w:rFonts w:ascii="Times New Roman" w:hAnsi="Times New Roman" w:cs="Times New Roman"/>
                <w:bCs/>
                <w:kern w:val="24"/>
              </w:rPr>
              <w:t xml:space="preserve">Achieve 2 of </w:t>
            </w:r>
            <w:r w:rsidR="00BC085D" w:rsidRPr="00CA0AE3">
              <w:rPr>
                <w:rFonts w:ascii="Times New Roman" w:hAnsi="Times New Roman" w:cs="Times New Roman"/>
                <w:bCs/>
                <w:kern w:val="24"/>
              </w:rPr>
              <w:t>3</w:t>
            </w:r>
            <w:r w:rsidRPr="00CA0AE3">
              <w:rPr>
                <w:rFonts w:ascii="Times New Roman" w:hAnsi="Times New Roman" w:cs="Times New Roman"/>
                <w:bCs/>
                <w:kern w:val="24"/>
              </w:rPr>
              <w:t xml:space="preserve"> </w:t>
            </w:r>
            <w:r w:rsidRPr="00CA0AE3">
              <w:rPr>
                <w:rFonts w:ascii="Times New Roman" w:hAnsi="Times New Roman" w:cs="Times New Roman"/>
                <w:lang w:eastAsia="ja-JP"/>
              </w:rPr>
              <w:t>Indicator Goals</w:t>
            </w:r>
          </w:p>
        </w:tc>
        <w:tc>
          <w:tcPr>
            <w:tcW w:w="866" w:type="pct"/>
            <w:vAlign w:val="center"/>
          </w:tcPr>
          <w:p w:rsidR="00DF2DF0" w:rsidRPr="00CA0AE3" w:rsidRDefault="008D3CB4" w:rsidP="00E56FFC">
            <w:pPr>
              <w:spacing w:after="0" w:line="240" w:lineRule="auto"/>
              <w:jc w:val="center"/>
              <w:rPr>
                <w:rFonts w:ascii="Times New Roman" w:hAnsi="Times New Roman" w:cs="Times New Roman"/>
                <w:lang w:eastAsia="ja-JP"/>
              </w:rPr>
            </w:pPr>
            <w:r w:rsidRPr="00CA0AE3">
              <w:rPr>
                <w:rFonts w:ascii="Times New Roman" w:hAnsi="Times New Roman" w:cs="Times New Roman"/>
                <w:bCs/>
                <w:kern w:val="24"/>
              </w:rPr>
              <w:t xml:space="preserve">Achieve </w:t>
            </w:r>
            <w:r w:rsidR="00BC085D" w:rsidRPr="00CA0AE3">
              <w:rPr>
                <w:rFonts w:ascii="Times New Roman" w:hAnsi="Times New Roman" w:cs="Times New Roman"/>
                <w:bCs/>
                <w:kern w:val="24"/>
              </w:rPr>
              <w:t>4</w:t>
            </w:r>
            <w:r w:rsidRPr="00CA0AE3">
              <w:rPr>
                <w:rFonts w:ascii="Times New Roman" w:hAnsi="Times New Roman" w:cs="Times New Roman"/>
                <w:bCs/>
                <w:kern w:val="24"/>
              </w:rPr>
              <w:t xml:space="preserve"> of </w:t>
            </w:r>
            <w:r w:rsidR="00BC085D" w:rsidRPr="00CA0AE3">
              <w:rPr>
                <w:rFonts w:ascii="Times New Roman" w:hAnsi="Times New Roman" w:cs="Times New Roman"/>
                <w:bCs/>
                <w:kern w:val="24"/>
              </w:rPr>
              <w:t>1</w:t>
            </w:r>
            <w:r w:rsidR="0020094C" w:rsidRPr="00CA0AE3">
              <w:rPr>
                <w:rFonts w:ascii="Times New Roman" w:hAnsi="Times New Roman" w:cs="Times New Roman"/>
                <w:bCs/>
                <w:kern w:val="24"/>
              </w:rPr>
              <w:t>3</w:t>
            </w:r>
            <w:r w:rsidRPr="00CA0AE3">
              <w:rPr>
                <w:rFonts w:ascii="Times New Roman" w:hAnsi="Times New Roman" w:cs="Times New Roman"/>
                <w:bCs/>
                <w:kern w:val="24"/>
              </w:rPr>
              <w:t xml:space="preserve"> </w:t>
            </w:r>
            <w:r w:rsidRPr="00CA0AE3">
              <w:rPr>
                <w:rFonts w:ascii="Times New Roman" w:hAnsi="Times New Roman" w:cs="Times New Roman"/>
                <w:lang w:eastAsia="ja-JP"/>
              </w:rPr>
              <w:t>Indicator Goals</w:t>
            </w:r>
          </w:p>
        </w:tc>
        <w:tc>
          <w:tcPr>
            <w:tcW w:w="866" w:type="pct"/>
          </w:tcPr>
          <w:p w:rsidR="00DF2DF0" w:rsidRPr="00CA0AE3" w:rsidRDefault="008D3CB4" w:rsidP="00BC085D">
            <w:pPr>
              <w:spacing w:after="0" w:line="240" w:lineRule="auto"/>
              <w:jc w:val="center"/>
              <w:rPr>
                <w:rFonts w:ascii="Times New Roman" w:hAnsi="Times New Roman" w:cs="Times New Roman"/>
                <w:lang w:eastAsia="ja-JP"/>
              </w:rPr>
            </w:pPr>
            <w:r w:rsidRPr="00CA0AE3">
              <w:rPr>
                <w:rFonts w:ascii="Times New Roman" w:hAnsi="Times New Roman" w:cs="Times New Roman"/>
                <w:bCs/>
                <w:kern w:val="24"/>
              </w:rPr>
              <w:t xml:space="preserve">Achieve </w:t>
            </w:r>
            <w:r w:rsidR="00BC085D" w:rsidRPr="00CA0AE3">
              <w:rPr>
                <w:rFonts w:ascii="Times New Roman" w:hAnsi="Times New Roman" w:cs="Times New Roman"/>
                <w:bCs/>
                <w:kern w:val="24"/>
              </w:rPr>
              <w:t>7</w:t>
            </w:r>
            <w:r w:rsidRPr="00CA0AE3">
              <w:rPr>
                <w:rFonts w:ascii="Times New Roman" w:hAnsi="Times New Roman" w:cs="Times New Roman"/>
                <w:bCs/>
                <w:kern w:val="24"/>
              </w:rPr>
              <w:t xml:space="preserve"> of </w:t>
            </w:r>
            <w:r w:rsidR="00BC085D" w:rsidRPr="00CA0AE3">
              <w:rPr>
                <w:rFonts w:ascii="Times New Roman" w:hAnsi="Times New Roman" w:cs="Times New Roman"/>
                <w:bCs/>
                <w:kern w:val="24"/>
              </w:rPr>
              <w:t>13</w:t>
            </w:r>
            <w:r w:rsidRPr="00CA0AE3">
              <w:rPr>
                <w:rFonts w:ascii="Times New Roman" w:hAnsi="Times New Roman" w:cs="Times New Roman"/>
                <w:bCs/>
                <w:kern w:val="24"/>
              </w:rPr>
              <w:t xml:space="preserve"> </w:t>
            </w:r>
            <w:r w:rsidRPr="00CA0AE3">
              <w:rPr>
                <w:rFonts w:ascii="Times New Roman" w:hAnsi="Times New Roman" w:cs="Times New Roman"/>
                <w:lang w:eastAsia="ja-JP"/>
              </w:rPr>
              <w:t>Indicator Goals</w:t>
            </w:r>
          </w:p>
        </w:tc>
        <w:tc>
          <w:tcPr>
            <w:tcW w:w="866" w:type="pct"/>
          </w:tcPr>
          <w:p w:rsidR="00DF2DF0" w:rsidRPr="00CA0AE3" w:rsidRDefault="008D3CB4" w:rsidP="00BC085D">
            <w:pPr>
              <w:spacing w:after="0" w:line="240" w:lineRule="auto"/>
              <w:jc w:val="center"/>
              <w:rPr>
                <w:rFonts w:ascii="Times New Roman" w:hAnsi="Times New Roman" w:cs="Times New Roman"/>
                <w:lang w:eastAsia="ja-JP"/>
              </w:rPr>
            </w:pPr>
            <w:r w:rsidRPr="00CA0AE3">
              <w:rPr>
                <w:rFonts w:ascii="Times New Roman" w:hAnsi="Times New Roman" w:cs="Times New Roman"/>
                <w:bCs/>
                <w:kern w:val="24"/>
              </w:rPr>
              <w:t xml:space="preserve">Achieve </w:t>
            </w:r>
            <w:r w:rsidR="00BC085D" w:rsidRPr="00CA0AE3">
              <w:rPr>
                <w:rFonts w:ascii="Times New Roman" w:hAnsi="Times New Roman" w:cs="Times New Roman"/>
                <w:bCs/>
                <w:kern w:val="24"/>
              </w:rPr>
              <w:t>8</w:t>
            </w:r>
            <w:r w:rsidRPr="00CA0AE3">
              <w:rPr>
                <w:rFonts w:ascii="Times New Roman" w:hAnsi="Times New Roman" w:cs="Times New Roman"/>
                <w:bCs/>
                <w:kern w:val="24"/>
              </w:rPr>
              <w:t xml:space="preserve"> of </w:t>
            </w:r>
            <w:r w:rsidR="00BC085D" w:rsidRPr="00CA0AE3">
              <w:rPr>
                <w:rFonts w:ascii="Times New Roman" w:hAnsi="Times New Roman" w:cs="Times New Roman"/>
                <w:bCs/>
                <w:kern w:val="24"/>
              </w:rPr>
              <w:t>13</w:t>
            </w:r>
            <w:r w:rsidRPr="00CA0AE3">
              <w:rPr>
                <w:rFonts w:ascii="Times New Roman" w:hAnsi="Times New Roman" w:cs="Times New Roman"/>
                <w:bCs/>
                <w:kern w:val="24"/>
              </w:rPr>
              <w:t xml:space="preserve"> </w:t>
            </w:r>
            <w:r w:rsidRPr="00CA0AE3">
              <w:rPr>
                <w:rFonts w:ascii="Times New Roman" w:hAnsi="Times New Roman" w:cs="Times New Roman"/>
                <w:lang w:eastAsia="ja-JP"/>
              </w:rPr>
              <w:t>Indicator Goals</w:t>
            </w:r>
          </w:p>
        </w:tc>
        <w:tc>
          <w:tcPr>
            <w:tcW w:w="865" w:type="pct"/>
          </w:tcPr>
          <w:p w:rsidR="00DF2DF0" w:rsidRPr="00CA0AE3" w:rsidRDefault="008D3CB4" w:rsidP="006C4DD8">
            <w:pPr>
              <w:spacing w:after="0" w:line="240" w:lineRule="auto"/>
              <w:jc w:val="center"/>
              <w:rPr>
                <w:rFonts w:ascii="Times New Roman" w:hAnsi="Times New Roman" w:cs="Times New Roman"/>
                <w:lang w:eastAsia="ja-JP"/>
              </w:rPr>
            </w:pPr>
            <w:r w:rsidRPr="00CA0AE3">
              <w:rPr>
                <w:rFonts w:ascii="Times New Roman" w:hAnsi="Times New Roman" w:cs="Times New Roman"/>
                <w:bCs/>
                <w:kern w:val="24"/>
              </w:rPr>
              <w:t xml:space="preserve">Achieve </w:t>
            </w:r>
            <w:r w:rsidR="006C4DD8" w:rsidRPr="00CA0AE3">
              <w:rPr>
                <w:rFonts w:ascii="Times New Roman" w:hAnsi="Times New Roman" w:cs="Times New Roman"/>
                <w:bCs/>
                <w:kern w:val="24"/>
              </w:rPr>
              <w:t>8</w:t>
            </w:r>
            <w:r w:rsidRPr="00CA0AE3">
              <w:rPr>
                <w:rFonts w:ascii="Times New Roman" w:hAnsi="Times New Roman" w:cs="Times New Roman"/>
                <w:bCs/>
                <w:kern w:val="24"/>
              </w:rPr>
              <w:t xml:space="preserve"> of </w:t>
            </w:r>
            <w:r w:rsidR="00BC085D" w:rsidRPr="00CA0AE3">
              <w:rPr>
                <w:rFonts w:ascii="Times New Roman" w:hAnsi="Times New Roman" w:cs="Times New Roman"/>
                <w:bCs/>
                <w:kern w:val="24"/>
              </w:rPr>
              <w:t>13</w:t>
            </w:r>
            <w:r w:rsidRPr="00CA0AE3">
              <w:rPr>
                <w:rFonts w:ascii="Times New Roman" w:hAnsi="Times New Roman" w:cs="Times New Roman"/>
                <w:bCs/>
                <w:kern w:val="24"/>
              </w:rPr>
              <w:t xml:space="preserve"> </w:t>
            </w:r>
            <w:r w:rsidRPr="00CA0AE3">
              <w:rPr>
                <w:rFonts w:ascii="Times New Roman" w:hAnsi="Times New Roman" w:cs="Times New Roman"/>
                <w:lang w:eastAsia="ja-JP"/>
              </w:rPr>
              <w:t>Indicator Goals</w:t>
            </w:r>
          </w:p>
        </w:tc>
      </w:tr>
      <w:tr w:rsidR="00946474" w:rsidRPr="00CA0AE3" w:rsidTr="004D1937">
        <w:tc>
          <w:tcPr>
            <w:tcW w:w="671" w:type="pct"/>
            <w:vAlign w:val="center"/>
          </w:tcPr>
          <w:p w:rsidR="00DF2DF0" w:rsidRPr="00CA0AE3" w:rsidRDefault="008D3CB4">
            <w:pPr>
              <w:spacing w:after="0" w:line="240" w:lineRule="auto"/>
              <w:rPr>
                <w:rFonts w:ascii="Times New Roman" w:hAnsi="Times New Roman" w:cs="Times New Roman"/>
                <w:lang w:eastAsia="ja-JP"/>
              </w:rPr>
            </w:pPr>
            <w:r w:rsidRPr="00CA0AE3">
              <w:rPr>
                <w:rFonts w:ascii="Times New Roman" w:hAnsi="Times New Roman" w:cs="Times New Roman"/>
                <w:lang w:eastAsia="ja-JP"/>
              </w:rPr>
              <w:t>Measure Slate 5</w:t>
            </w:r>
          </w:p>
        </w:tc>
        <w:tc>
          <w:tcPr>
            <w:tcW w:w="866" w:type="pct"/>
            <w:vAlign w:val="center"/>
          </w:tcPr>
          <w:p w:rsidR="00DF2DF0" w:rsidRPr="00CA0AE3" w:rsidRDefault="008D3CB4">
            <w:pPr>
              <w:spacing w:after="0" w:line="240" w:lineRule="auto"/>
              <w:jc w:val="center"/>
              <w:rPr>
                <w:rFonts w:ascii="Times New Roman" w:hAnsi="Times New Roman" w:cs="Times New Roman"/>
                <w:lang w:eastAsia="ja-JP"/>
              </w:rPr>
            </w:pPr>
            <w:r w:rsidRPr="00CA0AE3">
              <w:rPr>
                <w:rFonts w:ascii="Times New Roman" w:hAnsi="Times New Roman" w:cs="Times New Roman"/>
                <w:lang w:eastAsia="ja-JP"/>
              </w:rPr>
              <w:t>N/A</w:t>
            </w:r>
          </w:p>
          <w:p w:rsidR="00766511" w:rsidRPr="00CA0AE3" w:rsidRDefault="00766511">
            <w:pPr>
              <w:spacing w:after="0" w:line="240" w:lineRule="auto"/>
              <w:jc w:val="center"/>
              <w:rPr>
                <w:rFonts w:ascii="Times New Roman" w:hAnsi="Times New Roman" w:cs="Times New Roman"/>
                <w:lang w:eastAsia="ja-JP"/>
              </w:rPr>
            </w:pPr>
            <w:r w:rsidRPr="00CA0AE3">
              <w:rPr>
                <w:rFonts w:ascii="Times New Roman" w:hAnsi="Times New Roman" w:cs="Times New Roman"/>
                <w:lang w:eastAsia="ja-JP"/>
              </w:rPr>
              <w:t>(Not Selected)</w:t>
            </w:r>
          </w:p>
        </w:tc>
        <w:tc>
          <w:tcPr>
            <w:tcW w:w="866" w:type="pct"/>
          </w:tcPr>
          <w:p w:rsidR="00DF2DF0" w:rsidRPr="00CA0AE3" w:rsidRDefault="008D3CB4">
            <w:pPr>
              <w:spacing w:after="0" w:line="240" w:lineRule="auto"/>
              <w:jc w:val="center"/>
              <w:rPr>
                <w:rFonts w:ascii="Times New Roman" w:hAnsi="Times New Roman" w:cs="Times New Roman"/>
                <w:lang w:eastAsia="ja-JP"/>
              </w:rPr>
            </w:pPr>
            <w:r w:rsidRPr="00CA0AE3">
              <w:rPr>
                <w:rFonts w:ascii="Times New Roman" w:hAnsi="Times New Roman" w:cs="Times New Roman"/>
                <w:bCs/>
                <w:color w:val="000000"/>
                <w:kern w:val="24"/>
              </w:rPr>
              <w:t xml:space="preserve">Achieve 3 of 9 </w:t>
            </w:r>
            <w:r w:rsidRPr="00CA0AE3">
              <w:rPr>
                <w:rFonts w:ascii="Times New Roman" w:hAnsi="Times New Roman" w:cs="Times New Roman"/>
                <w:lang w:eastAsia="ja-JP"/>
              </w:rPr>
              <w:t>Indicator Goals</w:t>
            </w:r>
          </w:p>
          <w:p w:rsidR="00766511" w:rsidRPr="00CA0AE3" w:rsidRDefault="00766511">
            <w:pPr>
              <w:spacing w:after="0" w:line="240" w:lineRule="auto"/>
              <w:jc w:val="center"/>
              <w:rPr>
                <w:rFonts w:ascii="Times New Roman" w:hAnsi="Times New Roman" w:cs="Times New Roman"/>
                <w:lang w:eastAsia="ja-JP"/>
              </w:rPr>
            </w:pPr>
            <w:r w:rsidRPr="00CA0AE3">
              <w:rPr>
                <w:rFonts w:ascii="Times New Roman" w:hAnsi="Times New Roman" w:cs="Times New Roman"/>
                <w:lang w:eastAsia="ja-JP"/>
              </w:rPr>
              <w:t>(Not Selected)</w:t>
            </w:r>
          </w:p>
        </w:tc>
        <w:tc>
          <w:tcPr>
            <w:tcW w:w="866" w:type="pct"/>
          </w:tcPr>
          <w:p w:rsidR="00DF2DF0" w:rsidRPr="00CA0AE3" w:rsidRDefault="008D3CB4">
            <w:pPr>
              <w:spacing w:after="0" w:line="240" w:lineRule="auto"/>
              <w:jc w:val="center"/>
              <w:rPr>
                <w:rFonts w:ascii="Times New Roman" w:hAnsi="Times New Roman" w:cs="Times New Roman"/>
                <w:lang w:eastAsia="ja-JP"/>
              </w:rPr>
            </w:pPr>
            <w:r w:rsidRPr="00CA0AE3">
              <w:rPr>
                <w:rFonts w:ascii="Times New Roman" w:hAnsi="Times New Roman" w:cs="Times New Roman"/>
                <w:bCs/>
                <w:color w:val="000000"/>
                <w:kern w:val="24"/>
              </w:rPr>
              <w:t xml:space="preserve">Achieve 5 of 9 </w:t>
            </w:r>
            <w:r w:rsidRPr="00CA0AE3">
              <w:rPr>
                <w:rFonts w:ascii="Times New Roman" w:hAnsi="Times New Roman" w:cs="Times New Roman"/>
                <w:lang w:eastAsia="ja-JP"/>
              </w:rPr>
              <w:t>Indicator Goals</w:t>
            </w:r>
          </w:p>
          <w:p w:rsidR="00766511" w:rsidRPr="00CA0AE3" w:rsidRDefault="00766511">
            <w:pPr>
              <w:spacing w:after="0" w:line="240" w:lineRule="auto"/>
              <w:jc w:val="center"/>
              <w:rPr>
                <w:rFonts w:ascii="Times New Roman" w:hAnsi="Times New Roman" w:cs="Times New Roman"/>
                <w:lang w:eastAsia="ja-JP"/>
              </w:rPr>
            </w:pPr>
            <w:r w:rsidRPr="00CA0AE3">
              <w:rPr>
                <w:rFonts w:ascii="Times New Roman" w:hAnsi="Times New Roman" w:cs="Times New Roman"/>
                <w:lang w:eastAsia="ja-JP"/>
              </w:rPr>
              <w:t>(Not Selected)</w:t>
            </w:r>
          </w:p>
        </w:tc>
        <w:tc>
          <w:tcPr>
            <w:tcW w:w="866" w:type="pct"/>
          </w:tcPr>
          <w:p w:rsidR="00DF2DF0" w:rsidRPr="00CA0AE3" w:rsidRDefault="008D3CB4">
            <w:pPr>
              <w:spacing w:after="0" w:line="240" w:lineRule="auto"/>
              <w:jc w:val="center"/>
              <w:rPr>
                <w:rFonts w:ascii="Times New Roman" w:hAnsi="Times New Roman" w:cs="Times New Roman"/>
                <w:lang w:eastAsia="ja-JP"/>
              </w:rPr>
            </w:pPr>
            <w:r w:rsidRPr="00CA0AE3">
              <w:rPr>
                <w:rFonts w:ascii="Times New Roman" w:hAnsi="Times New Roman" w:cs="Times New Roman"/>
                <w:bCs/>
                <w:color w:val="000000"/>
                <w:kern w:val="24"/>
              </w:rPr>
              <w:t xml:space="preserve">Achieve 5 of 9 </w:t>
            </w:r>
            <w:r w:rsidRPr="00CA0AE3">
              <w:rPr>
                <w:rFonts w:ascii="Times New Roman" w:hAnsi="Times New Roman" w:cs="Times New Roman"/>
                <w:lang w:eastAsia="ja-JP"/>
              </w:rPr>
              <w:t>Indicator Goals</w:t>
            </w:r>
          </w:p>
          <w:p w:rsidR="00766511" w:rsidRPr="00CA0AE3" w:rsidRDefault="00766511">
            <w:pPr>
              <w:spacing w:after="0" w:line="240" w:lineRule="auto"/>
              <w:jc w:val="center"/>
              <w:rPr>
                <w:rFonts w:ascii="Times New Roman" w:hAnsi="Times New Roman" w:cs="Times New Roman"/>
                <w:lang w:eastAsia="ja-JP"/>
              </w:rPr>
            </w:pPr>
            <w:r w:rsidRPr="00CA0AE3">
              <w:rPr>
                <w:rFonts w:ascii="Times New Roman" w:hAnsi="Times New Roman" w:cs="Times New Roman"/>
                <w:lang w:eastAsia="ja-JP"/>
              </w:rPr>
              <w:t>(Not Selected)</w:t>
            </w:r>
          </w:p>
        </w:tc>
        <w:tc>
          <w:tcPr>
            <w:tcW w:w="865" w:type="pct"/>
          </w:tcPr>
          <w:p w:rsidR="00DF2DF0" w:rsidRPr="00CA0AE3" w:rsidRDefault="008D3CB4">
            <w:pPr>
              <w:spacing w:after="0" w:line="240" w:lineRule="auto"/>
              <w:jc w:val="center"/>
              <w:rPr>
                <w:rFonts w:ascii="Times New Roman" w:hAnsi="Times New Roman" w:cs="Times New Roman"/>
                <w:lang w:eastAsia="ja-JP"/>
              </w:rPr>
            </w:pPr>
            <w:r w:rsidRPr="00CA0AE3">
              <w:rPr>
                <w:rFonts w:ascii="Times New Roman" w:hAnsi="Times New Roman" w:cs="Times New Roman"/>
                <w:bCs/>
                <w:color w:val="000000"/>
                <w:kern w:val="24"/>
              </w:rPr>
              <w:t xml:space="preserve">Achieve 6 of 9 </w:t>
            </w:r>
            <w:r w:rsidRPr="00CA0AE3">
              <w:rPr>
                <w:rFonts w:ascii="Times New Roman" w:hAnsi="Times New Roman" w:cs="Times New Roman"/>
                <w:lang w:eastAsia="ja-JP"/>
              </w:rPr>
              <w:t>Indicator Goals</w:t>
            </w:r>
          </w:p>
          <w:p w:rsidR="00766511" w:rsidRPr="00CA0AE3" w:rsidRDefault="00766511">
            <w:pPr>
              <w:spacing w:after="0" w:line="240" w:lineRule="auto"/>
              <w:jc w:val="center"/>
              <w:rPr>
                <w:rFonts w:ascii="Times New Roman" w:hAnsi="Times New Roman" w:cs="Times New Roman"/>
                <w:lang w:eastAsia="ja-JP"/>
              </w:rPr>
            </w:pPr>
            <w:r w:rsidRPr="00CA0AE3">
              <w:rPr>
                <w:rFonts w:ascii="Times New Roman" w:hAnsi="Times New Roman" w:cs="Times New Roman"/>
                <w:lang w:eastAsia="ja-JP"/>
              </w:rPr>
              <w:t>(Not Selected)</w:t>
            </w:r>
          </w:p>
        </w:tc>
      </w:tr>
    </w:tbl>
    <w:p w:rsidR="00F44287" w:rsidRPr="00CA0AE3" w:rsidRDefault="00F44287" w:rsidP="00082812">
      <w:pPr>
        <w:spacing w:after="0" w:line="240" w:lineRule="auto"/>
        <w:jc w:val="both"/>
        <w:rPr>
          <w:lang w:eastAsia="ja-JP"/>
        </w:rPr>
      </w:pPr>
      <w:r w:rsidRPr="00CA0AE3">
        <w:rPr>
          <w:lang w:eastAsia="ja-JP"/>
        </w:rPr>
        <w:tab/>
      </w:r>
      <w:r w:rsidRPr="00CA0AE3">
        <w:rPr>
          <w:lang w:eastAsia="ja-JP"/>
        </w:rPr>
        <w:tab/>
      </w:r>
    </w:p>
    <w:p w:rsidR="00F44287" w:rsidRPr="00CA0AE3" w:rsidRDefault="00082812" w:rsidP="008E52F7">
      <w:pPr>
        <w:pStyle w:val="ListParagraph"/>
        <w:numPr>
          <w:ilvl w:val="3"/>
          <w:numId w:val="13"/>
        </w:numPr>
        <w:spacing w:after="0" w:line="240" w:lineRule="auto"/>
        <w:jc w:val="both"/>
        <w:rPr>
          <w:lang w:eastAsia="ja-JP"/>
        </w:rPr>
      </w:pPr>
      <w:r w:rsidRPr="00CA0AE3">
        <w:rPr>
          <w:lang w:eastAsia="ja-JP"/>
        </w:rPr>
        <w:t xml:space="preserve">The Public Hospital is not required to </w:t>
      </w:r>
      <w:r w:rsidR="00F62F52" w:rsidRPr="00CA0AE3">
        <w:rPr>
          <w:lang w:eastAsia="ja-JP"/>
        </w:rPr>
        <w:t>pre-determine</w:t>
      </w:r>
      <w:r w:rsidRPr="00CA0AE3">
        <w:rPr>
          <w:lang w:eastAsia="ja-JP"/>
        </w:rPr>
        <w:t xml:space="preserve"> which outcomes and improvement indicators will </w:t>
      </w:r>
      <w:r w:rsidR="00092C69" w:rsidRPr="00CA0AE3">
        <w:rPr>
          <w:lang w:eastAsia="ja-JP"/>
        </w:rPr>
        <w:t xml:space="preserve">be </w:t>
      </w:r>
      <w:r w:rsidRPr="00CA0AE3">
        <w:rPr>
          <w:lang w:eastAsia="ja-JP"/>
        </w:rPr>
        <w:t>achieve</w:t>
      </w:r>
      <w:r w:rsidR="00092C69" w:rsidRPr="00CA0AE3">
        <w:rPr>
          <w:lang w:eastAsia="ja-JP"/>
        </w:rPr>
        <w:t>d</w:t>
      </w:r>
      <w:r w:rsidRPr="00CA0AE3">
        <w:rPr>
          <w:lang w:eastAsia="ja-JP"/>
        </w:rPr>
        <w:t xml:space="preserve"> </w:t>
      </w:r>
      <w:r w:rsidR="00092C69" w:rsidRPr="00CA0AE3">
        <w:rPr>
          <w:lang w:eastAsia="ja-JP"/>
        </w:rPr>
        <w:t xml:space="preserve">in terms of </w:t>
      </w:r>
      <w:r w:rsidRPr="00CA0AE3">
        <w:rPr>
          <w:lang w:eastAsia="ja-JP"/>
        </w:rPr>
        <w:t xml:space="preserve">performance goals in each year; </w:t>
      </w:r>
      <w:r w:rsidR="00092C69" w:rsidRPr="00CA0AE3">
        <w:rPr>
          <w:lang w:eastAsia="ja-JP"/>
        </w:rPr>
        <w:t xml:space="preserve">instead, </w:t>
      </w:r>
      <w:r w:rsidRPr="00CA0AE3">
        <w:rPr>
          <w:lang w:eastAsia="ja-JP"/>
        </w:rPr>
        <w:t xml:space="preserve">the Public Hospital must achieve the established performance goals for the specified number of outcomes and improvement indicators </w:t>
      </w:r>
      <w:r w:rsidR="0085528A" w:rsidRPr="00CA0AE3">
        <w:rPr>
          <w:lang w:eastAsia="ja-JP"/>
        </w:rPr>
        <w:t>a</w:t>
      </w:r>
      <w:r w:rsidR="003E0807" w:rsidRPr="00CA0AE3">
        <w:rPr>
          <w:lang w:eastAsia="ja-JP"/>
        </w:rPr>
        <w:t xml:space="preserve">pplicable </w:t>
      </w:r>
      <w:r w:rsidR="0085528A" w:rsidRPr="00CA0AE3">
        <w:rPr>
          <w:lang w:eastAsia="ja-JP"/>
        </w:rPr>
        <w:t xml:space="preserve">to a </w:t>
      </w:r>
      <w:r w:rsidR="003E0807" w:rsidRPr="00CA0AE3">
        <w:rPr>
          <w:lang w:eastAsia="ja-JP"/>
        </w:rPr>
        <w:t xml:space="preserve">demonstration </w:t>
      </w:r>
      <w:r w:rsidRPr="00CA0AE3">
        <w:rPr>
          <w:lang w:eastAsia="ja-JP"/>
        </w:rPr>
        <w:t>year</w:t>
      </w:r>
      <w:r w:rsidR="00F62F52" w:rsidRPr="00CA0AE3">
        <w:rPr>
          <w:lang w:eastAsia="ja-JP"/>
        </w:rPr>
        <w:t>, which are individually payable when a</w:t>
      </w:r>
      <w:r w:rsidR="001847D7" w:rsidRPr="00CA0AE3">
        <w:rPr>
          <w:lang w:eastAsia="ja-JP"/>
        </w:rPr>
        <w:t>n</w:t>
      </w:r>
      <w:r w:rsidR="00F62F52" w:rsidRPr="00CA0AE3">
        <w:rPr>
          <w:lang w:eastAsia="ja-JP"/>
        </w:rPr>
        <w:t xml:space="preserve"> indicator is individually achieved and reported up to the established number of outcomes and improvement indicators assigned funding in </w:t>
      </w:r>
      <w:r w:rsidR="003E0807" w:rsidRPr="00CA0AE3">
        <w:rPr>
          <w:lang w:eastAsia="ja-JP"/>
        </w:rPr>
        <w:t>that</w:t>
      </w:r>
      <w:r w:rsidR="00F62F52" w:rsidRPr="00CA0AE3">
        <w:rPr>
          <w:lang w:eastAsia="ja-JP"/>
        </w:rPr>
        <w:t xml:space="preserve"> </w:t>
      </w:r>
      <w:r w:rsidR="003E0807" w:rsidRPr="00CA0AE3">
        <w:rPr>
          <w:lang w:eastAsia="ja-JP"/>
        </w:rPr>
        <w:t xml:space="preserve">demonstration </w:t>
      </w:r>
      <w:r w:rsidR="00F62F52" w:rsidRPr="00CA0AE3">
        <w:rPr>
          <w:lang w:eastAsia="ja-JP"/>
        </w:rPr>
        <w:t>year</w:t>
      </w:r>
      <w:r w:rsidRPr="00CA0AE3">
        <w:rPr>
          <w:lang w:eastAsia="ja-JP"/>
        </w:rPr>
        <w:t>.</w:t>
      </w:r>
      <w:r w:rsidR="00F27698" w:rsidRPr="00CA0AE3">
        <w:rPr>
          <w:lang w:eastAsia="ja-JP"/>
        </w:rPr>
        <w:t xml:space="preserve"> </w:t>
      </w:r>
      <w:r w:rsidR="00F77FDE">
        <w:rPr>
          <w:lang w:eastAsia="ja-JP"/>
        </w:rPr>
        <w:t xml:space="preserve">Beginning in </w:t>
      </w:r>
      <w:r w:rsidR="009C74DC">
        <w:rPr>
          <w:lang w:eastAsia="ja-JP"/>
        </w:rPr>
        <w:t>DY23, for each of the Measure Slates 1 – 5,</w:t>
      </w:r>
      <w:r w:rsidR="00A90360">
        <w:rPr>
          <w:lang w:eastAsia="ja-JP"/>
        </w:rPr>
        <w:t xml:space="preserve"> at least 2 measures</w:t>
      </w:r>
      <w:r w:rsidR="00E624A0">
        <w:rPr>
          <w:lang w:eastAsia="ja-JP"/>
        </w:rPr>
        <w:t xml:space="preserve"> </w:t>
      </w:r>
      <w:r w:rsidR="00A90360">
        <w:rPr>
          <w:lang w:eastAsia="ja-JP"/>
        </w:rPr>
        <w:t>are</w:t>
      </w:r>
      <w:r w:rsidR="00F77FDE">
        <w:rPr>
          <w:lang w:eastAsia="ja-JP"/>
        </w:rPr>
        <w:t xml:space="preserve"> required to </w:t>
      </w:r>
      <w:r w:rsidR="009C74DC">
        <w:rPr>
          <w:lang w:eastAsia="ja-JP"/>
        </w:rPr>
        <w:t xml:space="preserve">continue achievement from the </w:t>
      </w:r>
      <w:r w:rsidR="00F77FDE">
        <w:rPr>
          <w:lang w:eastAsia="ja-JP"/>
        </w:rPr>
        <w:t>year immediately previous</w:t>
      </w:r>
      <w:r w:rsidR="009C74DC">
        <w:rPr>
          <w:lang w:eastAsia="ja-JP"/>
        </w:rPr>
        <w:t xml:space="preserve">. </w:t>
      </w:r>
      <w:r w:rsidRPr="00CA0AE3">
        <w:rPr>
          <w:lang w:eastAsia="ja-JP"/>
        </w:rPr>
        <w:t>A description of the funding allocation for the at</w:t>
      </w:r>
      <w:r w:rsidR="00092C69" w:rsidRPr="00CA0AE3">
        <w:rPr>
          <w:lang w:eastAsia="ja-JP"/>
        </w:rPr>
        <w:t>-</w:t>
      </w:r>
      <w:r w:rsidRPr="00CA0AE3">
        <w:rPr>
          <w:lang w:eastAsia="ja-JP"/>
        </w:rPr>
        <w:t xml:space="preserve">risk outcomes and improvement indicators can be found in </w:t>
      </w:r>
      <w:r w:rsidR="008D3CB4" w:rsidRPr="00CA0AE3">
        <w:rPr>
          <w:rFonts w:eastAsia="MS Gothic"/>
        </w:rPr>
        <w:t>Section VI, paragraph 1</w:t>
      </w:r>
      <w:r w:rsidR="007D48A9" w:rsidRPr="00CA0AE3">
        <w:rPr>
          <w:rFonts w:eastAsia="MS Gothic"/>
        </w:rPr>
        <w:t>8</w:t>
      </w:r>
      <w:r w:rsidRPr="00CA0AE3">
        <w:rPr>
          <w:lang w:eastAsia="ja-JP"/>
        </w:rPr>
        <w:t xml:space="preserve">. </w:t>
      </w:r>
      <w:r w:rsidR="008F5191" w:rsidRPr="00CA0AE3">
        <w:rPr>
          <w:lang w:eastAsia="ja-JP"/>
        </w:rPr>
        <w:t xml:space="preserve">Updates to technical specifications of outcomes and improvement measures in </w:t>
      </w:r>
      <w:r w:rsidR="008D5634" w:rsidRPr="00CA0AE3">
        <w:rPr>
          <w:lang w:eastAsia="ja-JP"/>
        </w:rPr>
        <w:t xml:space="preserve">Measures Slates 1 </w:t>
      </w:r>
      <w:r w:rsidR="002E72DC" w:rsidRPr="00CA0AE3">
        <w:rPr>
          <w:lang w:eastAsia="ja-JP"/>
        </w:rPr>
        <w:t>–</w:t>
      </w:r>
      <w:r w:rsidR="008D5634" w:rsidRPr="00CA0AE3">
        <w:rPr>
          <w:lang w:eastAsia="ja-JP"/>
        </w:rPr>
        <w:t xml:space="preserve"> </w:t>
      </w:r>
      <w:r w:rsidR="002E72DC" w:rsidRPr="00CA0AE3">
        <w:rPr>
          <w:lang w:eastAsia="ja-JP"/>
        </w:rPr>
        <w:t>5</w:t>
      </w:r>
      <w:r w:rsidR="008F5191" w:rsidRPr="00CA0AE3">
        <w:rPr>
          <w:lang w:eastAsia="ja-JP"/>
        </w:rPr>
        <w:t xml:space="preserve"> shall not require a </w:t>
      </w:r>
      <w:r w:rsidR="002E72DC" w:rsidRPr="00CA0AE3">
        <w:rPr>
          <w:lang w:eastAsia="ja-JP"/>
        </w:rPr>
        <w:t xml:space="preserve">protocol </w:t>
      </w:r>
      <w:r w:rsidR="008F5191" w:rsidRPr="00CA0AE3">
        <w:rPr>
          <w:lang w:eastAsia="ja-JP"/>
        </w:rPr>
        <w:t>modification and can be implemented by the Commonwealth without further approval.</w:t>
      </w:r>
    </w:p>
    <w:p w:rsidR="007359C7" w:rsidRPr="00CA0AE3" w:rsidRDefault="007359C7" w:rsidP="0074511A">
      <w:pPr>
        <w:spacing w:after="0" w:line="240" w:lineRule="auto"/>
        <w:contextualSpacing/>
        <w:jc w:val="both"/>
        <w:outlineLvl w:val="4"/>
        <w:rPr>
          <w:rFonts w:eastAsia="MS Gothic"/>
        </w:rPr>
      </w:pPr>
    </w:p>
    <w:p w:rsidR="00595872" w:rsidRPr="00CA0AE3" w:rsidRDefault="00595872" w:rsidP="00595872">
      <w:pPr>
        <w:pStyle w:val="ListParagraph"/>
        <w:numPr>
          <w:ilvl w:val="2"/>
          <w:numId w:val="39"/>
        </w:numPr>
        <w:suppressAutoHyphens/>
        <w:spacing w:after="0" w:line="240" w:lineRule="auto"/>
        <w:jc w:val="both"/>
        <w:outlineLvl w:val="2"/>
        <w:rPr>
          <w:u w:val="single"/>
        </w:rPr>
      </w:pPr>
      <w:r w:rsidRPr="00CA0AE3">
        <w:rPr>
          <w:u w:val="single"/>
        </w:rPr>
        <w:t>Pay-for-Reporting Measure Slate</w:t>
      </w:r>
    </w:p>
    <w:p w:rsidR="00F44287" w:rsidRPr="00CA0AE3" w:rsidRDefault="00595872">
      <w:pPr>
        <w:pStyle w:val="ListParagraph"/>
        <w:suppressAutoHyphens/>
        <w:spacing w:after="0" w:line="240" w:lineRule="auto"/>
        <w:ind w:left="1080"/>
        <w:jc w:val="both"/>
        <w:outlineLvl w:val="2"/>
        <w:rPr>
          <w:lang w:eastAsia="ja-JP"/>
        </w:rPr>
      </w:pPr>
      <w:r w:rsidRPr="00CA0AE3">
        <w:t xml:space="preserve">Measure Slate 6 </w:t>
      </w:r>
      <w:r w:rsidR="006777DF" w:rsidRPr="00CA0AE3">
        <w:t>reflects Population-Wide Public Health Measures</w:t>
      </w:r>
      <w:r w:rsidRPr="00CA0AE3">
        <w:rPr>
          <w:lang w:eastAsia="ja-JP"/>
        </w:rPr>
        <w:t xml:space="preserve">. Measure Slate 6 will be Pay-for-Reporting </w:t>
      </w:r>
      <w:r w:rsidR="002E72DC" w:rsidRPr="00CA0AE3">
        <w:rPr>
          <w:lang w:eastAsia="ja-JP"/>
        </w:rPr>
        <w:t xml:space="preserve">for </w:t>
      </w:r>
      <w:r w:rsidR="00F27698" w:rsidRPr="00CA0AE3">
        <w:rPr>
          <w:lang w:eastAsia="ja-JP"/>
        </w:rPr>
        <w:t>DYs</w:t>
      </w:r>
      <w:r w:rsidRPr="00CA0AE3">
        <w:rPr>
          <w:lang w:eastAsia="ja-JP"/>
        </w:rPr>
        <w:t xml:space="preserve"> </w:t>
      </w:r>
      <w:r w:rsidR="002E72DC" w:rsidRPr="00CA0AE3">
        <w:rPr>
          <w:lang w:eastAsia="ja-JP"/>
        </w:rPr>
        <w:t>21 – 25</w:t>
      </w:r>
      <w:r w:rsidRPr="00CA0AE3">
        <w:rPr>
          <w:lang w:eastAsia="ja-JP"/>
        </w:rPr>
        <w:t>.</w:t>
      </w:r>
    </w:p>
    <w:p w:rsidR="00595872" w:rsidRPr="00CA0AE3" w:rsidRDefault="00595872" w:rsidP="00595872">
      <w:pPr>
        <w:spacing w:after="0" w:line="240" w:lineRule="auto"/>
        <w:ind w:left="1800"/>
        <w:jc w:val="both"/>
        <w:rPr>
          <w:lang w:eastAsia="ja-JP"/>
        </w:rPr>
      </w:pPr>
    </w:p>
    <w:tbl>
      <w:tblPr>
        <w:tblStyle w:val="TableGrid"/>
        <w:tblW w:w="4199" w:type="pct"/>
        <w:tblInd w:w="1548" w:type="dxa"/>
        <w:tblLayout w:type="fixed"/>
        <w:tblLook w:val="04A0" w:firstRow="1" w:lastRow="0" w:firstColumn="1" w:lastColumn="0" w:noHBand="0" w:noVBand="1"/>
      </w:tblPr>
      <w:tblGrid>
        <w:gridCol w:w="1054"/>
        <w:gridCol w:w="1403"/>
        <w:gridCol w:w="1319"/>
        <w:gridCol w:w="1409"/>
        <w:gridCol w:w="1409"/>
        <w:gridCol w:w="1409"/>
      </w:tblGrid>
      <w:tr w:rsidR="002E72DC" w:rsidRPr="00CA0AE3" w:rsidTr="00CD68F4">
        <w:trPr>
          <w:trHeight w:val="197"/>
        </w:trPr>
        <w:tc>
          <w:tcPr>
            <w:tcW w:w="659" w:type="pct"/>
          </w:tcPr>
          <w:p w:rsidR="002E72DC" w:rsidRPr="00CA0AE3" w:rsidRDefault="002E72DC" w:rsidP="00640C64">
            <w:pPr>
              <w:spacing w:after="0" w:line="240" w:lineRule="auto"/>
              <w:jc w:val="both"/>
              <w:rPr>
                <w:rFonts w:ascii="Times New Roman" w:hAnsi="Times New Roman" w:cs="Times New Roman"/>
                <w:lang w:eastAsia="ja-JP"/>
              </w:rPr>
            </w:pPr>
          </w:p>
        </w:tc>
        <w:tc>
          <w:tcPr>
            <w:tcW w:w="877" w:type="pct"/>
            <w:vAlign w:val="center"/>
          </w:tcPr>
          <w:p w:rsidR="005F46C3" w:rsidRPr="00CA0AE3" w:rsidRDefault="002E72DC">
            <w:pPr>
              <w:spacing w:after="0" w:line="240" w:lineRule="auto"/>
              <w:jc w:val="center"/>
              <w:rPr>
                <w:rFonts w:ascii="Times New Roman" w:hAnsi="Times New Roman" w:cs="Times New Roman"/>
                <w:b/>
                <w:lang w:eastAsia="ja-JP"/>
              </w:rPr>
            </w:pPr>
            <w:r w:rsidRPr="00CA0AE3">
              <w:rPr>
                <w:rFonts w:ascii="Times New Roman" w:hAnsi="Times New Roman" w:cs="Times New Roman"/>
                <w:b/>
                <w:lang w:eastAsia="ja-JP"/>
              </w:rPr>
              <w:t>DY21</w:t>
            </w:r>
          </w:p>
        </w:tc>
        <w:tc>
          <w:tcPr>
            <w:tcW w:w="824" w:type="pct"/>
            <w:vAlign w:val="center"/>
          </w:tcPr>
          <w:p w:rsidR="005F46C3" w:rsidRPr="00CA0AE3" w:rsidRDefault="002E72DC">
            <w:pPr>
              <w:spacing w:after="0" w:line="240" w:lineRule="auto"/>
              <w:jc w:val="center"/>
              <w:rPr>
                <w:rFonts w:ascii="Times New Roman" w:hAnsi="Times New Roman" w:cs="Times New Roman"/>
                <w:b/>
                <w:lang w:eastAsia="ja-JP"/>
              </w:rPr>
            </w:pPr>
            <w:r w:rsidRPr="00CA0AE3">
              <w:rPr>
                <w:rFonts w:ascii="Times New Roman" w:hAnsi="Times New Roman" w:cs="Times New Roman"/>
                <w:b/>
                <w:lang w:eastAsia="ja-JP"/>
              </w:rPr>
              <w:t>DY22</w:t>
            </w:r>
          </w:p>
        </w:tc>
        <w:tc>
          <w:tcPr>
            <w:tcW w:w="880" w:type="pct"/>
            <w:vAlign w:val="center"/>
          </w:tcPr>
          <w:p w:rsidR="005F46C3" w:rsidRPr="00CA0AE3" w:rsidRDefault="002E72DC">
            <w:pPr>
              <w:spacing w:after="0" w:line="240" w:lineRule="auto"/>
              <w:jc w:val="center"/>
              <w:rPr>
                <w:rFonts w:ascii="Times New Roman" w:hAnsi="Times New Roman" w:cs="Times New Roman"/>
                <w:b/>
                <w:lang w:eastAsia="ja-JP"/>
              </w:rPr>
            </w:pPr>
            <w:r w:rsidRPr="00CA0AE3">
              <w:rPr>
                <w:rFonts w:ascii="Times New Roman" w:hAnsi="Times New Roman" w:cs="Times New Roman"/>
                <w:b/>
                <w:lang w:eastAsia="ja-JP"/>
              </w:rPr>
              <w:t>DY23</w:t>
            </w:r>
          </w:p>
        </w:tc>
        <w:tc>
          <w:tcPr>
            <w:tcW w:w="880" w:type="pct"/>
            <w:vAlign w:val="center"/>
          </w:tcPr>
          <w:p w:rsidR="005F46C3" w:rsidRPr="00CA0AE3" w:rsidRDefault="002E72DC">
            <w:pPr>
              <w:spacing w:after="0" w:line="240" w:lineRule="auto"/>
              <w:jc w:val="center"/>
              <w:rPr>
                <w:rFonts w:ascii="Times New Roman" w:hAnsi="Times New Roman" w:cs="Times New Roman"/>
                <w:b/>
                <w:lang w:eastAsia="ja-JP"/>
              </w:rPr>
            </w:pPr>
            <w:r w:rsidRPr="00CA0AE3">
              <w:rPr>
                <w:rFonts w:ascii="Times New Roman" w:hAnsi="Times New Roman" w:cs="Times New Roman"/>
                <w:b/>
                <w:lang w:eastAsia="ja-JP"/>
              </w:rPr>
              <w:t>DY24</w:t>
            </w:r>
          </w:p>
        </w:tc>
        <w:tc>
          <w:tcPr>
            <w:tcW w:w="880" w:type="pct"/>
            <w:vAlign w:val="center"/>
          </w:tcPr>
          <w:p w:rsidR="005F46C3" w:rsidRPr="00CA0AE3" w:rsidRDefault="002E72DC">
            <w:pPr>
              <w:spacing w:after="0" w:line="240" w:lineRule="auto"/>
              <w:jc w:val="center"/>
              <w:rPr>
                <w:rFonts w:ascii="Times New Roman" w:hAnsi="Times New Roman" w:cs="Times New Roman"/>
                <w:b/>
                <w:lang w:eastAsia="ja-JP"/>
              </w:rPr>
            </w:pPr>
            <w:r w:rsidRPr="00CA0AE3">
              <w:rPr>
                <w:rFonts w:ascii="Times New Roman" w:hAnsi="Times New Roman" w:cs="Times New Roman"/>
                <w:b/>
                <w:lang w:eastAsia="ja-JP"/>
              </w:rPr>
              <w:t>DY25</w:t>
            </w:r>
          </w:p>
        </w:tc>
      </w:tr>
      <w:tr w:rsidR="002E72DC" w:rsidRPr="00CA0AE3" w:rsidTr="00CD68F4">
        <w:tc>
          <w:tcPr>
            <w:tcW w:w="659" w:type="pct"/>
            <w:vAlign w:val="center"/>
          </w:tcPr>
          <w:p w:rsidR="002E72DC" w:rsidRPr="00CA0AE3" w:rsidRDefault="002E72DC" w:rsidP="00640C64">
            <w:pPr>
              <w:spacing w:after="0" w:line="240" w:lineRule="auto"/>
              <w:jc w:val="both"/>
              <w:rPr>
                <w:rFonts w:ascii="Times New Roman" w:hAnsi="Times New Roman" w:cs="Times New Roman"/>
                <w:lang w:eastAsia="ja-JP"/>
              </w:rPr>
            </w:pPr>
            <w:r w:rsidRPr="00CA0AE3">
              <w:rPr>
                <w:rFonts w:ascii="Times New Roman" w:hAnsi="Times New Roman" w:cs="Times New Roman"/>
                <w:lang w:eastAsia="ja-JP"/>
              </w:rPr>
              <w:t>Measure Slate 6</w:t>
            </w:r>
          </w:p>
        </w:tc>
        <w:tc>
          <w:tcPr>
            <w:tcW w:w="877" w:type="pct"/>
            <w:vAlign w:val="center"/>
          </w:tcPr>
          <w:p w:rsidR="005F46C3" w:rsidRPr="00CA0AE3" w:rsidRDefault="002E72DC">
            <w:pPr>
              <w:spacing w:after="0" w:line="240" w:lineRule="auto"/>
              <w:jc w:val="center"/>
              <w:rPr>
                <w:rFonts w:ascii="Times New Roman" w:hAnsi="Times New Roman" w:cs="Times New Roman"/>
                <w:lang w:eastAsia="ja-JP"/>
              </w:rPr>
            </w:pPr>
            <w:r w:rsidRPr="00CA0AE3">
              <w:rPr>
                <w:rFonts w:ascii="Times New Roman" w:hAnsi="Times New Roman" w:cs="Times New Roman"/>
                <w:lang w:eastAsia="ja-JP"/>
              </w:rPr>
              <w:t>Pay-for-Reporting</w:t>
            </w:r>
          </w:p>
        </w:tc>
        <w:tc>
          <w:tcPr>
            <w:tcW w:w="824" w:type="pct"/>
            <w:vAlign w:val="center"/>
          </w:tcPr>
          <w:p w:rsidR="005F46C3" w:rsidRPr="00CA0AE3" w:rsidRDefault="002E72DC">
            <w:pPr>
              <w:spacing w:after="0" w:line="240" w:lineRule="auto"/>
              <w:jc w:val="center"/>
              <w:rPr>
                <w:rFonts w:ascii="Times New Roman" w:hAnsi="Times New Roman" w:cs="Times New Roman"/>
                <w:lang w:eastAsia="ja-JP"/>
              </w:rPr>
            </w:pPr>
            <w:r w:rsidRPr="00CA0AE3">
              <w:rPr>
                <w:rFonts w:ascii="Times New Roman" w:hAnsi="Times New Roman" w:cs="Times New Roman"/>
                <w:lang w:eastAsia="ja-JP"/>
              </w:rPr>
              <w:t>Pay-for-Reporting</w:t>
            </w:r>
          </w:p>
        </w:tc>
        <w:tc>
          <w:tcPr>
            <w:tcW w:w="880" w:type="pct"/>
            <w:vAlign w:val="center"/>
          </w:tcPr>
          <w:p w:rsidR="005F46C3" w:rsidRPr="00CA0AE3" w:rsidRDefault="00CD68F4">
            <w:pPr>
              <w:spacing w:after="0" w:line="240" w:lineRule="auto"/>
              <w:jc w:val="center"/>
              <w:rPr>
                <w:rFonts w:ascii="Times New Roman" w:hAnsi="Times New Roman" w:cs="Times New Roman"/>
                <w:lang w:eastAsia="ja-JP"/>
              </w:rPr>
            </w:pPr>
            <w:r w:rsidRPr="00CA0AE3">
              <w:rPr>
                <w:rFonts w:ascii="Times New Roman" w:hAnsi="Times New Roman" w:cs="Times New Roman"/>
                <w:lang w:eastAsia="ja-JP"/>
              </w:rPr>
              <w:t>Pay-for-Reporting</w:t>
            </w:r>
          </w:p>
        </w:tc>
        <w:tc>
          <w:tcPr>
            <w:tcW w:w="880" w:type="pct"/>
            <w:vAlign w:val="center"/>
          </w:tcPr>
          <w:p w:rsidR="005F46C3" w:rsidRPr="00CA0AE3" w:rsidRDefault="00CD68F4">
            <w:pPr>
              <w:spacing w:after="0" w:line="240" w:lineRule="auto"/>
              <w:jc w:val="center"/>
              <w:rPr>
                <w:rFonts w:ascii="Times New Roman" w:hAnsi="Times New Roman" w:cs="Times New Roman"/>
                <w:lang w:eastAsia="ja-JP"/>
              </w:rPr>
            </w:pPr>
            <w:r w:rsidRPr="00CA0AE3">
              <w:rPr>
                <w:rFonts w:ascii="Times New Roman" w:hAnsi="Times New Roman" w:cs="Times New Roman"/>
                <w:lang w:eastAsia="ja-JP"/>
              </w:rPr>
              <w:t>Pay-for-Reporting</w:t>
            </w:r>
          </w:p>
        </w:tc>
        <w:tc>
          <w:tcPr>
            <w:tcW w:w="880" w:type="pct"/>
            <w:vAlign w:val="center"/>
          </w:tcPr>
          <w:p w:rsidR="005F46C3" w:rsidRPr="00CA0AE3" w:rsidRDefault="00CD68F4">
            <w:pPr>
              <w:spacing w:after="0" w:line="240" w:lineRule="auto"/>
              <w:jc w:val="center"/>
              <w:rPr>
                <w:rFonts w:ascii="Times New Roman" w:hAnsi="Times New Roman" w:cs="Times New Roman"/>
                <w:lang w:eastAsia="ja-JP"/>
              </w:rPr>
            </w:pPr>
            <w:r w:rsidRPr="00CA0AE3">
              <w:rPr>
                <w:rFonts w:ascii="Times New Roman" w:hAnsi="Times New Roman" w:cs="Times New Roman"/>
                <w:lang w:eastAsia="ja-JP"/>
              </w:rPr>
              <w:t>Pay-for-Reporting</w:t>
            </w:r>
          </w:p>
        </w:tc>
      </w:tr>
    </w:tbl>
    <w:p w:rsidR="00595872" w:rsidRPr="00CA0AE3" w:rsidRDefault="00595872" w:rsidP="0074511A">
      <w:pPr>
        <w:spacing w:after="0" w:line="240" w:lineRule="auto"/>
        <w:contextualSpacing/>
        <w:jc w:val="both"/>
        <w:outlineLvl w:val="4"/>
        <w:rPr>
          <w:rFonts w:eastAsia="MS Gothic"/>
        </w:rPr>
      </w:pPr>
    </w:p>
    <w:p w:rsidR="00595872" w:rsidRPr="00CA0AE3" w:rsidRDefault="00595872" w:rsidP="00595872">
      <w:pPr>
        <w:spacing w:after="0" w:line="240" w:lineRule="auto"/>
        <w:ind w:left="1080"/>
        <w:jc w:val="both"/>
        <w:rPr>
          <w:lang w:eastAsia="ja-JP"/>
        </w:rPr>
      </w:pPr>
      <w:r w:rsidRPr="00CA0AE3">
        <w:rPr>
          <w:lang w:eastAsia="ja-JP"/>
        </w:rPr>
        <w:t xml:space="preserve">A description of the funding allocation for the pay-for-reporting measure slate can be found in </w:t>
      </w:r>
      <w:r w:rsidR="008D3CB4" w:rsidRPr="00CA0AE3">
        <w:rPr>
          <w:rFonts w:eastAsia="MS Gothic"/>
        </w:rPr>
        <w:t>Section VI, paragraph 1</w:t>
      </w:r>
      <w:r w:rsidR="007D48A9" w:rsidRPr="00CA0AE3">
        <w:rPr>
          <w:rFonts w:eastAsia="MS Gothic"/>
        </w:rPr>
        <w:t>8</w:t>
      </w:r>
      <w:r w:rsidRPr="00CA0AE3">
        <w:rPr>
          <w:lang w:eastAsia="ja-JP"/>
        </w:rPr>
        <w:t xml:space="preserve">. </w:t>
      </w:r>
    </w:p>
    <w:p w:rsidR="00595872" w:rsidRPr="00CA0AE3" w:rsidRDefault="00595872" w:rsidP="0074511A">
      <w:pPr>
        <w:spacing w:after="0" w:line="240" w:lineRule="auto"/>
        <w:contextualSpacing/>
        <w:jc w:val="both"/>
        <w:outlineLvl w:val="4"/>
        <w:rPr>
          <w:rFonts w:eastAsia="MS Gothic"/>
        </w:rPr>
      </w:pPr>
    </w:p>
    <w:p w:rsidR="0039587D" w:rsidRPr="00CA0AE3" w:rsidRDefault="0039587D" w:rsidP="007D56D0">
      <w:pPr>
        <w:pStyle w:val="ListParagraph"/>
        <w:numPr>
          <w:ilvl w:val="1"/>
          <w:numId w:val="39"/>
        </w:numPr>
        <w:suppressAutoHyphens/>
        <w:spacing w:after="0" w:line="240" w:lineRule="auto"/>
        <w:jc w:val="both"/>
        <w:outlineLvl w:val="1"/>
        <w:rPr>
          <w:b/>
        </w:rPr>
      </w:pPr>
      <w:r w:rsidRPr="00CA0AE3">
        <w:rPr>
          <w:b/>
        </w:rPr>
        <w:t xml:space="preserve">Medicaid ACO Performance Accountability </w:t>
      </w:r>
      <w:r w:rsidR="00911400" w:rsidRPr="00CA0AE3">
        <w:rPr>
          <w:b/>
        </w:rPr>
        <w:t xml:space="preserve">for </w:t>
      </w:r>
      <w:r w:rsidR="008E597C" w:rsidRPr="00CA0AE3">
        <w:rPr>
          <w:b/>
        </w:rPr>
        <w:t>Public Hospital’s</w:t>
      </w:r>
      <w:r w:rsidR="00911400" w:rsidRPr="00CA0AE3">
        <w:rPr>
          <w:b/>
        </w:rPr>
        <w:t xml:space="preserve"> </w:t>
      </w:r>
      <w:r w:rsidR="00981DA9" w:rsidRPr="00CA0AE3">
        <w:rPr>
          <w:b/>
        </w:rPr>
        <w:t>MassHealth</w:t>
      </w:r>
      <w:r w:rsidR="00911400" w:rsidRPr="00CA0AE3">
        <w:rPr>
          <w:b/>
        </w:rPr>
        <w:t xml:space="preserve"> Panel</w:t>
      </w:r>
    </w:p>
    <w:p w:rsidR="00A2563B" w:rsidRPr="00CA0AE3" w:rsidRDefault="00A2563B" w:rsidP="007D56D0">
      <w:pPr>
        <w:spacing w:after="0" w:line="240" w:lineRule="auto"/>
        <w:ind w:left="720"/>
        <w:jc w:val="both"/>
      </w:pPr>
      <w:r w:rsidRPr="00CA0AE3">
        <w:t xml:space="preserve">The public hospital will report on measures associated with Medicaid Accountable Care Organization (ACO) performance accountability for the </w:t>
      </w:r>
      <w:r w:rsidR="00875CD1" w:rsidRPr="00CA0AE3">
        <w:t>P</w:t>
      </w:r>
      <w:r w:rsidRPr="00CA0AE3">
        <w:t xml:space="preserve">ublic </w:t>
      </w:r>
      <w:r w:rsidR="00875CD1" w:rsidRPr="00CA0AE3">
        <w:t>H</w:t>
      </w:r>
      <w:r w:rsidRPr="00CA0AE3">
        <w:t xml:space="preserve">ospital’s </w:t>
      </w:r>
      <w:r w:rsidR="00981DA9" w:rsidRPr="00CA0AE3">
        <w:t>MassHealth</w:t>
      </w:r>
      <w:r w:rsidRPr="00CA0AE3">
        <w:t xml:space="preserve"> patient panel utilizing the DSRIP measures.  </w:t>
      </w:r>
    </w:p>
    <w:p w:rsidR="00B844DE" w:rsidRPr="00CA0AE3" w:rsidRDefault="00B844DE">
      <w:pPr>
        <w:pStyle w:val="ListParagraph"/>
        <w:suppressAutoHyphens/>
        <w:spacing w:after="0" w:line="240" w:lineRule="auto"/>
        <w:ind w:left="1080"/>
        <w:jc w:val="both"/>
        <w:outlineLvl w:val="2"/>
        <w:rPr>
          <w:u w:val="single"/>
        </w:rPr>
      </w:pPr>
    </w:p>
    <w:p w:rsidR="002F0973" w:rsidRPr="00CA0AE3" w:rsidRDefault="002F0973">
      <w:pPr>
        <w:spacing w:after="0" w:line="240" w:lineRule="auto"/>
        <w:rPr>
          <w:rFonts w:eastAsia="Times New Roman"/>
          <w:b/>
          <w:bCs/>
          <w:szCs w:val="28"/>
        </w:rPr>
      </w:pPr>
    </w:p>
    <w:p w:rsidR="00BD0ED2" w:rsidRPr="00CA0AE3" w:rsidRDefault="00E15D9F" w:rsidP="004A7100">
      <w:pPr>
        <w:pStyle w:val="Heading1"/>
        <w:numPr>
          <w:ilvl w:val="0"/>
          <w:numId w:val="10"/>
        </w:numPr>
        <w:jc w:val="both"/>
      </w:pPr>
      <w:r w:rsidRPr="00CA0AE3">
        <w:t>NON-FEDERAL SHARE OF PHTII PAYMENTS</w:t>
      </w:r>
      <w:r w:rsidR="005E65EE" w:rsidRPr="00CA0AE3">
        <w:t xml:space="preserve"> AND ALIGNED </w:t>
      </w:r>
      <w:r w:rsidR="002463A7" w:rsidRPr="00CA0AE3">
        <w:t xml:space="preserve">MASSHEALTH </w:t>
      </w:r>
      <w:r w:rsidR="005E65EE" w:rsidRPr="00CA0AE3">
        <w:t>ACO PERFORMANCE ACCOUNTABILITY FUNDS INCORPORATED INTO PHTII FUNDING STREAM</w:t>
      </w:r>
    </w:p>
    <w:p w:rsidR="00BD0ED2" w:rsidRPr="00CA0AE3" w:rsidRDefault="00BD0ED2" w:rsidP="0074511A">
      <w:pPr>
        <w:pStyle w:val="ListParagraph"/>
        <w:autoSpaceDE w:val="0"/>
        <w:autoSpaceDN w:val="0"/>
        <w:adjustRightInd w:val="0"/>
        <w:spacing w:after="0" w:line="240" w:lineRule="auto"/>
        <w:ind w:left="0"/>
        <w:jc w:val="both"/>
      </w:pPr>
    </w:p>
    <w:p w:rsidR="00BD0ED2" w:rsidRPr="00CA0AE3" w:rsidRDefault="00BD0ED2" w:rsidP="00733797">
      <w:pPr>
        <w:pStyle w:val="ListParagraph"/>
        <w:numPr>
          <w:ilvl w:val="1"/>
          <w:numId w:val="11"/>
        </w:numPr>
        <w:suppressAutoHyphens/>
        <w:spacing w:after="0" w:line="240" w:lineRule="auto"/>
        <w:jc w:val="both"/>
        <w:outlineLvl w:val="1"/>
        <w:rPr>
          <w:b/>
        </w:rPr>
      </w:pPr>
      <w:r w:rsidRPr="00CA0AE3">
        <w:rPr>
          <w:b/>
        </w:rPr>
        <w:t>Identification of Allowable Funding Sources</w:t>
      </w:r>
    </w:p>
    <w:p w:rsidR="00BD0ED2" w:rsidRPr="00CA0AE3" w:rsidRDefault="00BD0ED2" w:rsidP="0074511A">
      <w:pPr>
        <w:pStyle w:val="ListParagraph"/>
        <w:suppressAutoHyphens/>
        <w:spacing w:after="0" w:line="240" w:lineRule="auto"/>
        <w:ind w:left="0"/>
        <w:jc w:val="both"/>
        <w:outlineLvl w:val="1"/>
      </w:pPr>
    </w:p>
    <w:p w:rsidR="006143D6" w:rsidRPr="00CA0AE3" w:rsidRDefault="00BD0ED2" w:rsidP="0074511A">
      <w:pPr>
        <w:pStyle w:val="ListParagraph"/>
        <w:numPr>
          <w:ilvl w:val="2"/>
          <w:numId w:val="11"/>
        </w:numPr>
        <w:suppressAutoHyphens/>
        <w:spacing w:after="0" w:line="240" w:lineRule="auto"/>
        <w:jc w:val="both"/>
        <w:outlineLvl w:val="1"/>
      </w:pPr>
      <w:r w:rsidRPr="00CA0AE3">
        <w:rPr>
          <w:u w:val="single"/>
        </w:rPr>
        <w:t>Allowable Funding Sources</w:t>
      </w:r>
      <w:r w:rsidRPr="00CA0AE3">
        <w:t xml:space="preserve"> </w:t>
      </w:r>
    </w:p>
    <w:p w:rsidR="005F46C3" w:rsidRPr="00CA0AE3" w:rsidRDefault="00BD0ED2">
      <w:pPr>
        <w:pStyle w:val="ListParagraph"/>
        <w:suppressAutoHyphens/>
        <w:spacing w:after="0" w:line="240" w:lineRule="auto"/>
        <w:ind w:left="1080"/>
        <w:jc w:val="both"/>
        <w:outlineLvl w:val="1"/>
      </w:pPr>
      <w:r w:rsidRPr="00CA0AE3">
        <w:t xml:space="preserve">Allowable funding sources for the non-federal share of PHTII payments </w:t>
      </w:r>
      <w:r w:rsidR="00F348D8" w:rsidRPr="00CA0AE3">
        <w:t>must</w:t>
      </w:r>
      <w:r w:rsidRPr="00CA0AE3">
        <w:t xml:space="preserve"> include all sources authorized under Title XIX and federal regulations promulgated thereunder. </w:t>
      </w:r>
    </w:p>
    <w:p w:rsidR="00BD0ED2" w:rsidRPr="00CA0AE3" w:rsidRDefault="00BD0ED2" w:rsidP="0074511A">
      <w:pPr>
        <w:pStyle w:val="ListParagraph"/>
        <w:suppressAutoHyphens/>
        <w:spacing w:after="0" w:line="240" w:lineRule="auto"/>
        <w:ind w:left="0"/>
        <w:jc w:val="both"/>
        <w:outlineLvl w:val="1"/>
      </w:pPr>
    </w:p>
    <w:p w:rsidR="00BD0ED2" w:rsidRPr="00CA0AE3" w:rsidRDefault="00BD0ED2" w:rsidP="0074511A">
      <w:pPr>
        <w:pStyle w:val="ListParagraph"/>
        <w:numPr>
          <w:ilvl w:val="3"/>
          <w:numId w:val="11"/>
        </w:numPr>
        <w:suppressAutoHyphens/>
        <w:spacing w:after="0" w:line="240" w:lineRule="auto"/>
        <w:jc w:val="both"/>
        <w:outlineLvl w:val="1"/>
      </w:pPr>
      <w:r w:rsidRPr="00CA0AE3">
        <w:t xml:space="preserve">The source of non-federal share of DYs </w:t>
      </w:r>
      <w:r w:rsidR="00440EA0" w:rsidRPr="00CA0AE3">
        <w:t xml:space="preserve">21 </w:t>
      </w:r>
      <w:r w:rsidRPr="00CA0AE3">
        <w:t>– 2</w:t>
      </w:r>
      <w:r w:rsidR="00440EA0" w:rsidRPr="00CA0AE3">
        <w:t>5</w:t>
      </w:r>
      <w:r w:rsidRPr="00CA0AE3">
        <w:t xml:space="preserve"> PHTII payments to </w:t>
      </w:r>
      <w:r w:rsidR="008E597C" w:rsidRPr="00CA0AE3">
        <w:t xml:space="preserve">the Public Hospital </w:t>
      </w:r>
      <w:r w:rsidRPr="00CA0AE3">
        <w:t xml:space="preserve">will be an intergovernmental funds transfer. The Executive Office of Health and Human Services (EOHHS) will issue a request to </w:t>
      </w:r>
      <w:r w:rsidR="008E597C" w:rsidRPr="00CA0AE3">
        <w:t xml:space="preserve">the Public Hospital </w:t>
      </w:r>
      <w:r w:rsidRPr="00CA0AE3">
        <w:t xml:space="preserve">for an intergovernmental transfer in the amount of the non-federal share of the applicable incentive payment amounts at least 15 days prior to the scheduled date of payment. </w:t>
      </w:r>
      <w:r w:rsidR="008E597C" w:rsidRPr="00CA0AE3">
        <w:t xml:space="preserve">The Public Hospital </w:t>
      </w:r>
      <w:r w:rsidRPr="00CA0AE3">
        <w:t xml:space="preserve">will make an intergovernmental transfer of its funds to EOHHS in the amount specified by a mutually agreed timeline determined by EOHHS in consultation with </w:t>
      </w:r>
      <w:r w:rsidR="008E597C" w:rsidRPr="00CA0AE3">
        <w:t>the Public Hospital</w:t>
      </w:r>
      <w:r w:rsidRPr="00CA0AE3">
        <w:t>, and in accordance with the terms of an executed payment and funding agreement, and all applicable laws. Upon receipt of the intergovernmental transfer, EOHHS will draw the federal funding and pay both the nonfederal and federal shares of the applicable DY</w:t>
      </w:r>
      <w:r w:rsidR="00F27698" w:rsidRPr="00CA0AE3">
        <w:t>s</w:t>
      </w:r>
      <w:r w:rsidRPr="00CA0AE3">
        <w:t xml:space="preserve"> </w:t>
      </w:r>
      <w:r w:rsidR="00440EA0" w:rsidRPr="00CA0AE3">
        <w:t xml:space="preserve">21 </w:t>
      </w:r>
      <w:r w:rsidRPr="00CA0AE3">
        <w:t xml:space="preserve">– </w:t>
      </w:r>
      <w:r w:rsidR="00440EA0" w:rsidRPr="00CA0AE3">
        <w:t>25</w:t>
      </w:r>
      <w:r w:rsidRPr="00CA0AE3">
        <w:t xml:space="preserve"> payment(s) to </w:t>
      </w:r>
      <w:r w:rsidR="008E597C" w:rsidRPr="00CA0AE3">
        <w:t xml:space="preserve">the Public Hospital </w:t>
      </w:r>
      <w:r w:rsidRPr="00CA0AE3">
        <w:t xml:space="preserve">according to a mutually agreed upon timeline determined by EOHHS in the consultation with </w:t>
      </w:r>
      <w:r w:rsidR="008E597C" w:rsidRPr="00CA0AE3">
        <w:t>the Public Hospital</w:t>
      </w:r>
      <w:r w:rsidRPr="00CA0AE3">
        <w:t>, and subject to state legislative appropriation and availability of funds, the terms of a payment and funding agreement, and all necessary approvals.</w:t>
      </w:r>
    </w:p>
    <w:p w:rsidR="00BD0ED2" w:rsidRPr="00CA0AE3" w:rsidRDefault="00BD0ED2" w:rsidP="0074511A">
      <w:pPr>
        <w:pStyle w:val="ListParagraph"/>
        <w:suppressAutoHyphens/>
        <w:spacing w:after="0" w:line="240" w:lineRule="auto"/>
        <w:ind w:left="0"/>
        <w:jc w:val="both"/>
        <w:outlineLvl w:val="1"/>
      </w:pPr>
    </w:p>
    <w:p w:rsidR="006143D6" w:rsidRPr="00CA0AE3" w:rsidRDefault="00BD0ED2" w:rsidP="0074511A">
      <w:pPr>
        <w:pStyle w:val="ListParagraph"/>
        <w:numPr>
          <w:ilvl w:val="2"/>
          <w:numId w:val="11"/>
        </w:numPr>
        <w:suppressAutoHyphens/>
        <w:spacing w:after="0" w:line="240" w:lineRule="auto"/>
        <w:jc w:val="both"/>
        <w:outlineLvl w:val="1"/>
      </w:pPr>
      <w:r w:rsidRPr="00CA0AE3">
        <w:rPr>
          <w:u w:val="single"/>
        </w:rPr>
        <w:t>Change in Funding Source</w:t>
      </w:r>
    </w:p>
    <w:p w:rsidR="005F46C3" w:rsidRPr="00CA0AE3" w:rsidRDefault="00BD0ED2">
      <w:pPr>
        <w:pStyle w:val="ListParagraph"/>
        <w:suppressAutoHyphens/>
        <w:spacing w:after="0" w:line="240" w:lineRule="auto"/>
        <w:ind w:left="1080"/>
        <w:jc w:val="both"/>
        <w:outlineLvl w:val="1"/>
      </w:pPr>
      <w:r w:rsidRPr="00CA0AE3">
        <w:t xml:space="preserve">If the source of non-federal share of PHTII payments changes during the renewal period, EOHHS </w:t>
      </w:r>
      <w:r w:rsidR="00F348D8" w:rsidRPr="00CA0AE3">
        <w:t>must</w:t>
      </w:r>
      <w:r w:rsidRPr="00CA0AE3">
        <w:t xml:space="preserve"> notify CMS and seek CMS’ approval of such change prior to claiming FFP for any payment utilizing such funding source. No waiver amendment is required.</w:t>
      </w:r>
    </w:p>
    <w:p w:rsidR="00BD0ED2" w:rsidRPr="00CA0AE3" w:rsidRDefault="00BD0ED2" w:rsidP="0074511A">
      <w:pPr>
        <w:pStyle w:val="ListParagraph"/>
        <w:suppressAutoHyphens/>
        <w:spacing w:after="0" w:line="240" w:lineRule="auto"/>
        <w:ind w:left="0"/>
        <w:jc w:val="both"/>
        <w:outlineLvl w:val="1"/>
      </w:pPr>
    </w:p>
    <w:p w:rsidR="005C6EC3" w:rsidRPr="00CA0AE3" w:rsidRDefault="00E15D9F" w:rsidP="004A7100">
      <w:pPr>
        <w:pStyle w:val="ListParagraph"/>
        <w:numPr>
          <w:ilvl w:val="0"/>
          <w:numId w:val="11"/>
        </w:numPr>
        <w:suppressAutoHyphens/>
        <w:spacing w:after="0" w:line="240" w:lineRule="auto"/>
        <w:jc w:val="both"/>
        <w:outlineLvl w:val="1"/>
        <w:rPr>
          <w:b/>
        </w:rPr>
      </w:pPr>
      <w:r w:rsidRPr="00CA0AE3">
        <w:rPr>
          <w:b/>
          <w:bCs/>
        </w:rPr>
        <w:t>PHTII  REPORTING AND PAYMENT IN DY</w:t>
      </w:r>
      <w:r w:rsidR="00F27698" w:rsidRPr="00CA0AE3">
        <w:rPr>
          <w:b/>
          <w:bCs/>
        </w:rPr>
        <w:t>s</w:t>
      </w:r>
      <w:r w:rsidRPr="00CA0AE3">
        <w:rPr>
          <w:b/>
          <w:bCs/>
        </w:rPr>
        <w:t xml:space="preserve"> </w:t>
      </w:r>
      <w:r w:rsidR="001336A1" w:rsidRPr="00CA0AE3">
        <w:rPr>
          <w:b/>
          <w:bCs/>
        </w:rPr>
        <w:t xml:space="preserve">21 </w:t>
      </w:r>
      <w:r w:rsidRPr="00CA0AE3">
        <w:rPr>
          <w:b/>
          <w:bCs/>
        </w:rPr>
        <w:t xml:space="preserve">– </w:t>
      </w:r>
      <w:r w:rsidR="001336A1" w:rsidRPr="00CA0AE3">
        <w:rPr>
          <w:b/>
          <w:bCs/>
        </w:rPr>
        <w:t>25</w:t>
      </w:r>
      <w:r w:rsidRPr="00CA0AE3">
        <w:rPr>
          <w:b/>
          <w:bCs/>
        </w:rPr>
        <w:t xml:space="preserve"> </w:t>
      </w:r>
    </w:p>
    <w:p w:rsidR="005A05D9" w:rsidRPr="00CA0AE3" w:rsidRDefault="005A05D9" w:rsidP="0074511A">
      <w:pPr>
        <w:pStyle w:val="ListParagraph"/>
        <w:suppressAutoHyphens/>
        <w:spacing w:after="0" w:line="240" w:lineRule="auto"/>
        <w:ind w:left="0"/>
        <w:jc w:val="both"/>
        <w:outlineLvl w:val="1"/>
      </w:pPr>
    </w:p>
    <w:p w:rsidR="00FC07D8" w:rsidRPr="00CA0AE3" w:rsidRDefault="007851F9" w:rsidP="007851F9">
      <w:pPr>
        <w:pStyle w:val="ListParagraph"/>
        <w:numPr>
          <w:ilvl w:val="1"/>
          <w:numId w:val="12"/>
        </w:numPr>
        <w:suppressAutoHyphens/>
        <w:autoSpaceDE w:val="0"/>
        <w:autoSpaceDN w:val="0"/>
        <w:adjustRightInd w:val="0"/>
        <w:spacing w:after="0" w:line="240" w:lineRule="auto"/>
        <w:jc w:val="both"/>
        <w:outlineLvl w:val="1"/>
      </w:pPr>
      <w:r w:rsidRPr="00CA0AE3">
        <w:rPr>
          <w:b/>
        </w:rPr>
        <w:t>PHTII Initiatives</w:t>
      </w:r>
      <w:r w:rsidR="00EA2DEF" w:rsidRPr="00CA0AE3">
        <w:rPr>
          <w:b/>
        </w:rPr>
        <w:t xml:space="preserve"> and</w:t>
      </w:r>
      <w:r w:rsidRPr="00CA0AE3">
        <w:rPr>
          <w:b/>
        </w:rPr>
        <w:t xml:space="preserve"> Measure Slate 1 – 6</w:t>
      </w:r>
    </w:p>
    <w:p w:rsidR="005F46C3" w:rsidRPr="00CA0AE3" w:rsidRDefault="008D3CB4" w:rsidP="007851F9">
      <w:pPr>
        <w:pStyle w:val="ListParagraph"/>
        <w:suppressAutoHyphens/>
        <w:spacing w:after="0" w:line="240" w:lineRule="auto"/>
        <w:jc w:val="both"/>
        <w:outlineLvl w:val="1"/>
      </w:pPr>
      <w:r w:rsidRPr="00CA0AE3">
        <w:t>Three</w:t>
      </w:r>
      <w:r w:rsidR="00721B30" w:rsidRPr="00CA0AE3">
        <w:t xml:space="preserve"> times</w:t>
      </w:r>
      <w:r w:rsidRPr="00CA0AE3">
        <w:t xml:space="preserve"> per year, the Public Hospital seeking payment under PHTII must submit reports to the Commonwealth demonstrating progress on PHTII initiatives</w:t>
      </w:r>
      <w:r w:rsidR="00751064" w:rsidRPr="00CA0AE3">
        <w:t xml:space="preserve"> </w:t>
      </w:r>
      <w:r w:rsidR="006F1D7E" w:rsidRPr="00CA0AE3">
        <w:t xml:space="preserve">that </w:t>
      </w:r>
      <w:r w:rsidR="00107BAC" w:rsidRPr="00CA0AE3">
        <w:t xml:space="preserve">the Public Hospital </w:t>
      </w:r>
      <w:r w:rsidR="00751064" w:rsidRPr="00CA0AE3">
        <w:t>has selected</w:t>
      </w:r>
      <w:r w:rsidR="00107BAC" w:rsidRPr="00CA0AE3">
        <w:t xml:space="preserve"> pursuant to paragraph 7</w:t>
      </w:r>
      <w:r w:rsidRPr="00CA0AE3">
        <w:t xml:space="preserve">. The Commonwealth must provide such reports to the assigned independent assessor. </w:t>
      </w:r>
      <w:r w:rsidR="002C08DD" w:rsidRPr="00CA0AE3">
        <w:t xml:space="preserve">The reports </w:t>
      </w:r>
      <w:r w:rsidRPr="00CA0AE3">
        <w:t>must be submitted using the standardized reporting form approved by EOHHS. The reports must include the incentive payment amount being requested for the progress achieved on PHTII initiative activities in accordance with payment mechanics (see Section VI). The report must include data on the progress with the initiative and must provide a narrative description of the progress made. The reports must contain sufficient data and documentation to allow CMS, the state, and the independent assessor</w:t>
      </w:r>
      <w:r w:rsidR="005A6065" w:rsidRPr="00CA0AE3">
        <w:t xml:space="preserve"> to determine if the hospital </w:t>
      </w:r>
      <w:r w:rsidRPr="00CA0AE3">
        <w:t>is achieving</w:t>
      </w:r>
      <w:r w:rsidR="00B93A38" w:rsidRPr="00CA0AE3">
        <w:t xml:space="preserve"> progress with the initiative. </w:t>
      </w:r>
      <w:r w:rsidRPr="00CA0AE3">
        <w:t xml:space="preserve">The hospital system must have available for review by the Commonwealth or CMS, upon request, all </w:t>
      </w:r>
      <w:r w:rsidRPr="00CA0AE3">
        <w:lastRenderedPageBreak/>
        <w:t xml:space="preserve">supporting data and back-up documentation. These reports will be due as indicated below after the end of each reporting period: </w:t>
      </w:r>
    </w:p>
    <w:p w:rsidR="002C08DD" w:rsidRPr="00CA0AE3" w:rsidRDefault="002C08DD" w:rsidP="007851F9">
      <w:pPr>
        <w:autoSpaceDE w:val="0"/>
        <w:autoSpaceDN w:val="0"/>
        <w:adjustRightInd w:val="0"/>
        <w:spacing w:after="0" w:line="240" w:lineRule="auto"/>
        <w:jc w:val="both"/>
      </w:pPr>
    </w:p>
    <w:p w:rsidR="005F46C3" w:rsidRPr="00CA0AE3" w:rsidRDefault="002C08DD" w:rsidP="002F0973">
      <w:pPr>
        <w:pStyle w:val="ListParagraph"/>
        <w:numPr>
          <w:ilvl w:val="2"/>
          <w:numId w:val="11"/>
        </w:numPr>
        <w:suppressAutoHyphens/>
        <w:spacing w:after="0" w:line="240" w:lineRule="auto"/>
        <w:jc w:val="both"/>
        <w:outlineLvl w:val="1"/>
      </w:pPr>
      <w:r w:rsidRPr="00CA0AE3">
        <w:t xml:space="preserve">Reporting period of July 1 through </w:t>
      </w:r>
      <w:r w:rsidR="00405D51" w:rsidRPr="00CA0AE3">
        <w:t>October</w:t>
      </w:r>
      <w:r w:rsidRPr="00CA0AE3">
        <w:t xml:space="preserve"> 31: the report and request for payment is due </w:t>
      </w:r>
      <w:r w:rsidR="00405D51" w:rsidRPr="00CA0AE3">
        <w:t>November 30</w:t>
      </w:r>
      <w:r w:rsidRPr="00CA0AE3">
        <w:t xml:space="preserve">. </w:t>
      </w:r>
    </w:p>
    <w:p w:rsidR="005F46C3" w:rsidRPr="00CA0AE3" w:rsidRDefault="002C08DD" w:rsidP="002F0973">
      <w:pPr>
        <w:pStyle w:val="ListParagraph"/>
        <w:numPr>
          <w:ilvl w:val="2"/>
          <w:numId w:val="11"/>
        </w:numPr>
        <w:suppressAutoHyphens/>
        <w:spacing w:after="0" w:line="240" w:lineRule="auto"/>
        <w:jc w:val="both"/>
        <w:outlineLvl w:val="1"/>
      </w:pPr>
      <w:r w:rsidRPr="00CA0AE3">
        <w:t xml:space="preserve">Reporting period of </w:t>
      </w:r>
      <w:r w:rsidR="00405D51" w:rsidRPr="00CA0AE3">
        <w:t>November</w:t>
      </w:r>
      <w:r w:rsidRPr="00CA0AE3">
        <w:t xml:space="preserve"> 1 through </w:t>
      </w:r>
      <w:r w:rsidR="00892289" w:rsidRPr="00CA0AE3">
        <w:t>February 28</w:t>
      </w:r>
      <w:r w:rsidR="00BA5C59" w:rsidRPr="00CA0AE3">
        <w:t>/</w:t>
      </w:r>
      <w:r w:rsidR="00892289" w:rsidRPr="00CA0AE3">
        <w:t>29</w:t>
      </w:r>
      <w:r w:rsidRPr="00CA0AE3">
        <w:t xml:space="preserve">: the report and request for payment is due </w:t>
      </w:r>
      <w:r w:rsidR="00892289" w:rsidRPr="00CA0AE3">
        <w:t>March 31</w:t>
      </w:r>
      <w:r w:rsidRPr="00CA0AE3">
        <w:t>.</w:t>
      </w:r>
    </w:p>
    <w:p w:rsidR="00405D51" w:rsidRPr="00CA0AE3" w:rsidRDefault="00405D51" w:rsidP="002F0973">
      <w:pPr>
        <w:pStyle w:val="ListParagraph"/>
        <w:numPr>
          <w:ilvl w:val="2"/>
          <w:numId w:val="11"/>
        </w:numPr>
        <w:suppressAutoHyphens/>
        <w:spacing w:after="0" w:line="240" w:lineRule="auto"/>
        <w:jc w:val="both"/>
        <w:outlineLvl w:val="1"/>
      </w:pPr>
      <w:r w:rsidRPr="00CA0AE3">
        <w:t xml:space="preserve">Reporting period of </w:t>
      </w:r>
      <w:r w:rsidR="00892289" w:rsidRPr="00CA0AE3">
        <w:t xml:space="preserve">March </w:t>
      </w:r>
      <w:r w:rsidRPr="00CA0AE3">
        <w:t>1 to June 30: the report and request for payment is due</w:t>
      </w:r>
      <w:r w:rsidR="00152B40" w:rsidRPr="00CA0AE3">
        <w:t xml:space="preserve"> July 31.</w:t>
      </w:r>
      <w:r w:rsidR="00A31B45" w:rsidRPr="00CA0AE3">
        <w:t xml:space="preserve"> The Commonwealth may permit the reporting for payment of specified outcomes measures subsequent to the July 31</w:t>
      </w:r>
      <w:r w:rsidR="00F00E79" w:rsidRPr="00CA0AE3">
        <w:t xml:space="preserve"> </w:t>
      </w:r>
      <w:r w:rsidR="00A31B45" w:rsidRPr="00CA0AE3">
        <w:t xml:space="preserve">reports </w:t>
      </w:r>
      <w:r w:rsidR="00F00E79" w:rsidRPr="00CA0AE3">
        <w:t xml:space="preserve">for each demonstration year </w:t>
      </w:r>
      <w:r w:rsidR="00A31B45" w:rsidRPr="00CA0AE3">
        <w:t>in recognition that additional time may be needed for necessary data to be available.</w:t>
      </w:r>
    </w:p>
    <w:p w:rsidR="002C08DD" w:rsidRPr="00CA0AE3" w:rsidRDefault="002C08DD" w:rsidP="007851F9">
      <w:pPr>
        <w:spacing w:after="0" w:line="240" w:lineRule="auto"/>
        <w:jc w:val="both"/>
        <w:rPr>
          <w:lang w:eastAsia="ja-JP"/>
        </w:rPr>
      </w:pPr>
    </w:p>
    <w:p w:rsidR="002C08DD" w:rsidRPr="00CA0AE3" w:rsidRDefault="008D3CB4" w:rsidP="007851F9">
      <w:pPr>
        <w:pStyle w:val="ListParagraph"/>
        <w:spacing w:after="0" w:line="240" w:lineRule="auto"/>
        <w:jc w:val="both"/>
        <w:rPr>
          <w:lang w:eastAsia="ja-JP"/>
        </w:rPr>
      </w:pPr>
      <w:r w:rsidRPr="00CA0AE3">
        <w:rPr>
          <w:lang w:eastAsia="ja-JP"/>
        </w:rPr>
        <w:t xml:space="preserve">These reports will serve as the basis for authorizing incentive payments to the Public Hospital. The actual payment amounts will be determined by EOHHS in accordance with the provisions of </w:t>
      </w:r>
      <w:r w:rsidR="00B93A38" w:rsidRPr="00CA0AE3">
        <w:rPr>
          <w:rFonts w:eastAsia="MS Gothic"/>
        </w:rPr>
        <w:t xml:space="preserve">Section VI. </w:t>
      </w:r>
      <w:r w:rsidRPr="00CA0AE3">
        <w:rPr>
          <w:lang w:eastAsia="ja-JP"/>
        </w:rPr>
        <w:t>EOHHS will schedule the payment transaction for the hospital within 30 days following EOHHS</w:t>
      </w:r>
      <w:r w:rsidR="002C08DD" w:rsidRPr="00CA0AE3">
        <w:rPr>
          <w:lang w:eastAsia="ja-JP"/>
        </w:rPr>
        <w:t xml:space="preserve"> approval of the hospital report, subject to state legislative appropriation and availability of funding, execution of a payment agreement provided by EOHHS, and all necessary approvals.</w:t>
      </w:r>
      <w:r w:rsidR="00662621" w:rsidRPr="00CA0AE3">
        <w:rPr>
          <w:lang w:eastAsia="ja-JP"/>
        </w:rPr>
        <w:t xml:space="preserve"> The state must inform CMS of the funding of PHTII payments to the provider through a quarterly payment report to be submitted to CMS within 60 days after the end of each quarter.</w:t>
      </w:r>
    </w:p>
    <w:p w:rsidR="000836E9" w:rsidRPr="00CA0AE3" w:rsidRDefault="000836E9" w:rsidP="007851F9">
      <w:pPr>
        <w:pStyle w:val="ListParagraph"/>
        <w:spacing w:after="0" w:line="240" w:lineRule="auto"/>
        <w:jc w:val="both"/>
        <w:rPr>
          <w:lang w:eastAsia="ja-JP"/>
        </w:rPr>
      </w:pPr>
    </w:p>
    <w:p w:rsidR="005F46C3" w:rsidRPr="00CA0AE3" w:rsidRDefault="000836E9" w:rsidP="007851F9">
      <w:pPr>
        <w:spacing w:after="0" w:line="240" w:lineRule="auto"/>
        <w:ind w:left="720"/>
        <w:jc w:val="both"/>
        <w:rPr>
          <w:szCs w:val="24"/>
          <w:lang w:eastAsia="ja-JP"/>
        </w:rPr>
      </w:pPr>
      <w:r w:rsidRPr="00CA0AE3">
        <w:rPr>
          <w:szCs w:val="24"/>
          <w:lang w:eastAsia="ja-JP"/>
        </w:rPr>
        <w:t xml:space="preserve">An independent assessor will review </w:t>
      </w:r>
      <w:r w:rsidR="006143D6" w:rsidRPr="00CA0AE3">
        <w:rPr>
          <w:szCs w:val="24"/>
          <w:lang w:eastAsia="ja-JP"/>
        </w:rPr>
        <w:t>each</w:t>
      </w:r>
      <w:r w:rsidRPr="00CA0AE3">
        <w:rPr>
          <w:szCs w:val="24"/>
          <w:lang w:eastAsia="ja-JP"/>
        </w:rPr>
        <w:t xml:space="preserve"> report, </w:t>
      </w:r>
      <w:r w:rsidR="00BA5C59" w:rsidRPr="00CA0AE3">
        <w:rPr>
          <w:szCs w:val="24"/>
          <w:lang w:eastAsia="ja-JP"/>
        </w:rPr>
        <w:t xml:space="preserve">to </w:t>
      </w:r>
      <w:r w:rsidRPr="00CA0AE3">
        <w:rPr>
          <w:szCs w:val="24"/>
          <w:lang w:eastAsia="ja-JP"/>
        </w:rPr>
        <w:t xml:space="preserve">ensure accurate reporting of </w:t>
      </w:r>
      <w:r w:rsidR="00642E16" w:rsidRPr="00CA0AE3">
        <w:rPr>
          <w:szCs w:val="24"/>
          <w:lang w:eastAsia="ja-JP"/>
        </w:rPr>
        <w:t xml:space="preserve">the </w:t>
      </w:r>
      <w:r w:rsidRPr="00CA0AE3">
        <w:rPr>
          <w:szCs w:val="24"/>
          <w:lang w:eastAsia="ja-JP"/>
        </w:rPr>
        <w:t>hospital</w:t>
      </w:r>
      <w:r w:rsidR="00642E16" w:rsidRPr="00CA0AE3">
        <w:rPr>
          <w:szCs w:val="24"/>
          <w:lang w:eastAsia="ja-JP"/>
        </w:rPr>
        <w:t>’</w:t>
      </w:r>
      <w:r w:rsidRPr="00CA0AE3">
        <w:rPr>
          <w:szCs w:val="24"/>
          <w:lang w:eastAsia="ja-JP"/>
        </w:rPr>
        <w:t xml:space="preserve">s achievement, and make recommendations to the state regarding approvals, denials or recommended changes in order to approve payment. EOHHS will provide final approval of all </w:t>
      </w:r>
      <w:r w:rsidR="00642E16" w:rsidRPr="00CA0AE3">
        <w:rPr>
          <w:szCs w:val="24"/>
          <w:lang w:eastAsia="ja-JP"/>
        </w:rPr>
        <w:t>PHTII</w:t>
      </w:r>
      <w:r w:rsidR="00B93A38" w:rsidRPr="00CA0AE3">
        <w:rPr>
          <w:szCs w:val="24"/>
          <w:lang w:eastAsia="ja-JP"/>
        </w:rPr>
        <w:t xml:space="preserve"> payments. </w:t>
      </w:r>
      <w:r w:rsidR="00642E16" w:rsidRPr="00CA0AE3">
        <w:rPr>
          <w:szCs w:val="24"/>
          <w:lang w:eastAsia="ja-JP"/>
        </w:rPr>
        <w:t xml:space="preserve">The </w:t>
      </w:r>
      <w:r w:rsidRPr="00CA0AE3">
        <w:rPr>
          <w:szCs w:val="24"/>
          <w:lang w:eastAsia="ja-JP"/>
        </w:rPr>
        <w:t xml:space="preserve">hospital must be allowed an opportunity to respond to, and correct, any recommendation for denial of payment, for a metric that the hospital believes it achieved, through the resubmission of required clarifications and/or data.  </w:t>
      </w:r>
    </w:p>
    <w:p w:rsidR="009123BD" w:rsidRPr="00CA0AE3" w:rsidRDefault="009123BD" w:rsidP="007851F9">
      <w:pPr>
        <w:spacing w:after="0" w:line="240" w:lineRule="auto"/>
        <w:jc w:val="both"/>
        <w:rPr>
          <w:u w:val="single"/>
          <w:lang w:eastAsia="ja-JP"/>
        </w:rPr>
      </w:pPr>
    </w:p>
    <w:p w:rsidR="005A11AD" w:rsidRPr="00CA0AE3" w:rsidRDefault="005A11AD" w:rsidP="00733797">
      <w:pPr>
        <w:pStyle w:val="ListParagraph"/>
        <w:numPr>
          <w:ilvl w:val="1"/>
          <w:numId w:val="100"/>
        </w:numPr>
        <w:spacing w:after="0" w:line="240" w:lineRule="auto"/>
        <w:jc w:val="both"/>
        <w:rPr>
          <w:rFonts w:eastAsiaTheme="minorHAnsi"/>
          <w:b/>
        </w:rPr>
      </w:pPr>
      <w:r w:rsidRPr="00CA0AE3">
        <w:rPr>
          <w:rFonts w:eastAsiaTheme="minorHAnsi"/>
          <w:b/>
        </w:rPr>
        <w:t xml:space="preserve">MassHealth DSRIP Performance Accountability for Public Hospital’s </w:t>
      </w:r>
      <w:r w:rsidR="00766511" w:rsidRPr="00CA0AE3">
        <w:rPr>
          <w:rFonts w:eastAsiaTheme="minorHAnsi"/>
          <w:b/>
        </w:rPr>
        <w:t xml:space="preserve">MassHealth </w:t>
      </w:r>
      <w:r w:rsidRPr="00CA0AE3">
        <w:rPr>
          <w:rFonts w:eastAsiaTheme="minorHAnsi"/>
          <w:b/>
        </w:rPr>
        <w:t>Panel</w:t>
      </w:r>
    </w:p>
    <w:p w:rsidR="0035425E" w:rsidRPr="00CA0AE3" w:rsidRDefault="0035425E" w:rsidP="007851F9">
      <w:pPr>
        <w:pStyle w:val="ListParagraph"/>
        <w:suppressAutoHyphens/>
        <w:spacing w:after="0" w:line="240" w:lineRule="auto"/>
        <w:jc w:val="both"/>
        <w:outlineLvl w:val="1"/>
      </w:pPr>
      <w:r w:rsidRPr="00CA0AE3">
        <w:t xml:space="preserve">The public hospital will also follow the reporting process as defined by EOHHS for the Medicaid DSRIP performance accountability measures for the Public Hospital’s </w:t>
      </w:r>
      <w:r w:rsidR="00766511" w:rsidRPr="00CA0AE3">
        <w:t xml:space="preserve">MassHealth </w:t>
      </w:r>
      <w:r w:rsidRPr="00CA0AE3">
        <w:t xml:space="preserve">panel. </w:t>
      </w:r>
    </w:p>
    <w:p w:rsidR="0035425E" w:rsidRPr="00CA0AE3" w:rsidRDefault="0035425E" w:rsidP="005A11AD">
      <w:pPr>
        <w:spacing w:after="0" w:line="240" w:lineRule="auto"/>
        <w:ind w:left="1080"/>
        <w:jc w:val="both"/>
        <w:rPr>
          <w:rFonts w:eastAsiaTheme="minorHAnsi"/>
        </w:rPr>
      </w:pPr>
    </w:p>
    <w:p w:rsidR="005A11AD" w:rsidRPr="00CA0AE3" w:rsidRDefault="00272EF7" w:rsidP="007851F9">
      <w:pPr>
        <w:spacing w:after="0" w:line="240" w:lineRule="auto"/>
        <w:ind w:left="720"/>
        <w:jc w:val="both"/>
        <w:rPr>
          <w:rFonts w:eastAsiaTheme="minorHAnsi"/>
        </w:rPr>
      </w:pPr>
      <w:r w:rsidRPr="00CA0AE3">
        <w:rPr>
          <w:rFonts w:eastAsiaTheme="minorHAnsi"/>
        </w:rPr>
        <w:t xml:space="preserve">Generally, EOHHS will </w:t>
      </w:r>
      <w:r w:rsidR="005A11AD" w:rsidRPr="00CA0AE3">
        <w:rPr>
          <w:rFonts w:eastAsiaTheme="minorHAnsi"/>
        </w:rPr>
        <w:t>make</w:t>
      </w:r>
      <w:r w:rsidR="00905661" w:rsidRPr="00CA0AE3">
        <w:rPr>
          <w:rFonts w:eastAsiaTheme="minorHAnsi"/>
        </w:rPr>
        <w:t xml:space="preserve"> </w:t>
      </w:r>
      <w:r w:rsidR="005A11AD" w:rsidRPr="00CA0AE3">
        <w:rPr>
          <w:rFonts w:eastAsiaTheme="minorHAnsi"/>
        </w:rPr>
        <w:t xml:space="preserve">payments to the Public Hospital for the DSRIP performance measures </w:t>
      </w:r>
      <w:r w:rsidR="00905661" w:rsidRPr="00CA0AE3">
        <w:rPr>
          <w:rFonts w:eastAsiaTheme="minorHAnsi"/>
        </w:rPr>
        <w:t>at the same time as it makes payments</w:t>
      </w:r>
      <w:r w:rsidR="00A933C8" w:rsidRPr="00CA0AE3">
        <w:rPr>
          <w:rFonts w:eastAsiaTheme="minorHAnsi"/>
        </w:rPr>
        <w:t xml:space="preserve"> associated with the Public Hospital’s third </w:t>
      </w:r>
      <w:r w:rsidR="008F673F" w:rsidRPr="00CA0AE3">
        <w:rPr>
          <w:rFonts w:eastAsiaTheme="minorHAnsi"/>
        </w:rPr>
        <w:t xml:space="preserve">annual </w:t>
      </w:r>
      <w:r w:rsidR="00A933C8" w:rsidRPr="00CA0AE3">
        <w:rPr>
          <w:rFonts w:eastAsiaTheme="minorHAnsi"/>
        </w:rPr>
        <w:t>report</w:t>
      </w:r>
      <w:r w:rsidRPr="00CA0AE3">
        <w:rPr>
          <w:rFonts w:eastAsiaTheme="minorHAnsi"/>
        </w:rPr>
        <w:t>ing cycle</w:t>
      </w:r>
      <w:r w:rsidR="00A933C8" w:rsidRPr="00CA0AE3">
        <w:rPr>
          <w:rFonts w:eastAsiaTheme="minorHAnsi"/>
        </w:rPr>
        <w:t>, as described in paragraph 12</w:t>
      </w:r>
      <w:r w:rsidRPr="00CA0AE3">
        <w:rPr>
          <w:rFonts w:eastAsiaTheme="minorHAnsi"/>
        </w:rPr>
        <w:t>c above</w:t>
      </w:r>
      <w:r w:rsidR="00B93A38" w:rsidRPr="00CA0AE3">
        <w:rPr>
          <w:rFonts w:eastAsiaTheme="minorHAnsi"/>
        </w:rPr>
        <w:t xml:space="preserve">. </w:t>
      </w:r>
      <w:r w:rsidRPr="00CA0AE3">
        <w:rPr>
          <w:rFonts w:eastAsiaTheme="minorHAnsi"/>
        </w:rPr>
        <w:t xml:space="preserve">However, if any DSRIP performance measures or domains are completed and approved by EOHHS pursuant to the DSRIP process at another time during the year, EOHHS shall make payments to the Public Hospital in the most proximate report for payment.  </w:t>
      </w:r>
      <w:r w:rsidR="005A11AD" w:rsidRPr="00CA0AE3">
        <w:rPr>
          <w:rFonts w:eastAsiaTheme="minorHAnsi"/>
        </w:rPr>
        <w:t xml:space="preserve">For DSRIP performance measures that may rely on claims and/or other lagged sources of data administered by MassHealth, </w:t>
      </w:r>
      <w:r w:rsidR="003C1913" w:rsidRPr="00CA0AE3">
        <w:rPr>
          <w:rFonts w:eastAsiaTheme="minorHAnsi"/>
        </w:rPr>
        <w:t>EOHHS</w:t>
      </w:r>
      <w:r w:rsidR="005A11AD" w:rsidRPr="00CA0AE3">
        <w:rPr>
          <w:rFonts w:eastAsiaTheme="minorHAnsi"/>
        </w:rPr>
        <w:t xml:space="preserve"> shall make estimated payments to the Public Hospital, which shall be subject to final reconciliation </w:t>
      </w:r>
      <w:r w:rsidR="003C1913" w:rsidRPr="00CA0AE3">
        <w:rPr>
          <w:rFonts w:eastAsiaTheme="minorHAnsi"/>
        </w:rPr>
        <w:t xml:space="preserve">outlined in this paragraph and </w:t>
      </w:r>
      <w:r w:rsidR="005A11AD" w:rsidRPr="00CA0AE3">
        <w:rPr>
          <w:rFonts w:eastAsiaTheme="minorHAnsi"/>
        </w:rPr>
        <w:t>paragraph 1</w:t>
      </w:r>
      <w:r w:rsidR="003014C3" w:rsidRPr="00CA0AE3">
        <w:rPr>
          <w:rFonts w:eastAsiaTheme="minorHAnsi"/>
        </w:rPr>
        <w:t>4</w:t>
      </w:r>
      <w:r w:rsidR="0035425E" w:rsidRPr="00CA0AE3">
        <w:rPr>
          <w:rFonts w:eastAsiaTheme="minorHAnsi"/>
        </w:rPr>
        <w:t xml:space="preserve"> below</w:t>
      </w:r>
      <w:r w:rsidR="00B93A38" w:rsidRPr="00CA0AE3">
        <w:rPr>
          <w:rFonts w:eastAsiaTheme="minorHAnsi"/>
        </w:rPr>
        <w:t xml:space="preserve">. </w:t>
      </w:r>
      <w:r w:rsidR="005A11AD" w:rsidRPr="00CA0AE3">
        <w:rPr>
          <w:rFonts w:eastAsiaTheme="minorHAnsi"/>
        </w:rPr>
        <w:t xml:space="preserve">If it is determined that the progress by the Public Hospital had not been achieved as </w:t>
      </w:r>
      <w:r w:rsidR="00B93A38" w:rsidRPr="00CA0AE3">
        <w:rPr>
          <w:rFonts w:eastAsiaTheme="minorHAnsi"/>
        </w:rPr>
        <w:t>calculated</w:t>
      </w:r>
      <w:r w:rsidR="005A11AD" w:rsidRPr="00CA0AE3">
        <w:rPr>
          <w:rFonts w:eastAsiaTheme="minorHAnsi"/>
        </w:rPr>
        <w:t xml:space="preserve"> in the estimated payment and that such progress would have resulted in a lower payment amount, the Public Hospital will be required to re-pay the federal port</w:t>
      </w:r>
      <w:r w:rsidR="00B93A38" w:rsidRPr="00CA0AE3">
        <w:rPr>
          <w:rFonts w:eastAsiaTheme="minorHAnsi"/>
        </w:rPr>
        <w:t xml:space="preserve">ion of the overpayment amount. </w:t>
      </w:r>
      <w:r w:rsidR="005A11AD" w:rsidRPr="00CA0AE3">
        <w:rPr>
          <w:rFonts w:eastAsiaTheme="minorHAnsi"/>
        </w:rPr>
        <w:t>If the review determines that actual progress exceeded the estimate and the estimated payment amount, then the Public Hospital will be able to receive the appropriate additional payment in conjunction with the intergovernmental transfer process</w:t>
      </w:r>
      <w:r w:rsidR="00C266C6" w:rsidRPr="00CA0AE3">
        <w:rPr>
          <w:rFonts w:eastAsiaTheme="minorHAnsi"/>
        </w:rPr>
        <w:t xml:space="preserve"> outlined in Section IV, paragraph </w:t>
      </w:r>
      <w:r w:rsidR="005805C6" w:rsidRPr="00CA0AE3">
        <w:rPr>
          <w:rFonts w:eastAsiaTheme="minorHAnsi"/>
        </w:rPr>
        <w:t>1</w:t>
      </w:r>
      <w:r w:rsidR="00EA2DEF" w:rsidRPr="00CA0AE3">
        <w:rPr>
          <w:rFonts w:eastAsiaTheme="minorHAnsi"/>
        </w:rPr>
        <w:t>1</w:t>
      </w:r>
      <w:r w:rsidR="005A11AD" w:rsidRPr="00CA0AE3">
        <w:rPr>
          <w:rFonts w:eastAsiaTheme="minorHAnsi"/>
        </w:rPr>
        <w:t>.</w:t>
      </w:r>
    </w:p>
    <w:p w:rsidR="005A11AD" w:rsidRPr="00CA0AE3" w:rsidRDefault="005A11AD" w:rsidP="005A11AD">
      <w:pPr>
        <w:pStyle w:val="ListParagraph"/>
        <w:suppressAutoHyphens/>
        <w:spacing w:after="0" w:line="240" w:lineRule="auto"/>
        <w:ind w:left="1080"/>
        <w:jc w:val="both"/>
        <w:outlineLvl w:val="1"/>
        <w:rPr>
          <w:u w:val="single"/>
        </w:rPr>
      </w:pPr>
    </w:p>
    <w:p w:rsidR="005F46C3" w:rsidRPr="00CA0AE3" w:rsidRDefault="008D3CB4" w:rsidP="007851F9">
      <w:pPr>
        <w:pStyle w:val="ListParagraph"/>
        <w:numPr>
          <w:ilvl w:val="1"/>
          <w:numId w:val="100"/>
        </w:numPr>
        <w:spacing w:after="0" w:line="240" w:lineRule="auto"/>
        <w:jc w:val="both"/>
        <w:rPr>
          <w:rFonts w:eastAsiaTheme="minorHAnsi"/>
          <w:b/>
        </w:rPr>
      </w:pPr>
      <w:r w:rsidRPr="00CA0AE3">
        <w:rPr>
          <w:rFonts w:eastAsiaTheme="minorHAnsi"/>
          <w:b/>
        </w:rPr>
        <w:t>Year-end Payment Reconciliation</w:t>
      </w:r>
    </w:p>
    <w:p w:rsidR="005F46C3" w:rsidRPr="00CA0AE3" w:rsidRDefault="002C08DD" w:rsidP="007851F9">
      <w:pPr>
        <w:pStyle w:val="ListParagraph"/>
        <w:suppressAutoHyphens/>
        <w:spacing w:after="0" w:line="240" w:lineRule="auto"/>
        <w:jc w:val="both"/>
        <w:outlineLvl w:val="1"/>
      </w:pPr>
      <w:r w:rsidRPr="00CA0AE3">
        <w:t xml:space="preserve">Based on its review and verification of </w:t>
      </w:r>
      <w:r w:rsidR="00E0074A" w:rsidRPr="00CA0AE3">
        <w:t>the Public H</w:t>
      </w:r>
      <w:r w:rsidRPr="00CA0AE3">
        <w:t xml:space="preserve">ospital’s </w:t>
      </w:r>
      <w:r w:rsidR="001C0061" w:rsidRPr="00CA0AE3">
        <w:t xml:space="preserve">third </w:t>
      </w:r>
      <w:r w:rsidRPr="00CA0AE3">
        <w:t>annual report</w:t>
      </w:r>
      <w:r w:rsidR="001C0061" w:rsidRPr="00CA0AE3">
        <w:t xml:space="preserve"> for payment</w:t>
      </w:r>
      <w:r w:rsidRPr="00CA0AE3">
        <w:t xml:space="preserve">, EOHHS will perform </w:t>
      </w:r>
      <w:r w:rsidR="00FA01F6" w:rsidRPr="00CA0AE3">
        <w:t>reconciliation</w:t>
      </w:r>
      <w:r w:rsidRPr="00CA0AE3">
        <w:t xml:space="preserve"> as an additional check to verify that all </w:t>
      </w:r>
      <w:r w:rsidR="00A941CF" w:rsidRPr="00CA0AE3">
        <w:t>PHTII</w:t>
      </w:r>
      <w:r w:rsidRPr="00CA0AE3">
        <w:t xml:space="preserve"> payments made to the hospital were correct. If, after the reconciliation process EOHHS determines that the hospital was overpaid, the overpayment will be properly credited to the Commonwealth and the federal government or will be withheld from the next </w:t>
      </w:r>
      <w:r w:rsidR="00A941CF" w:rsidRPr="00CA0AE3">
        <w:t>PHTII</w:t>
      </w:r>
      <w:r w:rsidRPr="00CA0AE3">
        <w:t xml:space="preserve"> payment for the hospital, as determined by </w:t>
      </w:r>
      <w:r w:rsidRPr="00CA0AE3">
        <w:lastRenderedPageBreak/>
        <w:t xml:space="preserve">EOHHS. If, after the reconciliation process EOHHS determines that the hospital was underpaid, then subject to state legislative appropriation and availability of funds, the terms of a payment and funding agreement, and all necessary approvals, EOHHS will schedule necessary payment transaction(s), or will add the additional amount to the next </w:t>
      </w:r>
      <w:r w:rsidR="00A941CF" w:rsidRPr="00CA0AE3">
        <w:t>PHTII</w:t>
      </w:r>
      <w:r w:rsidRPr="00CA0AE3">
        <w:t xml:space="preserve"> payment for the hospital, as determined by EOHHS.</w:t>
      </w:r>
    </w:p>
    <w:p w:rsidR="00556EB5" w:rsidRPr="00CA0AE3" w:rsidRDefault="00556EB5" w:rsidP="0074511A">
      <w:pPr>
        <w:spacing w:after="0" w:line="240" w:lineRule="auto"/>
        <w:jc w:val="both"/>
        <w:rPr>
          <w:lang w:eastAsia="ja-JP"/>
        </w:rPr>
      </w:pPr>
    </w:p>
    <w:p w:rsidR="004F7073" w:rsidRPr="00CA0AE3" w:rsidRDefault="004F7073" w:rsidP="007851F9">
      <w:pPr>
        <w:pStyle w:val="ListParagraph"/>
        <w:numPr>
          <w:ilvl w:val="1"/>
          <w:numId w:val="100"/>
        </w:numPr>
        <w:spacing w:after="0" w:line="240" w:lineRule="auto"/>
        <w:jc w:val="both"/>
        <w:rPr>
          <w:u w:val="single"/>
          <w:lang w:eastAsia="ja-JP"/>
        </w:rPr>
      </w:pPr>
      <w:r w:rsidRPr="00CA0AE3">
        <w:rPr>
          <w:rFonts w:eastAsiaTheme="minorHAnsi"/>
          <w:b/>
        </w:rPr>
        <w:t>Commonwealth Reporting to CMS in DY</w:t>
      </w:r>
      <w:r w:rsidR="00C575A0" w:rsidRPr="00CA0AE3">
        <w:rPr>
          <w:rFonts w:eastAsiaTheme="minorHAnsi"/>
          <w:b/>
        </w:rPr>
        <w:t>s</w:t>
      </w:r>
      <w:r w:rsidRPr="00CA0AE3">
        <w:rPr>
          <w:rFonts w:eastAsiaTheme="minorHAnsi"/>
          <w:b/>
        </w:rPr>
        <w:t xml:space="preserve"> </w:t>
      </w:r>
      <w:r w:rsidR="00F00E79" w:rsidRPr="00CA0AE3">
        <w:rPr>
          <w:rFonts w:eastAsiaTheme="minorHAnsi"/>
          <w:b/>
        </w:rPr>
        <w:t>21</w:t>
      </w:r>
      <w:r w:rsidRPr="00CA0AE3">
        <w:rPr>
          <w:rFonts w:eastAsiaTheme="minorHAnsi"/>
          <w:b/>
        </w:rPr>
        <w:t xml:space="preserve"> – </w:t>
      </w:r>
      <w:r w:rsidR="00F00E79" w:rsidRPr="00CA0AE3">
        <w:rPr>
          <w:rFonts w:eastAsiaTheme="minorHAnsi"/>
          <w:b/>
        </w:rPr>
        <w:t>25</w:t>
      </w:r>
      <w:r w:rsidRPr="00CA0AE3">
        <w:rPr>
          <w:rFonts w:eastAsiaTheme="minorHAnsi"/>
          <w:b/>
        </w:rPr>
        <w:t xml:space="preserve"> </w:t>
      </w:r>
    </w:p>
    <w:p w:rsidR="004F7073" w:rsidRPr="00CA0AE3" w:rsidRDefault="00A941CF" w:rsidP="007851F9">
      <w:pPr>
        <w:spacing w:after="0" w:line="240" w:lineRule="auto"/>
        <w:ind w:left="720"/>
        <w:jc w:val="both"/>
        <w:rPr>
          <w:lang w:eastAsia="ja-JP"/>
        </w:rPr>
      </w:pPr>
      <w:r w:rsidRPr="00CA0AE3">
        <w:rPr>
          <w:lang w:eastAsia="ja-JP"/>
        </w:rPr>
        <w:t>PHTII</w:t>
      </w:r>
      <w:r w:rsidR="004F7073" w:rsidRPr="00CA0AE3">
        <w:rPr>
          <w:lang w:eastAsia="ja-JP"/>
        </w:rPr>
        <w:t xml:space="preserve"> will be a component of the Commonwealth’s quarterly operational reports and annual reports related to the </w:t>
      </w:r>
      <w:r w:rsidR="001C0061" w:rsidRPr="00CA0AE3">
        <w:rPr>
          <w:lang w:eastAsia="ja-JP"/>
        </w:rPr>
        <w:t>d</w:t>
      </w:r>
      <w:r w:rsidR="004F7073" w:rsidRPr="00CA0AE3">
        <w:rPr>
          <w:lang w:eastAsia="ja-JP"/>
        </w:rPr>
        <w:t>emonstration. These reports will include:</w:t>
      </w:r>
    </w:p>
    <w:p w:rsidR="004F7073" w:rsidRPr="00CA0AE3" w:rsidRDefault="004F7073" w:rsidP="0074511A">
      <w:pPr>
        <w:spacing w:after="0" w:line="240" w:lineRule="auto"/>
        <w:jc w:val="both"/>
        <w:rPr>
          <w:lang w:eastAsia="ja-JP"/>
        </w:rPr>
      </w:pPr>
    </w:p>
    <w:p w:rsidR="004F7073" w:rsidRPr="00CA0AE3" w:rsidRDefault="004F7073" w:rsidP="002F0973">
      <w:pPr>
        <w:pStyle w:val="ListParagraph"/>
        <w:numPr>
          <w:ilvl w:val="2"/>
          <w:numId w:val="102"/>
        </w:numPr>
        <w:suppressAutoHyphens/>
        <w:spacing w:after="0" w:line="240" w:lineRule="auto"/>
        <w:jc w:val="both"/>
        <w:outlineLvl w:val="1"/>
      </w:pPr>
      <w:r w:rsidRPr="00CA0AE3">
        <w:t xml:space="preserve">All </w:t>
      </w:r>
      <w:r w:rsidR="00A941CF" w:rsidRPr="00CA0AE3">
        <w:t>PHTII</w:t>
      </w:r>
      <w:r w:rsidRPr="00CA0AE3">
        <w:t xml:space="preserve"> payments made to the specific hospital that occurred in the quarter;</w:t>
      </w:r>
    </w:p>
    <w:p w:rsidR="004F7073" w:rsidRPr="00CA0AE3" w:rsidRDefault="004F7073" w:rsidP="002F0973">
      <w:pPr>
        <w:pStyle w:val="ListParagraph"/>
        <w:numPr>
          <w:ilvl w:val="2"/>
          <w:numId w:val="102"/>
        </w:numPr>
        <w:suppressAutoHyphens/>
        <w:spacing w:after="0" w:line="240" w:lineRule="auto"/>
        <w:jc w:val="both"/>
        <w:outlineLvl w:val="1"/>
      </w:pPr>
      <w:r w:rsidRPr="00CA0AE3">
        <w:t>Expenditure projections reflecting the expected pace of future disbursements for the participating hospital;</w:t>
      </w:r>
    </w:p>
    <w:p w:rsidR="00DF0EC2" w:rsidRPr="00CA0AE3" w:rsidRDefault="004F7073" w:rsidP="002F0973">
      <w:pPr>
        <w:pStyle w:val="ListParagraph"/>
        <w:numPr>
          <w:ilvl w:val="2"/>
          <w:numId w:val="102"/>
        </w:numPr>
        <w:suppressAutoHyphens/>
        <w:spacing w:after="0" w:line="240" w:lineRule="auto"/>
        <w:jc w:val="both"/>
        <w:outlineLvl w:val="1"/>
      </w:pPr>
      <w:r w:rsidRPr="00CA0AE3">
        <w:t xml:space="preserve">An assessment by summarizing the hospital’s </w:t>
      </w:r>
      <w:r w:rsidR="00A941CF" w:rsidRPr="00CA0AE3">
        <w:t>PHTII</w:t>
      </w:r>
      <w:r w:rsidRPr="00CA0AE3">
        <w:t xml:space="preserve"> activities during the given period</w:t>
      </w:r>
      <w:r w:rsidR="00C12E58" w:rsidRPr="00CA0AE3">
        <w:t>;</w:t>
      </w:r>
      <w:r w:rsidRPr="00CA0AE3">
        <w:t xml:space="preserve"> and</w:t>
      </w:r>
    </w:p>
    <w:p w:rsidR="004F7073" w:rsidRPr="00CA0AE3" w:rsidRDefault="004F7073" w:rsidP="002F0973">
      <w:pPr>
        <w:pStyle w:val="ListParagraph"/>
        <w:numPr>
          <w:ilvl w:val="2"/>
          <w:numId w:val="102"/>
        </w:numPr>
        <w:suppressAutoHyphens/>
        <w:spacing w:after="0" w:line="240" w:lineRule="auto"/>
        <w:jc w:val="both"/>
        <w:outlineLvl w:val="1"/>
      </w:pPr>
      <w:r w:rsidRPr="00CA0AE3">
        <w:t xml:space="preserve">Evaluation activities and interim findings of the evaluation design. </w:t>
      </w:r>
    </w:p>
    <w:p w:rsidR="004F7073" w:rsidRPr="00CA0AE3" w:rsidRDefault="004F7073" w:rsidP="0074511A">
      <w:pPr>
        <w:spacing w:after="0" w:line="240" w:lineRule="auto"/>
        <w:jc w:val="both"/>
        <w:rPr>
          <w:lang w:eastAsia="ja-JP"/>
        </w:rPr>
      </w:pPr>
    </w:p>
    <w:p w:rsidR="008042C6" w:rsidRPr="00CA0AE3" w:rsidRDefault="004F7073" w:rsidP="007851F9">
      <w:pPr>
        <w:pStyle w:val="ListParagraph"/>
        <w:numPr>
          <w:ilvl w:val="1"/>
          <w:numId w:val="100"/>
        </w:numPr>
        <w:spacing w:after="0" w:line="240" w:lineRule="auto"/>
        <w:jc w:val="both"/>
        <w:rPr>
          <w:rFonts w:eastAsiaTheme="minorHAnsi"/>
          <w:b/>
        </w:rPr>
      </w:pPr>
      <w:r w:rsidRPr="00CA0AE3">
        <w:rPr>
          <w:rFonts w:eastAsiaTheme="minorHAnsi"/>
          <w:b/>
        </w:rPr>
        <w:t>Claiming Federal Financial Participation</w:t>
      </w:r>
    </w:p>
    <w:p w:rsidR="004F7073" w:rsidRPr="00CA0AE3" w:rsidRDefault="004F7073" w:rsidP="007851F9">
      <w:pPr>
        <w:pStyle w:val="ListParagraph"/>
        <w:spacing w:after="0" w:line="240" w:lineRule="auto"/>
        <w:jc w:val="both"/>
        <w:rPr>
          <w:lang w:eastAsia="ja-JP"/>
        </w:rPr>
      </w:pPr>
      <w:r w:rsidRPr="00CA0AE3">
        <w:rPr>
          <w:lang w:eastAsia="ja-JP"/>
        </w:rPr>
        <w:t xml:space="preserve">The Commonwealth will claim federal financial participation (FFP) for </w:t>
      </w:r>
      <w:r w:rsidR="00A941CF" w:rsidRPr="00CA0AE3">
        <w:rPr>
          <w:lang w:eastAsia="ja-JP"/>
        </w:rPr>
        <w:t>PHTII</w:t>
      </w:r>
      <w:r w:rsidRPr="00CA0AE3">
        <w:rPr>
          <w:lang w:eastAsia="ja-JP"/>
        </w:rPr>
        <w:t xml:space="preserve"> incentive payments on the CMS 64.9 waiver form on a quarterly basis, using a specific waiver group set up exclusively for </w:t>
      </w:r>
      <w:r w:rsidR="00A941CF" w:rsidRPr="00CA0AE3">
        <w:rPr>
          <w:lang w:eastAsia="ja-JP"/>
        </w:rPr>
        <w:t>PHTII</w:t>
      </w:r>
      <w:r w:rsidRPr="00CA0AE3">
        <w:rPr>
          <w:lang w:eastAsia="ja-JP"/>
        </w:rPr>
        <w:t xml:space="preserve"> payments. FFP will be available only for </w:t>
      </w:r>
      <w:r w:rsidR="00A941CF" w:rsidRPr="00CA0AE3">
        <w:rPr>
          <w:lang w:eastAsia="ja-JP"/>
        </w:rPr>
        <w:t>PHTII</w:t>
      </w:r>
      <w:r w:rsidRPr="00CA0AE3">
        <w:rPr>
          <w:lang w:eastAsia="ja-JP"/>
        </w:rPr>
        <w:t xml:space="preserve"> payments made in accordance with all pertinent STCs and the stipulations of this master </w:t>
      </w:r>
      <w:r w:rsidR="00A941CF" w:rsidRPr="00CA0AE3">
        <w:rPr>
          <w:lang w:eastAsia="ja-JP"/>
        </w:rPr>
        <w:t>PHTII</w:t>
      </w:r>
      <w:r w:rsidRPr="00CA0AE3">
        <w:rPr>
          <w:lang w:eastAsia="ja-JP"/>
        </w:rPr>
        <w:t xml:space="preserve"> plan, including </w:t>
      </w:r>
      <w:r w:rsidR="008D3CB4" w:rsidRPr="00CA0AE3">
        <w:rPr>
          <w:rFonts w:eastAsia="MS Gothic"/>
        </w:rPr>
        <w:t>Section VI</w:t>
      </w:r>
      <w:r w:rsidR="008D3CB4" w:rsidRPr="00CA0AE3">
        <w:rPr>
          <w:lang w:eastAsia="ja-JP"/>
        </w:rPr>
        <w:t>. The Commonwealth</w:t>
      </w:r>
      <w:r w:rsidRPr="00CA0AE3">
        <w:rPr>
          <w:lang w:eastAsia="ja-JP"/>
        </w:rPr>
        <w:t xml:space="preserve"> and the hospital system receiving </w:t>
      </w:r>
      <w:r w:rsidR="00A941CF" w:rsidRPr="00CA0AE3">
        <w:rPr>
          <w:lang w:eastAsia="ja-JP"/>
        </w:rPr>
        <w:t>PHTII</w:t>
      </w:r>
      <w:r w:rsidRPr="00CA0AE3">
        <w:rPr>
          <w:lang w:eastAsia="ja-JP"/>
        </w:rPr>
        <w:t xml:space="preserve"> payment </w:t>
      </w:r>
      <w:r w:rsidR="00F76AD8" w:rsidRPr="00CA0AE3">
        <w:rPr>
          <w:lang w:eastAsia="ja-JP"/>
        </w:rPr>
        <w:t>must</w:t>
      </w:r>
      <w:r w:rsidRPr="00CA0AE3">
        <w:rPr>
          <w:lang w:eastAsia="ja-JP"/>
        </w:rPr>
        <w:t xml:space="preserve"> have available for review by CMS, upon request, all supporting data and back-up documentation.</w:t>
      </w:r>
      <w:r w:rsidR="00B76DA6" w:rsidRPr="00CA0AE3">
        <w:rPr>
          <w:lang w:eastAsia="ja-JP"/>
        </w:rPr>
        <w:t xml:space="preserve"> </w:t>
      </w:r>
      <w:r w:rsidR="00F76AD8" w:rsidRPr="00CA0AE3">
        <w:rPr>
          <w:lang w:eastAsia="ja-JP"/>
        </w:rPr>
        <w:t xml:space="preserve">FFP will be available only for payments related to activities listed in the approved PHTII </w:t>
      </w:r>
      <w:r w:rsidR="00C12E58" w:rsidRPr="00CA0AE3">
        <w:rPr>
          <w:lang w:eastAsia="ja-JP"/>
        </w:rPr>
        <w:t>protocol</w:t>
      </w:r>
      <w:r w:rsidR="00F76AD8" w:rsidRPr="00CA0AE3">
        <w:rPr>
          <w:lang w:eastAsia="ja-JP"/>
        </w:rPr>
        <w:t xml:space="preserve">. </w:t>
      </w:r>
    </w:p>
    <w:p w:rsidR="005C6EC3" w:rsidRPr="00CA0AE3" w:rsidRDefault="005C6EC3" w:rsidP="0074511A">
      <w:pPr>
        <w:pStyle w:val="ListParagraph"/>
        <w:suppressAutoHyphens/>
        <w:spacing w:after="0" w:line="240" w:lineRule="auto"/>
        <w:ind w:left="0"/>
        <w:jc w:val="both"/>
        <w:outlineLvl w:val="1"/>
      </w:pPr>
    </w:p>
    <w:p w:rsidR="005F46C3" w:rsidRPr="00CA0AE3" w:rsidRDefault="008D3CB4" w:rsidP="007851F9">
      <w:pPr>
        <w:pStyle w:val="ListParagraph"/>
        <w:numPr>
          <w:ilvl w:val="0"/>
          <w:numId w:val="100"/>
        </w:numPr>
        <w:suppressAutoHyphens/>
        <w:spacing w:after="0" w:line="240" w:lineRule="auto"/>
        <w:jc w:val="both"/>
        <w:outlineLvl w:val="1"/>
        <w:rPr>
          <w:b/>
          <w:bCs/>
        </w:rPr>
      </w:pPr>
      <w:r w:rsidRPr="00CA0AE3">
        <w:rPr>
          <w:b/>
          <w:bCs/>
        </w:rPr>
        <w:t xml:space="preserve">DISBURSEMENT OF PHTII FUNDS </w:t>
      </w:r>
    </w:p>
    <w:p w:rsidR="00E0074A" w:rsidRPr="00CA0AE3" w:rsidRDefault="00E0074A" w:rsidP="0074511A">
      <w:pPr>
        <w:suppressAutoHyphens/>
        <w:spacing w:after="0" w:line="240" w:lineRule="auto"/>
        <w:jc w:val="both"/>
        <w:outlineLvl w:val="1"/>
        <w:rPr>
          <w:lang w:eastAsia="ja-JP"/>
        </w:rPr>
      </w:pPr>
    </w:p>
    <w:p w:rsidR="00F44287" w:rsidRPr="00CA0AE3" w:rsidRDefault="00A941CF" w:rsidP="00321A10">
      <w:pPr>
        <w:pStyle w:val="ListParagraph"/>
        <w:numPr>
          <w:ilvl w:val="1"/>
          <w:numId w:val="15"/>
        </w:numPr>
        <w:suppressAutoHyphens/>
        <w:spacing w:after="0" w:line="240" w:lineRule="auto"/>
        <w:jc w:val="both"/>
        <w:outlineLvl w:val="1"/>
        <w:rPr>
          <w:b/>
        </w:rPr>
      </w:pPr>
      <w:r w:rsidRPr="00CA0AE3">
        <w:rPr>
          <w:b/>
          <w:lang w:eastAsia="ja-JP"/>
        </w:rPr>
        <w:t>PHTII</w:t>
      </w:r>
      <w:r w:rsidR="00AA3EFD" w:rsidRPr="00CA0AE3">
        <w:rPr>
          <w:b/>
          <w:lang w:eastAsia="ja-JP"/>
        </w:rPr>
        <w:t xml:space="preserve"> </w:t>
      </w:r>
      <w:r w:rsidR="00E0074A" w:rsidRPr="00CA0AE3">
        <w:rPr>
          <w:b/>
          <w:lang w:eastAsia="ja-JP"/>
        </w:rPr>
        <w:t xml:space="preserve">Incentive Payments </w:t>
      </w:r>
    </w:p>
    <w:p w:rsidR="00E0074A" w:rsidRPr="00CA0AE3" w:rsidRDefault="00E0074A" w:rsidP="0074511A">
      <w:pPr>
        <w:pStyle w:val="ListParagraph"/>
        <w:spacing w:after="0" w:line="240" w:lineRule="auto"/>
        <w:ind w:left="0"/>
        <w:jc w:val="both"/>
        <w:rPr>
          <w:lang w:eastAsia="ja-JP"/>
        </w:rPr>
      </w:pPr>
    </w:p>
    <w:p w:rsidR="00DB01E9" w:rsidRPr="00CA0AE3" w:rsidRDefault="00E0074A" w:rsidP="00082812">
      <w:pPr>
        <w:pStyle w:val="ListParagraph"/>
        <w:numPr>
          <w:ilvl w:val="2"/>
          <w:numId w:val="15"/>
        </w:numPr>
        <w:spacing w:after="0" w:line="240" w:lineRule="auto"/>
        <w:jc w:val="both"/>
        <w:rPr>
          <w:u w:val="single"/>
          <w:lang w:eastAsia="ja-JP"/>
        </w:rPr>
      </w:pPr>
      <w:r w:rsidRPr="00CA0AE3">
        <w:rPr>
          <w:u w:val="single"/>
          <w:lang w:eastAsia="ja-JP"/>
        </w:rPr>
        <w:t xml:space="preserve">Eligibility for </w:t>
      </w:r>
      <w:r w:rsidR="00A941CF" w:rsidRPr="00CA0AE3">
        <w:rPr>
          <w:u w:val="single"/>
          <w:lang w:eastAsia="ja-JP"/>
        </w:rPr>
        <w:t>PHTII</w:t>
      </w:r>
      <w:r w:rsidRPr="00CA0AE3">
        <w:rPr>
          <w:u w:val="single"/>
          <w:lang w:eastAsia="ja-JP"/>
        </w:rPr>
        <w:t xml:space="preserve"> Incentive Payments</w:t>
      </w:r>
    </w:p>
    <w:p w:rsidR="005F46C3" w:rsidRPr="00CA0AE3" w:rsidRDefault="008D3CB4">
      <w:pPr>
        <w:pStyle w:val="ListParagraph"/>
        <w:spacing w:after="0" w:line="240" w:lineRule="auto"/>
        <w:ind w:left="1080"/>
        <w:jc w:val="both"/>
        <w:rPr>
          <w:u w:val="single"/>
          <w:lang w:eastAsia="ja-JP"/>
        </w:rPr>
      </w:pPr>
      <w:r w:rsidRPr="00CA0AE3">
        <w:rPr>
          <w:lang w:eastAsia="ja-JP"/>
        </w:rPr>
        <w:t xml:space="preserve">PHTII payments for the Public Hospital are contingent on that provider reporting progress on the </w:t>
      </w:r>
      <w:r w:rsidR="00B844DE" w:rsidRPr="00CA0AE3">
        <w:rPr>
          <w:lang w:eastAsia="ja-JP"/>
        </w:rPr>
        <w:t xml:space="preserve">PHTII </w:t>
      </w:r>
      <w:r w:rsidRPr="00CA0AE3">
        <w:rPr>
          <w:lang w:eastAsia="ja-JP"/>
        </w:rPr>
        <w:t>initiatives</w:t>
      </w:r>
      <w:r w:rsidR="00B844DE" w:rsidRPr="00CA0AE3">
        <w:rPr>
          <w:lang w:eastAsia="ja-JP"/>
        </w:rPr>
        <w:t xml:space="preserve"> and </w:t>
      </w:r>
      <w:r w:rsidR="003E4AFE" w:rsidRPr="00CA0AE3">
        <w:rPr>
          <w:lang w:eastAsia="ja-JP"/>
        </w:rPr>
        <w:t>achieving performance for at risk outcomes and improvement measures</w:t>
      </w:r>
      <w:r w:rsidRPr="00CA0AE3">
        <w:rPr>
          <w:lang w:eastAsia="ja-JP"/>
        </w:rPr>
        <w:t xml:space="preserve"> as defined in the approved protocol. As outlined in </w:t>
      </w:r>
      <w:r w:rsidRPr="00CA0AE3">
        <w:rPr>
          <w:rFonts w:eastAsia="MS Gothic"/>
        </w:rPr>
        <w:t xml:space="preserve">Sections V and VI </w:t>
      </w:r>
      <w:r w:rsidRPr="00CA0AE3">
        <w:rPr>
          <w:lang w:eastAsia="ja-JP"/>
        </w:rPr>
        <w:t>of the PHTII protocol, the hospital will be able to receive PHTII incentive payments related to approval of the required reports for payment. PHTII incentive payments may equal but not exceed the allotment outlined in Attachment E.</w:t>
      </w:r>
      <w:r w:rsidR="00E0074A" w:rsidRPr="00CA0AE3">
        <w:rPr>
          <w:lang w:eastAsia="ja-JP"/>
        </w:rPr>
        <w:t xml:space="preserve"> </w:t>
      </w:r>
    </w:p>
    <w:p w:rsidR="00E0074A" w:rsidRPr="00CA0AE3" w:rsidRDefault="00E0074A" w:rsidP="0074511A">
      <w:pPr>
        <w:pStyle w:val="ListParagraph"/>
        <w:spacing w:after="0" w:line="240" w:lineRule="auto"/>
        <w:ind w:left="0"/>
        <w:jc w:val="both"/>
        <w:rPr>
          <w:lang w:eastAsia="ja-JP"/>
        </w:rPr>
      </w:pPr>
    </w:p>
    <w:p w:rsidR="00DB01E9" w:rsidRPr="00CA0AE3" w:rsidRDefault="00E0074A" w:rsidP="00082812">
      <w:pPr>
        <w:pStyle w:val="ListParagraph"/>
        <w:numPr>
          <w:ilvl w:val="2"/>
          <w:numId w:val="15"/>
        </w:numPr>
        <w:spacing w:after="0" w:line="240" w:lineRule="auto"/>
        <w:jc w:val="both"/>
        <w:rPr>
          <w:lang w:eastAsia="ja-JP"/>
        </w:rPr>
      </w:pPr>
      <w:r w:rsidRPr="00CA0AE3">
        <w:rPr>
          <w:u w:val="single"/>
          <w:lang w:eastAsia="ja-JP"/>
        </w:rPr>
        <w:t>DY</w:t>
      </w:r>
      <w:r w:rsidR="00F76BC6" w:rsidRPr="00CA0AE3">
        <w:rPr>
          <w:u w:val="single"/>
          <w:lang w:eastAsia="ja-JP"/>
        </w:rPr>
        <w:t>s</w:t>
      </w:r>
      <w:r w:rsidRPr="00CA0AE3">
        <w:rPr>
          <w:u w:val="single"/>
          <w:lang w:eastAsia="ja-JP"/>
        </w:rPr>
        <w:t xml:space="preserve"> </w:t>
      </w:r>
      <w:r w:rsidR="00C12E58" w:rsidRPr="00CA0AE3">
        <w:rPr>
          <w:u w:val="single"/>
          <w:lang w:eastAsia="ja-JP"/>
        </w:rPr>
        <w:t>21</w:t>
      </w:r>
      <w:r w:rsidRPr="00CA0AE3">
        <w:rPr>
          <w:u w:val="single"/>
          <w:lang w:eastAsia="ja-JP"/>
        </w:rPr>
        <w:t xml:space="preserve"> – 2</w:t>
      </w:r>
      <w:r w:rsidR="00C12E58" w:rsidRPr="00CA0AE3">
        <w:rPr>
          <w:u w:val="single"/>
          <w:lang w:eastAsia="ja-JP"/>
        </w:rPr>
        <w:t>5</w:t>
      </w:r>
      <w:r w:rsidRPr="00CA0AE3">
        <w:rPr>
          <w:u w:val="single"/>
          <w:lang w:eastAsia="ja-JP"/>
        </w:rPr>
        <w:t xml:space="preserve"> </w:t>
      </w:r>
      <w:r w:rsidR="00A941CF" w:rsidRPr="00CA0AE3">
        <w:rPr>
          <w:u w:val="single"/>
          <w:lang w:eastAsia="ja-JP"/>
        </w:rPr>
        <w:t>PHTII</w:t>
      </w:r>
      <w:r w:rsidRPr="00CA0AE3">
        <w:rPr>
          <w:u w:val="single"/>
          <w:lang w:eastAsia="ja-JP"/>
        </w:rPr>
        <w:t xml:space="preserve"> Payments</w:t>
      </w:r>
    </w:p>
    <w:p w:rsidR="00E0074A" w:rsidRPr="00CA0AE3" w:rsidRDefault="00E0074A" w:rsidP="00DB01E9">
      <w:pPr>
        <w:pStyle w:val="ListParagraph"/>
        <w:spacing w:after="0" w:line="240" w:lineRule="auto"/>
        <w:ind w:left="1080"/>
        <w:jc w:val="both"/>
        <w:rPr>
          <w:lang w:eastAsia="ja-JP"/>
        </w:rPr>
      </w:pPr>
      <w:r w:rsidRPr="00CA0AE3">
        <w:rPr>
          <w:lang w:eastAsia="ja-JP"/>
        </w:rPr>
        <w:t>In DY</w:t>
      </w:r>
      <w:r w:rsidR="00F76BC6" w:rsidRPr="00CA0AE3">
        <w:rPr>
          <w:lang w:eastAsia="ja-JP"/>
        </w:rPr>
        <w:t>s</w:t>
      </w:r>
      <w:r w:rsidR="00AB1F6F" w:rsidRPr="00CA0AE3">
        <w:rPr>
          <w:lang w:eastAsia="ja-JP"/>
        </w:rPr>
        <w:t xml:space="preserve"> </w:t>
      </w:r>
      <w:r w:rsidR="00C12E58" w:rsidRPr="00CA0AE3">
        <w:rPr>
          <w:lang w:eastAsia="ja-JP"/>
        </w:rPr>
        <w:t>21</w:t>
      </w:r>
      <w:r w:rsidRPr="00CA0AE3">
        <w:rPr>
          <w:lang w:eastAsia="ja-JP"/>
        </w:rPr>
        <w:t xml:space="preserve"> – 2</w:t>
      </w:r>
      <w:r w:rsidR="00C12E58" w:rsidRPr="00CA0AE3">
        <w:rPr>
          <w:lang w:eastAsia="ja-JP"/>
        </w:rPr>
        <w:t>5</w:t>
      </w:r>
      <w:r w:rsidRPr="00CA0AE3">
        <w:rPr>
          <w:lang w:eastAsia="ja-JP"/>
        </w:rPr>
        <w:t xml:space="preserve">, </w:t>
      </w:r>
      <w:r w:rsidR="00A941CF" w:rsidRPr="00CA0AE3">
        <w:rPr>
          <w:lang w:eastAsia="ja-JP"/>
        </w:rPr>
        <w:t>PHTII</w:t>
      </w:r>
      <w:r w:rsidRPr="00CA0AE3">
        <w:rPr>
          <w:lang w:eastAsia="ja-JP"/>
        </w:rPr>
        <w:t xml:space="preserve"> funds will be available as incentive payments to the Public Hospital based on successfully </w:t>
      </w:r>
      <w:r w:rsidR="00C12E58" w:rsidRPr="00CA0AE3">
        <w:rPr>
          <w:lang w:eastAsia="ja-JP"/>
        </w:rPr>
        <w:t xml:space="preserve">executing </w:t>
      </w:r>
      <w:r w:rsidR="00742503" w:rsidRPr="00CA0AE3">
        <w:rPr>
          <w:lang w:eastAsia="ja-JP"/>
        </w:rPr>
        <w:t xml:space="preserve">and reporting on </w:t>
      </w:r>
      <w:r w:rsidR="00C12E58" w:rsidRPr="00CA0AE3">
        <w:rPr>
          <w:lang w:eastAsia="ja-JP"/>
        </w:rPr>
        <w:t xml:space="preserve">approved PHTII initiatives. </w:t>
      </w:r>
      <w:r w:rsidR="00B93A38" w:rsidRPr="00CA0AE3">
        <w:rPr>
          <w:lang w:eastAsia="ja-JP"/>
        </w:rPr>
        <w:t xml:space="preserve">The Public Hospital shall be eligible to receive the full amount of </w:t>
      </w:r>
      <w:r w:rsidR="00C67994" w:rsidRPr="00CA0AE3">
        <w:rPr>
          <w:lang w:eastAsia="ja-JP"/>
        </w:rPr>
        <w:t>PHTII Initiatives Progress Reporting and Measure Slate 6 Reporting</w:t>
      </w:r>
      <w:r w:rsidR="00B93A38" w:rsidRPr="00CA0AE3">
        <w:rPr>
          <w:lang w:eastAsia="ja-JP"/>
        </w:rPr>
        <w:t xml:space="preserve"> funding for successful completion of the progress reporting requirements during the first and second reports for payment, as specified in paragraph 1</w:t>
      </w:r>
      <w:r w:rsidR="006879AC" w:rsidRPr="00CA0AE3">
        <w:rPr>
          <w:lang w:eastAsia="ja-JP"/>
        </w:rPr>
        <w:t>2</w:t>
      </w:r>
      <w:r w:rsidR="00B93A38" w:rsidRPr="00CA0AE3">
        <w:rPr>
          <w:lang w:eastAsia="ja-JP"/>
        </w:rPr>
        <w:t>.</w:t>
      </w:r>
    </w:p>
    <w:p w:rsidR="00A0554D" w:rsidRPr="00CA0AE3" w:rsidRDefault="00A0554D" w:rsidP="00A0554D">
      <w:pPr>
        <w:spacing w:after="0" w:line="240" w:lineRule="auto"/>
        <w:jc w:val="both"/>
        <w:rPr>
          <w:lang w:eastAsia="ja-JP"/>
        </w:rPr>
      </w:pPr>
    </w:p>
    <w:p w:rsidR="00DB01E9" w:rsidRPr="00CA0AE3" w:rsidRDefault="00C44A21" w:rsidP="00082812">
      <w:pPr>
        <w:pStyle w:val="ListParagraph"/>
        <w:numPr>
          <w:ilvl w:val="2"/>
          <w:numId w:val="15"/>
        </w:numPr>
        <w:spacing w:after="0" w:line="240" w:lineRule="auto"/>
        <w:jc w:val="both"/>
        <w:rPr>
          <w:lang w:eastAsia="ja-JP"/>
        </w:rPr>
      </w:pPr>
      <w:r w:rsidRPr="00CA0AE3">
        <w:rPr>
          <w:u w:val="single"/>
          <w:lang w:eastAsia="ja-JP"/>
        </w:rPr>
        <w:t>Funding At Risk for Outcomes and Improvement</w:t>
      </w:r>
      <w:r w:rsidRPr="00CA0AE3">
        <w:rPr>
          <w:lang w:eastAsia="ja-JP"/>
        </w:rPr>
        <w:t xml:space="preserve"> </w:t>
      </w:r>
    </w:p>
    <w:p w:rsidR="00C44A21" w:rsidRPr="00CA0AE3" w:rsidRDefault="00B30D57" w:rsidP="00DB01E9">
      <w:pPr>
        <w:pStyle w:val="ListParagraph"/>
        <w:spacing w:after="0" w:line="240" w:lineRule="auto"/>
        <w:ind w:left="1080"/>
        <w:jc w:val="both"/>
        <w:rPr>
          <w:lang w:eastAsia="ja-JP"/>
        </w:rPr>
      </w:pPr>
      <w:r w:rsidRPr="00CA0AE3">
        <w:rPr>
          <w:lang w:eastAsia="ja-JP"/>
        </w:rPr>
        <w:t>Inclusive of the funding allotted to PHTII Outcomes and Improvement Measure Slates and M</w:t>
      </w:r>
      <w:r w:rsidR="00F937E1" w:rsidRPr="00CA0AE3">
        <w:rPr>
          <w:lang w:eastAsia="ja-JP"/>
        </w:rPr>
        <w:t>assHealth</w:t>
      </w:r>
      <w:r w:rsidRPr="00CA0AE3">
        <w:rPr>
          <w:lang w:eastAsia="ja-JP"/>
        </w:rPr>
        <w:t xml:space="preserve"> </w:t>
      </w:r>
      <w:r w:rsidR="00F937E1" w:rsidRPr="00CA0AE3">
        <w:rPr>
          <w:lang w:eastAsia="ja-JP"/>
        </w:rPr>
        <w:t>DSRIP p</w:t>
      </w:r>
      <w:r w:rsidRPr="00CA0AE3">
        <w:rPr>
          <w:lang w:eastAsia="ja-JP"/>
        </w:rPr>
        <w:t xml:space="preserve">erformance </w:t>
      </w:r>
      <w:r w:rsidR="00F937E1" w:rsidRPr="00CA0AE3">
        <w:rPr>
          <w:lang w:eastAsia="ja-JP"/>
        </w:rPr>
        <w:t>a</w:t>
      </w:r>
      <w:r w:rsidRPr="00CA0AE3">
        <w:rPr>
          <w:lang w:eastAsia="ja-JP"/>
        </w:rPr>
        <w:t>ccountab</w:t>
      </w:r>
      <w:r w:rsidR="00F937E1" w:rsidRPr="00CA0AE3">
        <w:rPr>
          <w:lang w:eastAsia="ja-JP"/>
        </w:rPr>
        <w:t>i</w:t>
      </w:r>
      <w:r w:rsidRPr="00CA0AE3">
        <w:rPr>
          <w:lang w:eastAsia="ja-JP"/>
        </w:rPr>
        <w:t>lity</w:t>
      </w:r>
      <w:r w:rsidR="00F937E1" w:rsidRPr="00CA0AE3">
        <w:rPr>
          <w:lang w:eastAsia="ja-JP"/>
        </w:rPr>
        <w:t xml:space="preserve"> measures</w:t>
      </w:r>
      <w:r w:rsidRPr="00CA0AE3">
        <w:rPr>
          <w:lang w:eastAsia="ja-JP"/>
        </w:rPr>
        <w:t>,</w:t>
      </w:r>
      <w:r w:rsidR="00F937E1" w:rsidRPr="00CA0AE3">
        <w:rPr>
          <w:lang w:eastAsia="ja-JP"/>
        </w:rPr>
        <w:t xml:space="preserve"> </w:t>
      </w:r>
      <w:r w:rsidRPr="00CA0AE3">
        <w:rPr>
          <w:lang w:eastAsia="ja-JP"/>
        </w:rPr>
        <w:t>t</w:t>
      </w:r>
      <w:r w:rsidR="00C44A21" w:rsidRPr="00CA0AE3">
        <w:rPr>
          <w:lang w:eastAsia="ja-JP"/>
        </w:rPr>
        <w:t xml:space="preserve">he percentage of PHTII funding at risk for improved performance on outcomes and improvement indicators will gradually increase from </w:t>
      </w:r>
      <w:r w:rsidR="00C12E58" w:rsidRPr="00CA0AE3">
        <w:rPr>
          <w:lang w:eastAsia="ja-JP"/>
        </w:rPr>
        <w:t>15</w:t>
      </w:r>
      <w:r w:rsidR="00C44A21" w:rsidRPr="00CA0AE3">
        <w:rPr>
          <w:lang w:eastAsia="ja-JP"/>
        </w:rPr>
        <w:t xml:space="preserve"> percent in </w:t>
      </w:r>
      <w:r w:rsidR="00A1430A" w:rsidRPr="00CA0AE3">
        <w:rPr>
          <w:lang w:eastAsia="ja-JP"/>
        </w:rPr>
        <w:t>DY</w:t>
      </w:r>
      <w:r w:rsidR="00F27698" w:rsidRPr="00CA0AE3">
        <w:rPr>
          <w:lang w:eastAsia="ja-JP"/>
        </w:rPr>
        <w:t xml:space="preserve"> </w:t>
      </w:r>
      <w:r w:rsidR="00C12E58" w:rsidRPr="00CA0AE3">
        <w:rPr>
          <w:lang w:eastAsia="ja-JP"/>
        </w:rPr>
        <w:t>21</w:t>
      </w:r>
      <w:r w:rsidR="00C44A21" w:rsidRPr="00CA0AE3">
        <w:rPr>
          <w:lang w:eastAsia="ja-JP"/>
        </w:rPr>
        <w:t xml:space="preserve"> to 30 percent in </w:t>
      </w:r>
      <w:r w:rsidR="00A1430A" w:rsidRPr="00CA0AE3">
        <w:rPr>
          <w:lang w:eastAsia="ja-JP"/>
        </w:rPr>
        <w:t>DY</w:t>
      </w:r>
      <w:r w:rsidR="00F27698" w:rsidRPr="00CA0AE3">
        <w:rPr>
          <w:lang w:eastAsia="ja-JP"/>
        </w:rPr>
        <w:t xml:space="preserve"> </w:t>
      </w:r>
      <w:r w:rsidR="008D3CB4" w:rsidRPr="00CA0AE3">
        <w:rPr>
          <w:lang w:eastAsia="ja-JP"/>
        </w:rPr>
        <w:t>25.</w:t>
      </w:r>
    </w:p>
    <w:p w:rsidR="00081FE9" w:rsidRPr="00CA0AE3" w:rsidRDefault="00081FE9" w:rsidP="0074511A">
      <w:pPr>
        <w:spacing w:after="0" w:line="240" w:lineRule="auto"/>
        <w:jc w:val="both"/>
        <w:rPr>
          <w:lang w:eastAsia="ja-JP"/>
        </w:rPr>
      </w:pPr>
    </w:p>
    <w:p w:rsidR="00F44287" w:rsidRPr="00CA0AE3" w:rsidRDefault="004A7100" w:rsidP="00321A10">
      <w:pPr>
        <w:pStyle w:val="ListParagraph"/>
        <w:numPr>
          <w:ilvl w:val="1"/>
          <w:numId w:val="30"/>
        </w:numPr>
        <w:spacing w:after="0" w:line="240" w:lineRule="auto"/>
        <w:jc w:val="both"/>
        <w:rPr>
          <w:b/>
          <w:lang w:eastAsia="ja-JP"/>
        </w:rPr>
      </w:pPr>
      <w:r w:rsidRPr="00CA0AE3">
        <w:rPr>
          <w:b/>
          <w:lang w:eastAsia="ja-JP"/>
        </w:rPr>
        <w:t xml:space="preserve">PHTII Funding Allocation Formula </w:t>
      </w:r>
    </w:p>
    <w:p w:rsidR="004A7100" w:rsidRPr="00CA0AE3" w:rsidRDefault="004A7100" w:rsidP="004A7100">
      <w:pPr>
        <w:pStyle w:val="ListParagraph"/>
        <w:spacing w:after="0" w:line="240" w:lineRule="auto"/>
        <w:ind w:left="360"/>
        <w:jc w:val="both"/>
        <w:rPr>
          <w:rFonts w:eastAsiaTheme="minorHAnsi"/>
        </w:rPr>
      </w:pPr>
      <w:r w:rsidRPr="00CA0AE3">
        <w:rPr>
          <w:rFonts w:eastAsiaTheme="minorHAnsi"/>
        </w:rPr>
        <w:tab/>
      </w:r>
    </w:p>
    <w:p w:rsidR="00321A10" w:rsidRPr="00CA0AE3" w:rsidRDefault="004A7100">
      <w:pPr>
        <w:pStyle w:val="ListParagraph"/>
        <w:spacing w:after="0" w:line="240" w:lineRule="auto"/>
        <w:jc w:val="both"/>
        <w:rPr>
          <w:rFonts w:eastAsiaTheme="minorHAnsi"/>
        </w:rPr>
      </w:pPr>
      <w:r w:rsidRPr="00CA0AE3">
        <w:rPr>
          <w:rFonts w:eastAsiaTheme="minorHAnsi"/>
        </w:rPr>
        <w:lastRenderedPageBreak/>
        <w:t xml:space="preserve">The following chart depicts the percentage and dollar amount of total PHTII funds available per demonstration year for </w:t>
      </w:r>
      <w:r w:rsidR="0089277E" w:rsidRPr="00CA0AE3">
        <w:rPr>
          <w:rFonts w:eastAsiaTheme="minorHAnsi"/>
        </w:rPr>
        <w:t xml:space="preserve">PHTII initiatives </w:t>
      </w:r>
      <w:r w:rsidRPr="00CA0AE3">
        <w:rPr>
          <w:rFonts w:eastAsiaTheme="minorHAnsi"/>
        </w:rPr>
        <w:t>and the at</w:t>
      </w:r>
      <w:r w:rsidR="0089277E" w:rsidRPr="00CA0AE3">
        <w:rPr>
          <w:rFonts w:eastAsiaTheme="minorHAnsi"/>
        </w:rPr>
        <w:t>-</w:t>
      </w:r>
      <w:r w:rsidRPr="00CA0AE3">
        <w:rPr>
          <w:rFonts w:eastAsiaTheme="minorHAnsi"/>
        </w:rPr>
        <w:t xml:space="preserve">risk amounts for performance on the </w:t>
      </w:r>
      <w:r w:rsidR="00170259" w:rsidRPr="00CA0AE3">
        <w:rPr>
          <w:rFonts w:eastAsiaTheme="minorHAnsi"/>
        </w:rPr>
        <w:t>o</w:t>
      </w:r>
      <w:r w:rsidRPr="00CA0AE3">
        <w:rPr>
          <w:rFonts w:eastAsiaTheme="minorHAnsi"/>
        </w:rPr>
        <w:t>utcome and</w:t>
      </w:r>
      <w:r w:rsidR="0089277E" w:rsidRPr="00CA0AE3">
        <w:rPr>
          <w:rFonts w:eastAsiaTheme="minorHAnsi"/>
        </w:rPr>
        <w:t xml:space="preserve"> </w:t>
      </w:r>
      <w:r w:rsidR="00170259" w:rsidRPr="00CA0AE3">
        <w:rPr>
          <w:rFonts w:eastAsiaTheme="minorHAnsi"/>
        </w:rPr>
        <w:t>q</w:t>
      </w:r>
      <w:r w:rsidRPr="00CA0AE3">
        <w:rPr>
          <w:rFonts w:eastAsiaTheme="minorHAnsi"/>
        </w:rPr>
        <w:t xml:space="preserve">uality </w:t>
      </w:r>
      <w:r w:rsidR="00170259" w:rsidRPr="00CA0AE3">
        <w:rPr>
          <w:rFonts w:eastAsiaTheme="minorHAnsi"/>
        </w:rPr>
        <w:t>i</w:t>
      </w:r>
      <w:r w:rsidRPr="00CA0AE3">
        <w:rPr>
          <w:rFonts w:eastAsiaTheme="minorHAnsi"/>
        </w:rPr>
        <w:t>ndicators.</w:t>
      </w:r>
    </w:p>
    <w:p w:rsidR="00321A10" w:rsidRPr="00CA0AE3" w:rsidRDefault="00321A10">
      <w:pPr>
        <w:spacing w:after="0" w:line="240" w:lineRule="auto"/>
        <w:rPr>
          <w:rFonts w:eastAsiaTheme="minorHAnsi"/>
        </w:rPr>
      </w:pPr>
    </w:p>
    <w:p w:rsidR="005F46C3" w:rsidRPr="00CA0AE3" w:rsidRDefault="005F46C3">
      <w:pPr>
        <w:pStyle w:val="ListParagraph"/>
        <w:spacing w:after="0" w:line="240" w:lineRule="auto"/>
        <w:jc w:val="both"/>
        <w:rPr>
          <w:rFonts w:eastAsiaTheme="minorHAnsi"/>
        </w:rPr>
      </w:pPr>
    </w:p>
    <w:tbl>
      <w:tblPr>
        <w:tblStyle w:val="TableGrid"/>
        <w:tblW w:w="4229" w:type="pct"/>
        <w:tblInd w:w="468" w:type="dxa"/>
        <w:tblLook w:val="04A0" w:firstRow="1" w:lastRow="0" w:firstColumn="1" w:lastColumn="0" w:noHBand="0" w:noVBand="1"/>
      </w:tblPr>
      <w:tblGrid>
        <w:gridCol w:w="865"/>
        <w:gridCol w:w="620"/>
        <w:gridCol w:w="1200"/>
        <w:gridCol w:w="620"/>
        <w:gridCol w:w="1307"/>
        <w:gridCol w:w="620"/>
        <w:gridCol w:w="1522"/>
        <w:gridCol w:w="1306"/>
      </w:tblGrid>
      <w:tr w:rsidR="00DE7515" w:rsidRPr="00CA0AE3" w:rsidTr="000664D4">
        <w:trPr>
          <w:tblHeader/>
        </w:trPr>
        <w:tc>
          <w:tcPr>
            <w:tcW w:w="542" w:type="pct"/>
            <w:vAlign w:val="center"/>
          </w:tcPr>
          <w:p w:rsidR="00DE7515" w:rsidRPr="00CA0AE3" w:rsidRDefault="00DE7515" w:rsidP="0054776A">
            <w:pPr>
              <w:spacing w:after="0" w:line="240" w:lineRule="auto"/>
              <w:ind w:left="720"/>
              <w:contextualSpacing/>
              <w:jc w:val="center"/>
              <w:rPr>
                <w:rFonts w:ascii="Times New Roman" w:eastAsiaTheme="minorHAnsi" w:hAnsi="Times New Roman" w:cs="Times New Roman"/>
                <w:b/>
              </w:rPr>
            </w:pPr>
          </w:p>
        </w:tc>
        <w:tc>
          <w:tcPr>
            <w:tcW w:w="1125" w:type="pct"/>
            <w:gridSpan w:val="2"/>
            <w:vAlign w:val="center"/>
          </w:tcPr>
          <w:p w:rsidR="00544F2A" w:rsidRPr="00CA0AE3" w:rsidRDefault="00DE7515" w:rsidP="0054776A">
            <w:pPr>
              <w:spacing w:after="0" w:line="240" w:lineRule="auto"/>
              <w:jc w:val="center"/>
              <w:rPr>
                <w:rFonts w:ascii="Times New Roman" w:eastAsiaTheme="minorHAnsi" w:hAnsi="Times New Roman" w:cs="Times New Roman"/>
                <w:b/>
              </w:rPr>
            </w:pPr>
            <w:r w:rsidRPr="00CA0AE3">
              <w:rPr>
                <w:rFonts w:ascii="Times New Roman" w:eastAsiaTheme="minorHAnsi" w:hAnsi="Times New Roman" w:cs="Times New Roman"/>
                <w:b/>
              </w:rPr>
              <w:t>MassHealth DSRIP Performance Accountability for Public Hospital’s</w:t>
            </w:r>
          </w:p>
          <w:p w:rsidR="00544F2A" w:rsidRPr="00CA0AE3" w:rsidRDefault="00544F2A" w:rsidP="0054776A">
            <w:pPr>
              <w:spacing w:after="0" w:line="240" w:lineRule="auto"/>
              <w:jc w:val="center"/>
              <w:rPr>
                <w:rFonts w:ascii="Times New Roman" w:eastAsiaTheme="minorHAnsi" w:hAnsi="Times New Roman" w:cs="Times New Roman"/>
                <w:b/>
              </w:rPr>
            </w:pPr>
            <w:r w:rsidRPr="00CA0AE3">
              <w:rPr>
                <w:rFonts w:ascii="Times New Roman" w:eastAsiaTheme="minorHAnsi" w:hAnsi="Times New Roman" w:cs="Times New Roman"/>
                <w:b/>
              </w:rPr>
              <w:t>MassHealth</w:t>
            </w:r>
            <w:r w:rsidR="00DE7515" w:rsidRPr="00CA0AE3">
              <w:rPr>
                <w:rFonts w:ascii="Times New Roman" w:eastAsiaTheme="minorHAnsi" w:hAnsi="Times New Roman" w:cs="Times New Roman"/>
                <w:b/>
              </w:rPr>
              <w:t xml:space="preserve"> </w:t>
            </w:r>
          </w:p>
          <w:p w:rsidR="00DE7515" w:rsidRPr="00CA0AE3" w:rsidRDefault="00DE7515" w:rsidP="0054776A">
            <w:pPr>
              <w:spacing w:after="0" w:line="240" w:lineRule="auto"/>
              <w:jc w:val="center"/>
              <w:rPr>
                <w:rFonts w:ascii="Times New Roman" w:eastAsiaTheme="minorHAnsi" w:hAnsi="Times New Roman" w:cs="Times New Roman"/>
                <w:b/>
              </w:rPr>
            </w:pPr>
            <w:r w:rsidRPr="00CA0AE3">
              <w:rPr>
                <w:rFonts w:ascii="Times New Roman" w:eastAsiaTheme="minorHAnsi" w:hAnsi="Times New Roman" w:cs="Times New Roman"/>
                <w:b/>
              </w:rPr>
              <w:t xml:space="preserve"> Panel</w:t>
            </w:r>
          </w:p>
        </w:tc>
        <w:tc>
          <w:tcPr>
            <w:tcW w:w="1192" w:type="pct"/>
            <w:gridSpan w:val="2"/>
            <w:vAlign w:val="center"/>
          </w:tcPr>
          <w:p w:rsidR="00DE7515" w:rsidRPr="00CA0AE3" w:rsidRDefault="00DE7515" w:rsidP="00EC298B">
            <w:pPr>
              <w:spacing w:after="0" w:line="240" w:lineRule="auto"/>
              <w:jc w:val="center"/>
              <w:rPr>
                <w:rFonts w:ascii="Times New Roman" w:eastAsiaTheme="minorHAnsi" w:hAnsi="Times New Roman" w:cs="Times New Roman"/>
                <w:b/>
              </w:rPr>
            </w:pPr>
            <w:r w:rsidRPr="00CA0AE3">
              <w:rPr>
                <w:rFonts w:ascii="Times New Roman" w:eastAsiaTheme="minorHAnsi" w:hAnsi="Times New Roman" w:cs="Times New Roman"/>
                <w:b/>
              </w:rPr>
              <w:t xml:space="preserve">PHTII At-Risk Measure Slates 1 – </w:t>
            </w:r>
            <w:r w:rsidR="00EC298B" w:rsidRPr="00CA0AE3">
              <w:rPr>
                <w:rFonts w:ascii="Times New Roman" w:eastAsiaTheme="minorHAnsi" w:hAnsi="Times New Roman" w:cs="Times New Roman"/>
                <w:b/>
              </w:rPr>
              <w:t>4</w:t>
            </w:r>
            <w:r w:rsidRPr="00CA0AE3">
              <w:rPr>
                <w:rFonts w:ascii="Times New Roman" w:eastAsiaTheme="minorHAnsi" w:hAnsi="Times New Roman" w:cs="Times New Roman"/>
                <w:b/>
              </w:rPr>
              <w:t xml:space="preserve">  Outcomes and Improvement Indicators </w:t>
            </w:r>
          </w:p>
        </w:tc>
        <w:tc>
          <w:tcPr>
            <w:tcW w:w="1325" w:type="pct"/>
            <w:gridSpan w:val="2"/>
            <w:vAlign w:val="center"/>
          </w:tcPr>
          <w:p w:rsidR="00DE7515" w:rsidRPr="00CA0AE3" w:rsidRDefault="00DE7515" w:rsidP="0054776A">
            <w:pPr>
              <w:spacing w:after="0" w:line="240" w:lineRule="auto"/>
              <w:jc w:val="center"/>
              <w:rPr>
                <w:rFonts w:ascii="Times New Roman" w:eastAsiaTheme="minorHAnsi" w:hAnsi="Times New Roman" w:cs="Times New Roman"/>
                <w:b/>
              </w:rPr>
            </w:pPr>
            <w:r w:rsidRPr="00CA0AE3">
              <w:rPr>
                <w:rFonts w:ascii="Times New Roman" w:eastAsiaTheme="minorHAnsi" w:hAnsi="Times New Roman" w:cs="Times New Roman"/>
                <w:b/>
              </w:rPr>
              <w:t>PHTII Initiatives Progress Reporting and Measure Slate 6 Reporting</w:t>
            </w:r>
          </w:p>
        </w:tc>
        <w:tc>
          <w:tcPr>
            <w:tcW w:w="816" w:type="pct"/>
            <w:vAlign w:val="center"/>
          </w:tcPr>
          <w:p w:rsidR="00DE7515" w:rsidRPr="00CA0AE3" w:rsidRDefault="00DE7515" w:rsidP="0054776A">
            <w:pPr>
              <w:spacing w:after="0" w:line="240" w:lineRule="auto"/>
              <w:jc w:val="center"/>
              <w:rPr>
                <w:rFonts w:ascii="Times New Roman" w:eastAsiaTheme="minorHAnsi" w:hAnsi="Times New Roman" w:cs="Times New Roman"/>
                <w:b/>
              </w:rPr>
            </w:pPr>
            <w:r w:rsidRPr="00CA0AE3">
              <w:rPr>
                <w:rFonts w:ascii="Times New Roman" w:eastAsiaTheme="minorHAnsi" w:hAnsi="Times New Roman" w:cs="Times New Roman"/>
                <w:b/>
              </w:rPr>
              <w:t>Total</w:t>
            </w:r>
          </w:p>
        </w:tc>
      </w:tr>
      <w:tr w:rsidR="00DE7515" w:rsidRPr="00CA0AE3" w:rsidTr="000664D4">
        <w:tc>
          <w:tcPr>
            <w:tcW w:w="542" w:type="pct"/>
            <w:vAlign w:val="center"/>
          </w:tcPr>
          <w:p w:rsidR="00DE7515" w:rsidRPr="00CA0AE3" w:rsidRDefault="00DE7515" w:rsidP="0054776A">
            <w:pPr>
              <w:spacing w:after="0" w:line="240" w:lineRule="auto"/>
              <w:rPr>
                <w:rFonts w:ascii="Times New Roman" w:eastAsiaTheme="minorHAnsi" w:hAnsi="Times New Roman" w:cs="Times New Roman"/>
              </w:rPr>
            </w:pPr>
            <w:r w:rsidRPr="00CA0AE3">
              <w:rPr>
                <w:rFonts w:ascii="Times New Roman" w:eastAsiaTheme="minorHAnsi" w:hAnsi="Times New Roman" w:cs="Times New Roman"/>
              </w:rPr>
              <w:t>DY 21</w:t>
            </w:r>
          </w:p>
        </w:tc>
        <w:tc>
          <w:tcPr>
            <w:tcW w:w="376" w:type="pct"/>
            <w:vAlign w:val="center"/>
          </w:tcPr>
          <w:p w:rsidR="00DE7515" w:rsidRPr="00CA0AE3" w:rsidRDefault="00DE7515" w:rsidP="0054776A">
            <w:pPr>
              <w:spacing w:after="0" w:line="240" w:lineRule="auto"/>
              <w:jc w:val="right"/>
              <w:rPr>
                <w:rFonts w:ascii="Times New Roman" w:eastAsiaTheme="minorHAnsi" w:hAnsi="Times New Roman" w:cs="Times New Roman"/>
              </w:rPr>
            </w:pPr>
            <w:r w:rsidRPr="00CA0AE3">
              <w:rPr>
                <w:rFonts w:ascii="Times New Roman" w:eastAsiaTheme="minorHAnsi" w:hAnsi="Times New Roman" w:cs="Times New Roman"/>
                <w:color w:val="000000"/>
              </w:rPr>
              <w:t>5%</w:t>
            </w:r>
          </w:p>
        </w:tc>
        <w:tc>
          <w:tcPr>
            <w:tcW w:w="750" w:type="pct"/>
            <w:vAlign w:val="bottom"/>
          </w:tcPr>
          <w:p w:rsidR="00DE7515" w:rsidRPr="00CA0AE3" w:rsidRDefault="00DE7515" w:rsidP="0054776A">
            <w:pPr>
              <w:spacing w:after="0" w:line="240" w:lineRule="auto"/>
              <w:jc w:val="right"/>
              <w:rPr>
                <w:rFonts w:ascii="Times New Roman" w:hAnsi="Times New Roman" w:cs="Times New Roman"/>
                <w:color w:val="000000"/>
              </w:rPr>
            </w:pPr>
            <w:r w:rsidRPr="00CA0AE3">
              <w:rPr>
                <w:rFonts w:ascii="Times New Roman" w:hAnsi="Times New Roman" w:cs="Times New Roman"/>
                <w:color w:val="000000"/>
              </w:rPr>
              <w:t>$1</w:t>
            </w:r>
            <w:r w:rsidR="001B30C9" w:rsidRPr="00CA0AE3">
              <w:rPr>
                <w:rFonts w:ascii="Times New Roman" w:hAnsi="Times New Roman" w:cs="Times New Roman"/>
                <w:color w:val="000000"/>
              </w:rPr>
              <w:t>5</w:t>
            </w:r>
            <w:r w:rsidRPr="00CA0AE3">
              <w:rPr>
                <w:rFonts w:ascii="Times New Roman" w:hAnsi="Times New Roman" w:cs="Times New Roman"/>
                <w:color w:val="000000"/>
              </w:rPr>
              <w:t>.</w:t>
            </w:r>
            <w:r w:rsidR="001B30C9" w:rsidRPr="00CA0AE3">
              <w:rPr>
                <w:rFonts w:ascii="Times New Roman" w:hAnsi="Times New Roman" w:cs="Times New Roman"/>
                <w:color w:val="000000"/>
              </w:rPr>
              <w:t>4</w:t>
            </w:r>
            <w:r w:rsidRPr="00CA0AE3">
              <w:rPr>
                <w:rFonts w:ascii="Times New Roman" w:hAnsi="Times New Roman" w:cs="Times New Roman"/>
                <w:color w:val="000000"/>
              </w:rPr>
              <w:t>5M</w:t>
            </w:r>
          </w:p>
        </w:tc>
        <w:tc>
          <w:tcPr>
            <w:tcW w:w="376" w:type="pct"/>
            <w:vAlign w:val="center"/>
          </w:tcPr>
          <w:p w:rsidR="00DE7515" w:rsidRPr="00CA0AE3" w:rsidRDefault="00DE7515" w:rsidP="0054776A">
            <w:pPr>
              <w:spacing w:after="0" w:line="240" w:lineRule="auto"/>
              <w:jc w:val="right"/>
              <w:rPr>
                <w:rFonts w:ascii="Times New Roman" w:eastAsiaTheme="minorHAnsi" w:hAnsi="Times New Roman" w:cs="Times New Roman"/>
              </w:rPr>
            </w:pPr>
            <w:r w:rsidRPr="00CA0AE3">
              <w:rPr>
                <w:rFonts w:ascii="Times New Roman" w:eastAsiaTheme="minorHAnsi" w:hAnsi="Times New Roman" w:cs="Times New Roman"/>
                <w:color w:val="000000"/>
              </w:rPr>
              <w:t>10%</w:t>
            </w:r>
          </w:p>
        </w:tc>
        <w:tc>
          <w:tcPr>
            <w:tcW w:w="816" w:type="pct"/>
            <w:vAlign w:val="bottom"/>
          </w:tcPr>
          <w:p w:rsidR="00DE7515" w:rsidRPr="00CA0AE3" w:rsidRDefault="00DE7515" w:rsidP="0054776A">
            <w:pPr>
              <w:spacing w:after="0" w:line="240" w:lineRule="auto"/>
              <w:jc w:val="right"/>
              <w:rPr>
                <w:rFonts w:ascii="Times New Roman" w:hAnsi="Times New Roman" w:cs="Times New Roman"/>
                <w:color w:val="000000"/>
              </w:rPr>
            </w:pPr>
            <w:r w:rsidRPr="00CA0AE3">
              <w:rPr>
                <w:rFonts w:ascii="Times New Roman" w:hAnsi="Times New Roman" w:cs="Times New Roman"/>
                <w:color w:val="000000"/>
              </w:rPr>
              <w:t>$</w:t>
            </w:r>
            <w:r w:rsidR="00776F71" w:rsidRPr="00CA0AE3">
              <w:rPr>
                <w:rFonts w:ascii="Times New Roman" w:hAnsi="Times New Roman" w:cs="Times New Roman"/>
                <w:color w:val="000000"/>
              </w:rPr>
              <w:t>30</w:t>
            </w:r>
            <w:r w:rsidRPr="00CA0AE3">
              <w:rPr>
                <w:rFonts w:ascii="Times New Roman" w:hAnsi="Times New Roman" w:cs="Times New Roman"/>
                <w:color w:val="000000"/>
              </w:rPr>
              <w:t>.</w:t>
            </w:r>
            <w:r w:rsidR="00776F71" w:rsidRPr="00CA0AE3">
              <w:rPr>
                <w:rFonts w:ascii="Times New Roman" w:hAnsi="Times New Roman" w:cs="Times New Roman"/>
                <w:color w:val="000000"/>
              </w:rPr>
              <w:t>9</w:t>
            </w:r>
            <w:r w:rsidRPr="00CA0AE3">
              <w:rPr>
                <w:rFonts w:ascii="Times New Roman" w:hAnsi="Times New Roman" w:cs="Times New Roman"/>
                <w:color w:val="000000"/>
              </w:rPr>
              <w:t>M</w:t>
            </w:r>
          </w:p>
        </w:tc>
        <w:tc>
          <w:tcPr>
            <w:tcW w:w="376" w:type="pct"/>
            <w:vAlign w:val="center"/>
          </w:tcPr>
          <w:p w:rsidR="00DE7515" w:rsidRPr="00CA0AE3" w:rsidRDefault="00DE7515" w:rsidP="0054776A">
            <w:pPr>
              <w:spacing w:after="0" w:line="240" w:lineRule="auto"/>
              <w:jc w:val="right"/>
              <w:rPr>
                <w:rFonts w:ascii="Times New Roman" w:eastAsiaTheme="minorHAnsi" w:hAnsi="Times New Roman" w:cs="Times New Roman"/>
              </w:rPr>
            </w:pPr>
            <w:r w:rsidRPr="00CA0AE3">
              <w:rPr>
                <w:rFonts w:ascii="Times New Roman" w:eastAsiaTheme="minorHAnsi" w:hAnsi="Times New Roman" w:cs="Times New Roman"/>
                <w:color w:val="000000"/>
              </w:rPr>
              <w:t>85%</w:t>
            </w:r>
          </w:p>
        </w:tc>
        <w:tc>
          <w:tcPr>
            <w:tcW w:w="949" w:type="pct"/>
            <w:vAlign w:val="bottom"/>
          </w:tcPr>
          <w:p w:rsidR="00DE7515" w:rsidRPr="00CA0AE3" w:rsidRDefault="00DE7515" w:rsidP="0054776A">
            <w:pPr>
              <w:spacing w:after="0" w:line="240" w:lineRule="auto"/>
              <w:jc w:val="right"/>
              <w:rPr>
                <w:rFonts w:ascii="Times New Roman" w:hAnsi="Times New Roman" w:cs="Times New Roman"/>
                <w:color w:val="000000"/>
              </w:rPr>
            </w:pPr>
            <w:r w:rsidRPr="00CA0AE3">
              <w:rPr>
                <w:rFonts w:ascii="Times New Roman" w:hAnsi="Times New Roman" w:cs="Times New Roman"/>
                <w:color w:val="000000"/>
              </w:rPr>
              <w:t>$</w:t>
            </w:r>
            <w:r w:rsidR="00565E5C" w:rsidRPr="00CA0AE3">
              <w:rPr>
                <w:rFonts w:ascii="Times New Roman" w:hAnsi="Times New Roman" w:cs="Times New Roman"/>
                <w:color w:val="000000"/>
              </w:rPr>
              <w:t>262</w:t>
            </w:r>
            <w:r w:rsidRPr="00CA0AE3">
              <w:rPr>
                <w:rFonts w:ascii="Times New Roman" w:hAnsi="Times New Roman" w:cs="Times New Roman"/>
                <w:color w:val="000000"/>
              </w:rPr>
              <w:t>.</w:t>
            </w:r>
            <w:r w:rsidR="00565E5C" w:rsidRPr="00CA0AE3">
              <w:rPr>
                <w:rFonts w:ascii="Times New Roman" w:hAnsi="Times New Roman" w:cs="Times New Roman"/>
                <w:color w:val="000000"/>
              </w:rPr>
              <w:t>6</w:t>
            </w:r>
            <w:r w:rsidRPr="00CA0AE3">
              <w:rPr>
                <w:rFonts w:ascii="Times New Roman" w:hAnsi="Times New Roman" w:cs="Times New Roman"/>
                <w:color w:val="000000"/>
              </w:rPr>
              <w:t>5M</w:t>
            </w:r>
          </w:p>
        </w:tc>
        <w:tc>
          <w:tcPr>
            <w:tcW w:w="816" w:type="pct"/>
            <w:vAlign w:val="bottom"/>
          </w:tcPr>
          <w:p w:rsidR="00DE7515" w:rsidRPr="00CA0AE3" w:rsidRDefault="00DE7515" w:rsidP="0054776A">
            <w:pPr>
              <w:spacing w:after="0" w:line="240" w:lineRule="auto"/>
              <w:jc w:val="right"/>
              <w:rPr>
                <w:rFonts w:ascii="Times New Roman" w:hAnsi="Times New Roman" w:cs="Times New Roman"/>
                <w:color w:val="000000"/>
              </w:rPr>
            </w:pPr>
            <w:r w:rsidRPr="00CA0AE3">
              <w:rPr>
                <w:rFonts w:ascii="Times New Roman" w:hAnsi="Times New Roman" w:cs="Times New Roman"/>
                <w:color w:val="000000"/>
              </w:rPr>
              <w:t>$3</w:t>
            </w:r>
            <w:r w:rsidR="007F1D67" w:rsidRPr="00CA0AE3">
              <w:rPr>
                <w:rFonts w:ascii="Times New Roman" w:hAnsi="Times New Roman" w:cs="Times New Roman"/>
                <w:color w:val="000000"/>
              </w:rPr>
              <w:t>09</w:t>
            </w:r>
            <w:r w:rsidRPr="00CA0AE3">
              <w:rPr>
                <w:rFonts w:ascii="Times New Roman" w:hAnsi="Times New Roman" w:cs="Times New Roman"/>
                <w:color w:val="000000"/>
              </w:rPr>
              <w:t>M</w:t>
            </w:r>
          </w:p>
        </w:tc>
      </w:tr>
      <w:tr w:rsidR="00DE7515" w:rsidRPr="00CA0AE3" w:rsidTr="000664D4">
        <w:tc>
          <w:tcPr>
            <w:tcW w:w="542" w:type="pct"/>
            <w:vAlign w:val="center"/>
          </w:tcPr>
          <w:p w:rsidR="00DE7515" w:rsidRPr="00CA0AE3" w:rsidRDefault="00DE7515" w:rsidP="0054776A">
            <w:pPr>
              <w:spacing w:after="0" w:line="240" w:lineRule="auto"/>
              <w:rPr>
                <w:rFonts w:ascii="Times New Roman" w:eastAsiaTheme="minorHAnsi" w:hAnsi="Times New Roman" w:cs="Times New Roman"/>
              </w:rPr>
            </w:pPr>
            <w:r w:rsidRPr="00CA0AE3">
              <w:rPr>
                <w:rFonts w:ascii="Times New Roman" w:eastAsiaTheme="minorHAnsi" w:hAnsi="Times New Roman" w:cs="Times New Roman"/>
              </w:rPr>
              <w:t>DY 22</w:t>
            </w:r>
          </w:p>
        </w:tc>
        <w:tc>
          <w:tcPr>
            <w:tcW w:w="376" w:type="pct"/>
            <w:vAlign w:val="center"/>
          </w:tcPr>
          <w:p w:rsidR="00DE7515" w:rsidRPr="00CA0AE3" w:rsidRDefault="00DE7515" w:rsidP="0054776A">
            <w:pPr>
              <w:spacing w:after="0" w:line="240" w:lineRule="auto"/>
              <w:jc w:val="right"/>
              <w:rPr>
                <w:rFonts w:ascii="Times New Roman" w:eastAsiaTheme="minorHAnsi" w:hAnsi="Times New Roman" w:cs="Times New Roman"/>
              </w:rPr>
            </w:pPr>
            <w:r w:rsidRPr="00CA0AE3">
              <w:rPr>
                <w:rFonts w:ascii="Times New Roman" w:eastAsiaTheme="minorHAnsi" w:hAnsi="Times New Roman" w:cs="Times New Roman"/>
                <w:color w:val="000000"/>
              </w:rPr>
              <w:t>5%</w:t>
            </w:r>
          </w:p>
        </w:tc>
        <w:tc>
          <w:tcPr>
            <w:tcW w:w="750" w:type="pct"/>
            <w:vAlign w:val="bottom"/>
          </w:tcPr>
          <w:p w:rsidR="00DE7515" w:rsidRPr="00CA0AE3" w:rsidRDefault="00DE7515" w:rsidP="0054776A">
            <w:pPr>
              <w:spacing w:after="0" w:line="240" w:lineRule="auto"/>
              <w:jc w:val="right"/>
              <w:rPr>
                <w:rFonts w:ascii="Times New Roman" w:hAnsi="Times New Roman" w:cs="Times New Roman"/>
                <w:color w:val="000000"/>
              </w:rPr>
            </w:pPr>
            <w:r w:rsidRPr="00CA0AE3">
              <w:rPr>
                <w:rFonts w:ascii="Times New Roman" w:hAnsi="Times New Roman" w:cs="Times New Roman"/>
                <w:color w:val="000000"/>
              </w:rPr>
              <w:t>$1</w:t>
            </w:r>
            <w:r w:rsidR="001B30C9" w:rsidRPr="00CA0AE3">
              <w:rPr>
                <w:rFonts w:ascii="Times New Roman" w:hAnsi="Times New Roman" w:cs="Times New Roman"/>
                <w:color w:val="000000"/>
              </w:rPr>
              <w:t>2</w:t>
            </w:r>
            <w:r w:rsidRPr="00CA0AE3">
              <w:rPr>
                <w:rFonts w:ascii="Times New Roman" w:hAnsi="Times New Roman" w:cs="Times New Roman"/>
                <w:color w:val="000000"/>
              </w:rPr>
              <w:t>.</w:t>
            </w:r>
            <w:r w:rsidR="001B30C9" w:rsidRPr="00CA0AE3">
              <w:rPr>
                <w:rFonts w:ascii="Times New Roman" w:hAnsi="Times New Roman" w:cs="Times New Roman"/>
                <w:color w:val="000000"/>
              </w:rPr>
              <w:t>1</w:t>
            </w:r>
            <w:r w:rsidRPr="00CA0AE3">
              <w:rPr>
                <w:rFonts w:ascii="Times New Roman" w:hAnsi="Times New Roman" w:cs="Times New Roman"/>
                <w:color w:val="000000"/>
              </w:rPr>
              <w:t>5M</w:t>
            </w:r>
          </w:p>
        </w:tc>
        <w:tc>
          <w:tcPr>
            <w:tcW w:w="376" w:type="pct"/>
            <w:vAlign w:val="center"/>
          </w:tcPr>
          <w:p w:rsidR="00DE7515" w:rsidRPr="00CA0AE3" w:rsidRDefault="00DE7515" w:rsidP="0054776A">
            <w:pPr>
              <w:spacing w:after="0" w:line="240" w:lineRule="auto"/>
              <w:jc w:val="right"/>
              <w:rPr>
                <w:rFonts w:ascii="Times New Roman" w:eastAsiaTheme="minorHAnsi" w:hAnsi="Times New Roman" w:cs="Times New Roman"/>
              </w:rPr>
            </w:pPr>
            <w:r w:rsidRPr="00CA0AE3">
              <w:rPr>
                <w:rFonts w:ascii="Times New Roman" w:eastAsiaTheme="minorHAnsi" w:hAnsi="Times New Roman" w:cs="Times New Roman"/>
                <w:color w:val="000000"/>
              </w:rPr>
              <w:t>10%</w:t>
            </w:r>
          </w:p>
        </w:tc>
        <w:tc>
          <w:tcPr>
            <w:tcW w:w="816" w:type="pct"/>
            <w:vAlign w:val="bottom"/>
          </w:tcPr>
          <w:p w:rsidR="00DE7515" w:rsidRPr="00CA0AE3" w:rsidRDefault="00DE7515" w:rsidP="0054776A">
            <w:pPr>
              <w:spacing w:after="0" w:line="240" w:lineRule="auto"/>
              <w:jc w:val="right"/>
              <w:rPr>
                <w:rFonts w:ascii="Times New Roman" w:hAnsi="Times New Roman" w:cs="Times New Roman"/>
                <w:color w:val="000000"/>
              </w:rPr>
            </w:pPr>
            <w:r w:rsidRPr="00CA0AE3">
              <w:rPr>
                <w:rFonts w:ascii="Times New Roman" w:hAnsi="Times New Roman" w:cs="Times New Roman"/>
                <w:color w:val="000000"/>
              </w:rPr>
              <w:t>$2</w:t>
            </w:r>
            <w:r w:rsidR="00776F71" w:rsidRPr="00CA0AE3">
              <w:rPr>
                <w:rFonts w:ascii="Times New Roman" w:hAnsi="Times New Roman" w:cs="Times New Roman"/>
                <w:color w:val="000000"/>
              </w:rPr>
              <w:t>4</w:t>
            </w:r>
            <w:r w:rsidRPr="00CA0AE3">
              <w:rPr>
                <w:rFonts w:ascii="Times New Roman" w:hAnsi="Times New Roman" w:cs="Times New Roman"/>
                <w:color w:val="000000"/>
              </w:rPr>
              <w:t>.</w:t>
            </w:r>
            <w:r w:rsidR="00776F71" w:rsidRPr="00CA0AE3">
              <w:rPr>
                <w:rFonts w:ascii="Times New Roman" w:hAnsi="Times New Roman" w:cs="Times New Roman"/>
                <w:color w:val="000000"/>
              </w:rPr>
              <w:t>3</w:t>
            </w:r>
            <w:r w:rsidRPr="00CA0AE3">
              <w:rPr>
                <w:rFonts w:ascii="Times New Roman" w:hAnsi="Times New Roman" w:cs="Times New Roman"/>
                <w:color w:val="000000"/>
              </w:rPr>
              <w:t>M</w:t>
            </w:r>
          </w:p>
        </w:tc>
        <w:tc>
          <w:tcPr>
            <w:tcW w:w="376" w:type="pct"/>
            <w:vAlign w:val="center"/>
          </w:tcPr>
          <w:p w:rsidR="00DE7515" w:rsidRPr="00CA0AE3" w:rsidRDefault="00DE7515" w:rsidP="0054776A">
            <w:pPr>
              <w:spacing w:after="0" w:line="240" w:lineRule="auto"/>
              <w:jc w:val="right"/>
              <w:rPr>
                <w:rFonts w:ascii="Times New Roman" w:eastAsiaTheme="minorHAnsi" w:hAnsi="Times New Roman" w:cs="Times New Roman"/>
              </w:rPr>
            </w:pPr>
            <w:r w:rsidRPr="00CA0AE3">
              <w:rPr>
                <w:rFonts w:ascii="Times New Roman" w:eastAsiaTheme="minorHAnsi" w:hAnsi="Times New Roman" w:cs="Times New Roman"/>
                <w:color w:val="000000"/>
              </w:rPr>
              <w:t>85%</w:t>
            </w:r>
          </w:p>
        </w:tc>
        <w:tc>
          <w:tcPr>
            <w:tcW w:w="949" w:type="pct"/>
            <w:vAlign w:val="bottom"/>
          </w:tcPr>
          <w:p w:rsidR="00DE7515" w:rsidRPr="00CA0AE3" w:rsidRDefault="00DE7515" w:rsidP="0054776A">
            <w:pPr>
              <w:spacing w:after="0" w:line="240" w:lineRule="auto"/>
              <w:jc w:val="right"/>
              <w:rPr>
                <w:rFonts w:ascii="Times New Roman" w:hAnsi="Times New Roman" w:cs="Times New Roman"/>
                <w:color w:val="000000"/>
              </w:rPr>
            </w:pPr>
            <w:r w:rsidRPr="00CA0AE3">
              <w:rPr>
                <w:rFonts w:ascii="Times New Roman" w:hAnsi="Times New Roman" w:cs="Times New Roman"/>
                <w:color w:val="000000"/>
              </w:rPr>
              <w:t>$</w:t>
            </w:r>
            <w:r w:rsidR="00565E5C" w:rsidRPr="00CA0AE3">
              <w:rPr>
                <w:rFonts w:ascii="Times New Roman" w:hAnsi="Times New Roman" w:cs="Times New Roman"/>
                <w:color w:val="000000"/>
              </w:rPr>
              <w:t>206</w:t>
            </w:r>
            <w:r w:rsidRPr="00CA0AE3">
              <w:rPr>
                <w:rFonts w:ascii="Times New Roman" w:hAnsi="Times New Roman" w:cs="Times New Roman"/>
                <w:color w:val="000000"/>
              </w:rPr>
              <w:t>.</w:t>
            </w:r>
            <w:r w:rsidR="00565E5C" w:rsidRPr="00CA0AE3">
              <w:rPr>
                <w:rFonts w:ascii="Times New Roman" w:hAnsi="Times New Roman" w:cs="Times New Roman"/>
                <w:color w:val="000000"/>
              </w:rPr>
              <w:t>5</w:t>
            </w:r>
            <w:r w:rsidRPr="00CA0AE3">
              <w:rPr>
                <w:rFonts w:ascii="Times New Roman" w:hAnsi="Times New Roman" w:cs="Times New Roman"/>
                <w:color w:val="000000"/>
              </w:rPr>
              <w:t>5M</w:t>
            </w:r>
          </w:p>
        </w:tc>
        <w:tc>
          <w:tcPr>
            <w:tcW w:w="816" w:type="pct"/>
            <w:vAlign w:val="bottom"/>
          </w:tcPr>
          <w:p w:rsidR="00DE7515" w:rsidRPr="00CA0AE3" w:rsidRDefault="00DE7515" w:rsidP="0054776A">
            <w:pPr>
              <w:spacing w:after="0" w:line="240" w:lineRule="auto"/>
              <w:jc w:val="right"/>
              <w:rPr>
                <w:rFonts w:ascii="Times New Roman" w:hAnsi="Times New Roman" w:cs="Times New Roman"/>
                <w:color w:val="000000"/>
              </w:rPr>
            </w:pPr>
            <w:r w:rsidRPr="00CA0AE3">
              <w:rPr>
                <w:rFonts w:ascii="Times New Roman" w:hAnsi="Times New Roman" w:cs="Times New Roman"/>
                <w:color w:val="000000"/>
              </w:rPr>
              <w:t>$2</w:t>
            </w:r>
            <w:r w:rsidR="007F1D67" w:rsidRPr="00CA0AE3">
              <w:rPr>
                <w:rFonts w:ascii="Times New Roman" w:hAnsi="Times New Roman" w:cs="Times New Roman"/>
                <w:color w:val="000000"/>
              </w:rPr>
              <w:t>4</w:t>
            </w:r>
            <w:r w:rsidRPr="00CA0AE3">
              <w:rPr>
                <w:rFonts w:ascii="Times New Roman" w:hAnsi="Times New Roman" w:cs="Times New Roman"/>
                <w:color w:val="000000"/>
              </w:rPr>
              <w:t>3M</w:t>
            </w:r>
          </w:p>
        </w:tc>
      </w:tr>
      <w:tr w:rsidR="00DE7515" w:rsidRPr="00CA0AE3" w:rsidTr="000664D4">
        <w:tc>
          <w:tcPr>
            <w:tcW w:w="542" w:type="pct"/>
            <w:vAlign w:val="center"/>
          </w:tcPr>
          <w:p w:rsidR="00DE7515" w:rsidRPr="00CA0AE3" w:rsidRDefault="00DE7515" w:rsidP="0054776A">
            <w:pPr>
              <w:spacing w:after="0" w:line="240" w:lineRule="auto"/>
              <w:rPr>
                <w:rFonts w:ascii="Times New Roman" w:eastAsiaTheme="minorHAnsi" w:hAnsi="Times New Roman" w:cs="Times New Roman"/>
              </w:rPr>
            </w:pPr>
            <w:r w:rsidRPr="00CA0AE3">
              <w:rPr>
                <w:rFonts w:ascii="Times New Roman" w:eastAsiaTheme="minorHAnsi" w:hAnsi="Times New Roman" w:cs="Times New Roman"/>
              </w:rPr>
              <w:t>DY 23</w:t>
            </w:r>
          </w:p>
        </w:tc>
        <w:tc>
          <w:tcPr>
            <w:tcW w:w="376" w:type="pct"/>
            <w:vAlign w:val="center"/>
          </w:tcPr>
          <w:p w:rsidR="00DE7515" w:rsidRPr="00CA0AE3" w:rsidRDefault="00DE7515" w:rsidP="0054776A">
            <w:pPr>
              <w:spacing w:after="0" w:line="240" w:lineRule="auto"/>
              <w:jc w:val="right"/>
              <w:rPr>
                <w:rFonts w:ascii="Times New Roman" w:eastAsiaTheme="minorHAnsi" w:hAnsi="Times New Roman" w:cs="Times New Roman"/>
              </w:rPr>
            </w:pPr>
            <w:r w:rsidRPr="00CA0AE3">
              <w:rPr>
                <w:rFonts w:ascii="Times New Roman" w:eastAsiaTheme="minorHAnsi" w:hAnsi="Times New Roman" w:cs="Times New Roman"/>
                <w:color w:val="000000"/>
              </w:rPr>
              <w:t>10%</w:t>
            </w:r>
          </w:p>
        </w:tc>
        <w:tc>
          <w:tcPr>
            <w:tcW w:w="750" w:type="pct"/>
            <w:vAlign w:val="bottom"/>
          </w:tcPr>
          <w:p w:rsidR="00DE7515" w:rsidRPr="00CA0AE3" w:rsidRDefault="00DE7515" w:rsidP="0054776A">
            <w:pPr>
              <w:spacing w:after="0" w:line="240" w:lineRule="auto"/>
              <w:jc w:val="right"/>
              <w:rPr>
                <w:rFonts w:ascii="Times New Roman" w:hAnsi="Times New Roman" w:cs="Times New Roman"/>
                <w:color w:val="000000"/>
              </w:rPr>
            </w:pPr>
            <w:r w:rsidRPr="00CA0AE3">
              <w:rPr>
                <w:rFonts w:ascii="Times New Roman" w:hAnsi="Times New Roman" w:cs="Times New Roman"/>
                <w:color w:val="000000"/>
              </w:rPr>
              <w:t>$10M</w:t>
            </w:r>
          </w:p>
        </w:tc>
        <w:tc>
          <w:tcPr>
            <w:tcW w:w="376" w:type="pct"/>
            <w:vAlign w:val="center"/>
          </w:tcPr>
          <w:p w:rsidR="00DE7515" w:rsidRPr="00CA0AE3" w:rsidRDefault="00DE7515" w:rsidP="0054776A">
            <w:pPr>
              <w:spacing w:after="0" w:line="240" w:lineRule="auto"/>
              <w:jc w:val="right"/>
              <w:rPr>
                <w:rFonts w:ascii="Times New Roman" w:eastAsiaTheme="minorHAnsi" w:hAnsi="Times New Roman" w:cs="Times New Roman"/>
              </w:rPr>
            </w:pPr>
            <w:r w:rsidRPr="00CA0AE3">
              <w:rPr>
                <w:rFonts w:ascii="Times New Roman" w:eastAsiaTheme="minorHAnsi" w:hAnsi="Times New Roman" w:cs="Times New Roman"/>
                <w:color w:val="000000"/>
              </w:rPr>
              <w:t>10%</w:t>
            </w:r>
          </w:p>
        </w:tc>
        <w:tc>
          <w:tcPr>
            <w:tcW w:w="816" w:type="pct"/>
            <w:vAlign w:val="bottom"/>
          </w:tcPr>
          <w:p w:rsidR="00DE7515" w:rsidRPr="00CA0AE3" w:rsidRDefault="00DE7515" w:rsidP="0054776A">
            <w:pPr>
              <w:spacing w:after="0" w:line="240" w:lineRule="auto"/>
              <w:jc w:val="right"/>
              <w:rPr>
                <w:rFonts w:ascii="Times New Roman" w:hAnsi="Times New Roman" w:cs="Times New Roman"/>
                <w:color w:val="000000"/>
              </w:rPr>
            </w:pPr>
            <w:r w:rsidRPr="00CA0AE3">
              <w:rPr>
                <w:rFonts w:ascii="Times New Roman" w:hAnsi="Times New Roman" w:cs="Times New Roman"/>
                <w:color w:val="000000"/>
              </w:rPr>
              <w:t>$10M</w:t>
            </w:r>
          </w:p>
        </w:tc>
        <w:tc>
          <w:tcPr>
            <w:tcW w:w="376" w:type="pct"/>
            <w:vAlign w:val="center"/>
          </w:tcPr>
          <w:p w:rsidR="00DE7515" w:rsidRPr="00CA0AE3" w:rsidRDefault="00DE7515" w:rsidP="0054776A">
            <w:pPr>
              <w:spacing w:after="0" w:line="240" w:lineRule="auto"/>
              <w:jc w:val="right"/>
              <w:rPr>
                <w:rFonts w:ascii="Times New Roman" w:eastAsiaTheme="minorHAnsi" w:hAnsi="Times New Roman" w:cs="Times New Roman"/>
              </w:rPr>
            </w:pPr>
            <w:r w:rsidRPr="00CA0AE3">
              <w:rPr>
                <w:rFonts w:ascii="Times New Roman" w:eastAsiaTheme="minorHAnsi" w:hAnsi="Times New Roman" w:cs="Times New Roman"/>
                <w:color w:val="000000"/>
              </w:rPr>
              <w:t>80%</w:t>
            </w:r>
          </w:p>
        </w:tc>
        <w:tc>
          <w:tcPr>
            <w:tcW w:w="949" w:type="pct"/>
            <w:vAlign w:val="bottom"/>
          </w:tcPr>
          <w:p w:rsidR="00DE7515" w:rsidRPr="00CA0AE3" w:rsidRDefault="00DE7515" w:rsidP="0054776A">
            <w:pPr>
              <w:spacing w:after="0" w:line="240" w:lineRule="auto"/>
              <w:jc w:val="right"/>
              <w:rPr>
                <w:rFonts w:ascii="Times New Roman" w:hAnsi="Times New Roman" w:cs="Times New Roman"/>
                <w:color w:val="000000"/>
              </w:rPr>
            </w:pPr>
            <w:r w:rsidRPr="00CA0AE3">
              <w:rPr>
                <w:rFonts w:ascii="Times New Roman" w:hAnsi="Times New Roman" w:cs="Times New Roman"/>
                <w:color w:val="000000"/>
              </w:rPr>
              <w:t>$</w:t>
            </w:r>
            <w:r w:rsidR="00565E5C" w:rsidRPr="00CA0AE3">
              <w:rPr>
                <w:rFonts w:ascii="Times New Roman" w:hAnsi="Times New Roman" w:cs="Times New Roman"/>
                <w:color w:val="000000"/>
              </w:rPr>
              <w:t>8</w:t>
            </w:r>
            <w:r w:rsidR="00892D70" w:rsidRPr="00CA0AE3">
              <w:rPr>
                <w:rFonts w:ascii="Times New Roman" w:hAnsi="Times New Roman" w:cs="Times New Roman"/>
                <w:color w:val="000000"/>
              </w:rPr>
              <w:t>0</w:t>
            </w:r>
            <w:r w:rsidRPr="00CA0AE3">
              <w:rPr>
                <w:rFonts w:ascii="Times New Roman" w:hAnsi="Times New Roman" w:cs="Times New Roman"/>
                <w:color w:val="000000"/>
              </w:rPr>
              <w:t>M</w:t>
            </w:r>
          </w:p>
        </w:tc>
        <w:tc>
          <w:tcPr>
            <w:tcW w:w="816" w:type="pct"/>
            <w:vAlign w:val="bottom"/>
          </w:tcPr>
          <w:p w:rsidR="00DE7515" w:rsidRPr="00CA0AE3" w:rsidRDefault="00DE7515" w:rsidP="0054776A">
            <w:pPr>
              <w:spacing w:after="0" w:line="240" w:lineRule="auto"/>
              <w:jc w:val="right"/>
              <w:rPr>
                <w:rFonts w:ascii="Times New Roman" w:hAnsi="Times New Roman" w:cs="Times New Roman"/>
                <w:color w:val="000000"/>
              </w:rPr>
            </w:pPr>
            <w:r w:rsidRPr="00CA0AE3">
              <w:rPr>
                <w:rFonts w:ascii="Times New Roman" w:hAnsi="Times New Roman" w:cs="Times New Roman"/>
                <w:color w:val="000000"/>
              </w:rPr>
              <w:t>$100M</w:t>
            </w:r>
          </w:p>
        </w:tc>
      </w:tr>
      <w:tr w:rsidR="00DE7515" w:rsidRPr="00CA0AE3" w:rsidTr="000664D4">
        <w:tc>
          <w:tcPr>
            <w:tcW w:w="542" w:type="pct"/>
            <w:vAlign w:val="center"/>
          </w:tcPr>
          <w:p w:rsidR="00DE7515" w:rsidRPr="00CA0AE3" w:rsidRDefault="00DE7515" w:rsidP="0054776A">
            <w:pPr>
              <w:spacing w:after="0" w:line="240" w:lineRule="auto"/>
              <w:rPr>
                <w:rFonts w:ascii="Times New Roman" w:eastAsiaTheme="minorHAnsi" w:hAnsi="Times New Roman" w:cs="Times New Roman"/>
              </w:rPr>
            </w:pPr>
            <w:r w:rsidRPr="00CA0AE3">
              <w:rPr>
                <w:rFonts w:ascii="Times New Roman" w:eastAsiaTheme="minorHAnsi" w:hAnsi="Times New Roman" w:cs="Times New Roman"/>
              </w:rPr>
              <w:t>DY 24</w:t>
            </w:r>
          </w:p>
        </w:tc>
        <w:tc>
          <w:tcPr>
            <w:tcW w:w="376" w:type="pct"/>
            <w:vAlign w:val="center"/>
          </w:tcPr>
          <w:p w:rsidR="00DE7515" w:rsidRPr="00CA0AE3" w:rsidRDefault="00DE7515" w:rsidP="0054776A">
            <w:pPr>
              <w:spacing w:after="0" w:line="240" w:lineRule="auto"/>
              <w:jc w:val="right"/>
              <w:rPr>
                <w:rFonts w:ascii="Times New Roman" w:eastAsiaTheme="minorHAnsi" w:hAnsi="Times New Roman" w:cs="Times New Roman"/>
              </w:rPr>
            </w:pPr>
            <w:r w:rsidRPr="00CA0AE3">
              <w:rPr>
                <w:rFonts w:ascii="Times New Roman" w:eastAsiaTheme="minorHAnsi" w:hAnsi="Times New Roman" w:cs="Times New Roman"/>
                <w:color w:val="000000"/>
              </w:rPr>
              <w:t>15%</w:t>
            </w:r>
          </w:p>
        </w:tc>
        <w:tc>
          <w:tcPr>
            <w:tcW w:w="750" w:type="pct"/>
            <w:vAlign w:val="bottom"/>
          </w:tcPr>
          <w:p w:rsidR="00DE7515" w:rsidRPr="00CA0AE3" w:rsidRDefault="00DE7515" w:rsidP="0054776A">
            <w:pPr>
              <w:spacing w:after="0" w:line="240" w:lineRule="auto"/>
              <w:jc w:val="right"/>
              <w:rPr>
                <w:rFonts w:ascii="Times New Roman" w:hAnsi="Times New Roman" w:cs="Times New Roman"/>
                <w:color w:val="000000"/>
              </w:rPr>
            </w:pPr>
            <w:r w:rsidRPr="00CA0AE3">
              <w:rPr>
                <w:rFonts w:ascii="Times New Roman" w:hAnsi="Times New Roman" w:cs="Times New Roman"/>
                <w:color w:val="000000"/>
              </w:rPr>
              <w:t>$15M</w:t>
            </w:r>
          </w:p>
        </w:tc>
        <w:tc>
          <w:tcPr>
            <w:tcW w:w="376" w:type="pct"/>
            <w:vAlign w:val="center"/>
          </w:tcPr>
          <w:p w:rsidR="00DE7515" w:rsidRPr="00CA0AE3" w:rsidRDefault="00DE7515" w:rsidP="0054776A">
            <w:pPr>
              <w:spacing w:after="0" w:line="240" w:lineRule="auto"/>
              <w:jc w:val="right"/>
              <w:rPr>
                <w:rFonts w:ascii="Times New Roman" w:eastAsiaTheme="minorHAnsi" w:hAnsi="Times New Roman" w:cs="Times New Roman"/>
              </w:rPr>
            </w:pPr>
            <w:r w:rsidRPr="00CA0AE3">
              <w:rPr>
                <w:rFonts w:ascii="Times New Roman" w:eastAsiaTheme="minorHAnsi" w:hAnsi="Times New Roman" w:cs="Times New Roman"/>
                <w:color w:val="000000"/>
              </w:rPr>
              <w:t>10%</w:t>
            </w:r>
          </w:p>
        </w:tc>
        <w:tc>
          <w:tcPr>
            <w:tcW w:w="816" w:type="pct"/>
            <w:vAlign w:val="bottom"/>
          </w:tcPr>
          <w:p w:rsidR="00DE7515" w:rsidRPr="00CA0AE3" w:rsidRDefault="00DE7515" w:rsidP="0054776A">
            <w:pPr>
              <w:spacing w:after="0" w:line="240" w:lineRule="auto"/>
              <w:jc w:val="right"/>
              <w:rPr>
                <w:rFonts w:ascii="Times New Roman" w:hAnsi="Times New Roman" w:cs="Times New Roman"/>
                <w:color w:val="000000"/>
              </w:rPr>
            </w:pPr>
            <w:r w:rsidRPr="00CA0AE3">
              <w:rPr>
                <w:rFonts w:ascii="Times New Roman" w:hAnsi="Times New Roman" w:cs="Times New Roman"/>
                <w:color w:val="000000"/>
              </w:rPr>
              <w:t>$10M</w:t>
            </w:r>
          </w:p>
        </w:tc>
        <w:tc>
          <w:tcPr>
            <w:tcW w:w="376" w:type="pct"/>
            <w:vAlign w:val="center"/>
          </w:tcPr>
          <w:p w:rsidR="00DE7515" w:rsidRPr="00CA0AE3" w:rsidRDefault="00DE7515" w:rsidP="0054776A">
            <w:pPr>
              <w:spacing w:after="0" w:line="240" w:lineRule="auto"/>
              <w:jc w:val="right"/>
              <w:rPr>
                <w:rFonts w:ascii="Times New Roman" w:eastAsiaTheme="minorHAnsi" w:hAnsi="Times New Roman" w:cs="Times New Roman"/>
              </w:rPr>
            </w:pPr>
            <w:r w:rsidRPr="00CA0AE3">
              <w:rPr>
                <w:rFonts w:ascii="Times New Roman" w:eastAsiaTheme="minorHAnsi" w:hAnsi="Times New Roman" w:cs="Times New Roman"/>
                <w:color w:val="000000"/>
              </w:rPr>
              <w:t>75%</w:t>
            </w:r>
          </w:p>
        </w:tc>
        <w:tc>
          <w:tcPr>
            <w:tcW w:w="949" w:type="pct"/>
            <w:vAlign w:val="bottom"/>
          </w:tcPr>
          <w:p w:rsidR="00DE7515" w:rsidRPr="00CA0AE3" w:rsidRDefault="00DE7515" w:rsidP="0054776A">
            <w:pPr>
              <w:spacing w:after="0" w:line="240" w:lineRule="auto"/>
              <w:jc w:val="right"/>
              <w:rPr>
                <w:rFonts w:ascii="Times New Roman" w:hAnsi="Times New Roman" w:cs="Times New Roman"/>
                <w:color w:val="000000"/>
              </w:rPr>
            </w:pPr>
            <w:r w:rsidRPr="00CA0AE3">
              <w:rPr>
                <w:rFonts w:ascii="Times New Roman" w:hAnsi="Times New Roman" w:cs="Times New Roman"/>
                <w:color w:val="000000"/>
              </w:rPr>
              <w:t>$75M</w:t>
            </w:r>
          </w:p>
        </w:tc>
        <w:tc>
          <w:tcPr>
            <w:tcW w:w="816" w:type="pct"/>
            <w:vAlign w:val="bottom"/>
          </w:tcPr>
          <w:p w:rsidR="00DE7515" w:rsidRPr="00CA0AE3" w:rsidRDefault="00DE7515" w:rsidP="0054776A">
            <w:pPr>
              <w:spacing w:after="0" w:line="240" w:lineRule="auto"/>
              <w:jc w:val="right"/>
              <w:rPr>
                <w:rFonts w:ascii="Times New Roman" w:hAnsi="Times New Roman" w:cs="Times New Roman"/>
                <w:color w:val="000000"/>
              </w:rPr>
            </w:pPr>
            <w:r w:rsidRPr="00CA0AE3">
              <w:rPr>
                <w:rFonts w:ascii="Times New Roman" w:hAnsi="Times New Roman" w:cs="Times New Roman"/>
                <w:color w:val="000000"/>
              </w:rPr>
              <w:t>$100M</w:t>
            </w:r>
          </w:p>
        </w:tc>
      </w:tr>
      <w:tr w:rsidR="00DE7515" w:rsidRPr="00CA0AE3" w:rsidTr="000664D4">
        <w:tc>
          <w:tcPr>
            <w:tcW w:w="542" w:type="pct"/>
            <w:vAlign w:val="center"/>
          </w:tcPr>
          <w:p w:rsidR="00DE7515" w:rsidRPr="00CA0AE3" w:rsidRDefault="00DE7515" w:rsidP="0054776A">
            <w:pPr>
              <w:spacing w:after="0" w:line="240" w:lineRule="auto"/>
              <w:rPr>
                <w:rFonts w:ascii="Times New Roman" w:eastAsiaTheme="minorHAnsi" w:hAnsi="Times New Roman" w:cs="Times New Roman"/>
              </w:rPr>
            </w:pPr>
            <w:r w:rsidRPr="00CA0AE3">
              <w:rPr>
                <w:rFonts w:ascii="Times New Roman" w:eastAsiaTheme="minorHAnsi" w:hAnsi="Times New Roman" w:cs="Times New Roman"/>
              </w:rPr>
              <w:t>DY 25</w:t>
            </w:r>
          </w:p>
        </w:tc>
        <w:tc>
          <w:tcPr>
            <w:tcW w:w="376" w:type="pct"/>
            <w:vAlign w:val="center"/>
          </w:tcPr>
          <w:p w:rsidR="00DE7515" w:rsidRPr="00CA0AE3" w:rsidRDefault="00DE7515" w:rsidP="0054776A">
            <w:pPr>
              <w:spacing w:after="0" w:line="240" w:lineRule="auto"/>
              <w:jc w:val="right"/>
              <w:rPr>
                <w:rFonts w:ascii="Times New Roman" w:eastAsiaTheme="minorHAnsi" w:hAnsi="Times New Roman" w:cs="Times New Roman"/>
              </w:rPr>
            </w:pPr>
            <w:r w:rsidRPr="00CA0AE3">
              <w:rPr>
                <w:rFonts w:ascii="Times New Roman" w:eastAsiaTheme="minorHAnsi" w:hAnsi="Times New Roman" w:cs="Times New Roman"/>
                <w:color w:val="000000"/>
              </w:rPr>
              <w:t>20%</w:t>
            </w:r>
          </w:p>
        </w:tc>
        <w:tc>
          <w:tcPr>
            <w:tcW w:w="750" w:type="pct"/>
            <w:vAlign w:val="bottom"/>
          </w:tcPr>
          <w:p w:rsidR="00DE7515" w:rsidRPr="00CA0AE3" w:rsidRDefault="00DE7515" w:rsidP="0054776A">
            <w:pPr>
              <w:spacing w:after="0" w:line="240" w:lineRule="auto"/>
              <w:jc w:val="right"/>
              <w:rPr>
                <w:rFonts w:ascii="Times New Roman" w:hAnsi="Times New Roman" w:cs="Times New Roman"/>
                <w:color w:val="000000"/>
              </w:rPr>
            </w:pPr>
            <w:r w:rsidRPr="00CA0AE3">
              <w:rPr>
                <w:rFonts w:ascii="Times New Roman" w:hAnsi="Times New Roman" w:cs="Times New Roman"/>
                <w:color w:val="000000"/>
              </w:rPr>
              <w:t>$</w:t>
            </w:r>
            <w:r w:rsidR="00776F71" w:rsidRPr="00CA0AE3">
              <w:rPr>
                <w:rFonts w:ascii="Times New Roman" w:hAnsi="Times New Roman" w:cs="Times New Roman"/>
                <w:color w:val="000000"/>
              </w:rPr>
              <w:t>2</w:t>
            </w:r>
            <w:r w:rsidRPr="00CA0AE3">
              <w:rPr>
                <w:rFonts w:ascii="Times New Roman" w:hAnsi="Times New Roman" w:cs="Times New Roman"/>
                <w:color w:val="000000"/>
              </w:rPr>
              <w:t>0M</w:t>
            </w:r>
          </w:p>
        </w:tc>
        <w:tc>
          <w:tcPr>
            <w:tcW w:w="376" w:type="pct"/>
            <w:vAlign w:val="center"/>
          </w:tcPr>
          <w:p w:rsidR="00DE7515" w:rsidRPr="00CA0AE3" w:rsidRDefault="00DE7515" w:rsidP="0054776A">
            <w:pPr>
              <w:spacing w:after="0" w:line="240" w:lineRule="auto"/>
              <w:jc w:val="right"/>
              <w:rPr>
                <w:rFonts w:ascii="Times New Roman" w:eastAsiaTheme="minorHAnsi" w:hAnsi="Times New Roman" w:cs="Times New Roman"/>
              </w:rPr>
            </w:pPr>
            <w:r w:rsidRPr="00CA0AE3">
              <w:rPr>
                <w:rFonts w:ascii="Times New Roman" w:eastAsiaTheme="minorHAnsi" w:hAnsi="Times New Roman" w:cs="Times New Roman"/>
                <w:color w:val="000000"/>
              </w:rPr>
              <w:t>10%</w:t>
            </w:r>
          </w:p>
        </w:tc>
        <w:tc>
          <w:tcPr>
            <w:tcW w:w="816" w:type="pct"/>
            <w:vAlign w:val="bottom"/>
          </w:tcPr>
          <w:p w:rsidR="00DE7515" w:rsidRPr="00CA0AE3" w:rsidRDefault="00DE7515" w:rsidP="0054776A">
            <w:pPr>
              <w:spacing w:after="0" w:line="240" w:lineRule="auto"/>
              <w:jc w:val="right"/>
              <w:rPr>
                <w:rFonts w:ascii="Times New Roman" w:hAnsi="Times New Roman" w:cs="Times New Roman"/>
                <w:color w:val="000000"/>
              </w:rPr>
            </w:pPr>
            <w:r w:rsidRPr="00CA0AE3">
              <w:rPr>
                <w:rFonts w:ascii="Times New Roman" w:hAnsi="Times New Roman" w:cs="Times New Roman"/>
                <w:color w:val="000000"/>
              </w:rPr>
              <w:t>$</w:t>
            </w:r>
            <w:r w:rsidR="00776F71" w:rsidRPr="00CA0AE3">
              <w:rPr>
                <w:rFonts w:ascii="Times New Roman" w:hAnsi="Times New Roman" w:cs="Times New Roman"/>
                <w:color w:val="000000"/>
              </w:rPr>
              <w:t>1</w:t>
            </w:r>
            <w:r w:rsidRPr="00CA0AE3">
              <w:rPr>
                <w:rFonts w:ascii="Times New Roman" w:hAnsi="Times New Roman" w:cs="Times New Roman"/>
                <w:color w:val="000000"/>
              </w:rPr>
              <w:t>0M</w:t>
            </w:r>
          </w:p>
        </w:tc>
        <w:tc>
          <w:tcPr>
            <w:tcW w:w="376" w:type="pct"/>
            <w:vAlign w:val="center"/>
          </w:tcPr>
          <w:p w:rsidR="00DE7515" w:rsidRPr="00CA0AE3" w:rsidRDefault="00DE7515" w:rsidP="0054776A">
            <w:pPr>
              <w:spacing w:after="0" w:line="240" w:lineRule="auto"/>
              <w:jc w:val="right"/>
              <w:rPr>
                <w:rFonts w:ascii="Times New Roman" w:eastAsiaTheme="minorHAnsi" w:hAnsi="Times New Roman" w:cs="Times New Roman"/>
              </w:rPr>
            </w:pPr>
            <w:r w:rsidRPr="00CA0AE3">
              <w:rPr>
                <w:rFonts w:ascii="Times New Roman" w:eastAsiaTheme="minorHAnsi" w:hAnsi="Times New Roman" w:cs="Times New Roman"/>
                <w:color w:val="000000"/>
              </w:rPr>
              <w:t>70%</w:t>
            </w:r>
          </w:p>
        </w:tc>
        <w:tc>
          <w:tcPr>
            <w:tcW w:w="949" w:type="pct"/>
            <w:vAlign w:val="bottom"/>
          </w:tcPr>
          <w:p w:rsidR="00DE7515" w:rsidRPr="00CA0AE3" w:rsidRDefault="00DE7515" w:rsidP="0054776A">
            <w:pPr>
              <w:spacing w:after="0" w:line="240" w:lineRule="auto"/>
              <w:jc w:val="right"/>
              <w:rPr>
                <w:rFonts w:ascii="Times New Roman" w:hAnsi="Times New Roman" w:cs="Times New Roman"/>
                <w:color w:val="000000"/>
              </w:rPr>
            </w:pPr>
            <w:r w:rsidRPr="00CA0AE3">
              <w:rPr>
                <w:rFonts w:ascii="Times New Roman" w:hAnsi="Times New Roman" w:cs="Times New Roman"/>
                <w:color w:val="000000"/>
              </w:rPr>
              <w:t>$</w:t>
            </w:r>
            <w:r w:rsidR="00565E5C" w:rsidRPr="00CA0AE3">
              <w:rPr>
                <w:rFonts w:ascii="Times New Roman" w:hAnsi="Times New Roman" w:cs="Times New Roman"/>
                <w:color w:val="000000"/>
              </w:rPr>
              <w:t>7</w:t>
            </w:r>
            <w:r w:rsidR="00035022" w:rsidRPr="00CA0AE3">
              <w:rPr>
                <w:rFonts w:ascii="Times New Roman" w:hAnsi="Times New Roman" w:cs="Times New Roman"/>
                <w:color w:val="000000"/>
              </w:rPr>
              <w:t>0</w:t>
            </w:r>
            <w:r w:rsidRPr="00CA0AE3">
              <w:rPr>
                <w:rFonts w:ascii="Times New Roman" w:hAnsi="Times New Roman" w:cs="Times New Roman"/>
                <w:color w:val="000000"/>
              </w:rPr>
              <w:t>M</w:t>
            </w:r>
          </w:p>
        </w:tc>
        <w:tc>
          <w:tcPr>
            <w:tcW w:w="816" w:type="pct"/>
            <w:vAlign w:val="bottom"/>
          </w:tcPr>
          <w:p w:rsidR="00DE7515" w:rsidRPr="00CA0AE3" w:rsidRDefault="00DE7515" w:rsidP="0054776A">
            <w:pPr>
              <w:spacing w:after="0" w:line="240" w:lineRule="auto"/>
              <w:jc w:val="right"/>
              <w:rPr>
                <w:rFonts w:ascii="Times New Roman" w:hAnsi="Times New Roman" w:cs="Times New Roman"/>
                <w:color w:val="000000"/>
              </w:rPr>
            </w:pPr>
            <w:r w:rsidRPr="00CA0AE3">
              <w:rPr>
                <w:rFonts w:ascii="Times New Roman" w:hAnsi="Times New Roman" w:cs="Times New Roman"/>
                <w:color w:val="000000"/>
              </w:rPr>
              <w:t>$</w:t>
            </w:r>
            <w:r w:rsidR="007F1D67" w:rsidRPr="00CA0AE3">
              <w:rPr>
                <w:rFonts w:ascii="Times New Roman" w:hAnsi="Times New Roman" w:cs="Times New Roman"/>
                <w:color w:val="000000"/>
              </w:rPr>
              <w:t>1</w:t>
            </w:r>
            <w:r w:rsidRPr="00CA0AE3">
              <w:rPr>
                <w:rFonts w:ascii="Times New Roman" w:hAnsi="Times New Roman" w:cs="Times New Roman"/>
                <w:color w:val="000000"/>
              </w:rPr>
              <w:t>00M</w:t>
            </w:r>
          </w:p>
        </w:tc>
      </w:tr>
    </w:tbl>
    <w:p w:rsidR="004A7100" w:rsidRPr="00CA0AE3" w:rsidRDefault="004A7100" w:rsidP="004A7100">
      <w:pPr>
        <w:spacing w:after="0" w:line="240" w:lineRule="auto"/>
        <w:jc w:val="both"/>
        <w:rPr>
          <w:rFonts w:asciiTheme="minorHAnsi" w:eastAsiaTheme="minorHAnsi" w:hAnsiTheme="minorHAnsi" w:cstheme="minorBidi"/>
        </w:rPr>
      </w:pPr>
    </w:p>
    <w:p w:rsidR="001336A1" w:rsidRPr="00CA0AE3" w:rsidRDefault="001336A1" w:rsidP="004A7100">
      <w:pPr>
        <w:pStyle w:val="ListParagraph"/>
        <w:numPr>
          <w:ilvl w:val="2"/>
          <w:numId w:val="30"/>
        </w:numPr>
        <w:spacing w:after="0" w:line="240" w:lineRule="auto"/>
        <w:jc w:val="both"/>
        <w:rPr>
          <w:rFonts w:eastAsiaTheme="minorHAnsi"/>
          <w:u w:val="single"/>
        </w:rPr>
      </w:pPr>
      <w:r w:rsidRPr="00CA0AE3">
        <w:rPr>
          <w:rFonts w:eastAsiaTheme="minorHAnsi"/>
          <w:u w:val="single"/>
        </w:rPr>
        <w:t>Funding for M</w:t>
      </w:r>
      <w:r w:rsidR="00BF7B61" w:rsidRPr="00CA0AE3">
        <w:rPr>
          <w:rFonts w:eastAsiaTheme="minorHAnsi"/>
          <w:u w:val="single"/>
        </w:rPr>
        <w:t>assHealth</w:t>
      </w:r>
      <w:r w:rsidRPr="00CA0AE3">
        <w:rPr>
          <w:rFonts w:eastAsiaTheme="minorHAnsi"/>
          <w:u w:val="single"/>
        </w:rPr>
        <w:t xml:space="preserve"> </w:t>
      </w:r>
      <w:r w:rsidR="00F937E1" w:rsidRPr="00CA0AE3">
        <w:rPr>
          <w:rFonts w:eastAsiaTheme="minorHAnsi"/>
          <w:u w:val="single"/>
        </w:rPr>
        <w:t>DSRIP</w:t>
      </w:r>
      <w:r w:rsidRPr="00CA0AE3">
        <w:rPr>
          <w:rFonts w:eastAsiaTheme="minorHAnsi"/>
          <w:u w:val="single"/>
        </w:rPr>
        <w:t xml:space="preserve"> Performance Accountability for </w:t>
      </w:r>
      <w:r w:rsidR="008E597C" w:rsidRPr="00CA0AE3">
        <w:rPr>
          <w:rFonts w:eastAsiaTheme="minorHAnsi"/>
          <w:u w:val="single"/>
        </w:rPr>
        <w:t>Public Hospital’s</w:t>
      </w:r>
      <w:r w:rsidRPr="00CA0AE3">
        <w:rPr>
          <w:rFonts w:eastAsiaTheme="minorHAnsi"/>
          <w:u w:val="single"/>
        </w:rPr>
        <w:t xml:space="preserve"> </w:t>
      </w:r>
      <w:r w:rsidR="00AB7B69" w:rsidRPr="00CA0AE3">
        <w:rPr>
          <w:rFonts w:eastAsiaTheme="minorHAnsi"/>
          <w:u w:val="single"/>
        </w:rPr>
        <w:t>MassHealth</w:t>
      </w:r>
      <w:r w:rsidRPr="00CA0AE3">
        <w:rPr>
          <w:rFonts w:eastAsiaTheme="minorHAnsi"/>
          <w:u w:val="single"/>
        </w:rPr>
        <w:t xml:space="preserve"> Panel</w:t>
      </w:r>
    </w:p>
    <w:p w:rsidR="00112F0A" w:rsidRPr="00CA0AE3" w:rsidRDefault="00112F0A" w:rsidP="00112F0A">
      <w:pPr>
        <w:spacing w:after="0" w:line="240" w:lineRule="auto"/>
        <w:ind w:left="1080"/>
        <w:jc w:val="both"/>
        <w:rPr>
          <w:rFonts w:eastAsiaTheme="minorHAnsi"/>
        </w:rPr>
      </w:pPr>
      <w:r w:rsidRPr="00CA0AE3">
        <w:rPr>
          <w:rFonts w:eastAsiaTheme="minorHAnsi"/>
        </w:rPr>
        <w:t xml:space="preserve">In </w:t>
      </w:r>
      <w:r w:rsidRPr="00CA0AE3">
        <w:rPr>
          <w:lang w:eastAsia="ja-JP"/>
        </w:rPr>
        <w:t>DY 21</w:t>
      </w:r>
      <w:r w:rsidRPr="00CA0AE3">
        <w:rPr>
          <w:rFonts w:eastAsiaTheme="minorHAnsi"/>
        </w:rPr>
        <w:t xml:space="preserve">, 5% of total PHTII funds are available as incentive payments for </w:t>
      </w:r>
      <w:r w:rsidR="00A933C8" w:rsidRPr="00CA0AE3">
        <w:rPr>
          <w:rFonts w:eastAsiaTheme="minorHAnsi"/>
        </w:rPr>
        <w:t>meeting all qualification criteria for and participating in one of MassHealth’s ACO models for the Public Hospital’s MassHealth primary care patient panel</w:t>
      </w:r>
      <w:r w:rsidRPr="00CA0AE3">
        <w:rPr>
          <w:rFonts w:eastAsiaTheme="minorHAnsi"/>
        </w:rPr>
        <w:t xml:space="preserve">. The funding allocation available for </w:t>
      </w:r>
      <w:r w:rsidR="00A933C8" w:rsidRPr="00CA0AE3">
        <w:rPr>
          <w:rFonts w:eastAsiaTheme="minorHAnsi"/>
        </w:rPr>
        <w:t xml:space="preserve">successful performance on </w:t>
      </w:r>
      <w:r w:rsidRPr="00CA0AE3">
        <w:rPr>
          <w:rFonts w:eastAsiaTheme="minorHAnsi"/>
        </w:rPr>
        <w:t>M</w:t>
      </w:r>
      <w:r w:rsidR="001B7F7A" w:rsidRPr="00CA0AE3">
        <w:rPr>
          <w:rFonts w:eastAsiaTheme="minorHAnsi"/>
        </w:rPr>
        <w:t>assHealth</w:t>
      </w:r>
      <w:r w:rsidRPr="00CA0AE3">
        <w:rPr>
          <w:rFonts w:eastAsiaTheme="minorHAnsi"/>
        </w:rPr>
        <w:t xml:space="preserve"> </w:t>
      </w:r>
      <w:r w:rsidR="001B7F7A" w:rsidRPr="00CA0AE3">
        <w:rPr>
          <w:rFonts w:eastAsiaTheme="minorHAnsi"/>
        </w:rPr>
        <w:t>DSRIP p</w:t>
      </w:r>
      <w:r w:rsidRPr="00CA0AE3">
        <w:rPr>
          <w:rFonts w:eastAsiaTheme="minorHAnsi"/>
        </w:rPr>
        <w:t xml:space="preserve">erformance </w:t>
      </w:r>
      <w:r w:rsidR="001B7F7A" w:rsidRPr="00CA0AE3">
        <w:rPr>
          <w:rFonts w:eastAsiaTheme="minorHAnsi"/>
        </w:rPr>
        <w:t>a</w:t>
      </w:r>
      <w:r w:rsidRPr="00CA0AE3">
        <w:rPr>
          <w:rFonts w:eastAsiaTheme="minorHAnsi"/>
        </w:rPr>
        <w:t xml:space="preserve">ccountability </w:t>
      </w:r>
      <w:r w:rsidR="001B7F7A" w:rsidRPr="00CA0AE3">
        <w:rPr>
          <w:rFonts w:eastAsiaTheme="minorHAnsi"/>
        </w:rPr>
        <w:t xml:space="preserve">measures </w:t>
      </w:r>
      <w:r w:rsidR="00A933C8" w:rsidRPr="00CA0AE3">
        <w:rPr>
          <w:rFonts w:eastAsiaTheme="minorHAnsi"/>
        </w:rPr>
        <w:t xml:space="preserve">for the Public Hospital’s </w:t>
      </w:r>
      <w:r w:rsidR="00977C23" w:rsidRPr="00CA0AE3">
        <w:rPr>
          <w:rFonts w:eastAsiaTheme="minorHAnsi"/>
        </w:rPr>
        <w:t xml:space="preserve">MassHealth </w:t>
      </w:r>
      <w:r w:rsidR="00A933C8" w:rsidRPr="00CA0AE3">
        <w:rPr>
          <w:rFonts w:eastAsiaTheme="minorHAnsi"/>
        </w:rPr>
        <w:t xml:space="preserve">primary care patient panel members </w:t>
      </w:r>
      <w:r w:rsidRPr="00CA0AE3">
        <w:rPr>
          <w:rFonts w:eastAsiaTheme="minorHAnsi"/>
        </w:rPr>
        <w:t>is 5% in DY 22, 10% in DY 23, 15% in DY 24, and 20% in DY 25.</w:t>
      </w:r>
    </w:p>
    <w:p w:rsidR="00082548" w:rsidRPr="00CA0AE3" w:rsidRDefault="00082548" w:rsidP="00112F0A">
      <w:pPr>
        <w:spacing w:after="0" w:line="240" w:lineRule="auto"/>
        <w:ind w:left="1080"/>
        <w:jc w:val="both"/>
        <w:rPr>
          <w:rFonts w:eastAsiaTheme="minorHAnsi"/>
        </w:rPr>
      </w:pPr>
    </w:p>
    <w:p w:rsidR="00E1092C" w:rsidRPr="00CA0AE3" w:rsidRDefault="00E1092C" w:rsidP="00E1092C">
      <w:pPr>
        <w:pStyle w:val="ListParagraph"/>
        <w:numPr>
          <w:ilvl w:val="2"/>
          <w:numId w:val="30"/>
        </w:numPr>
        <w:spacing w:after="0" w:line="240" w:lineRule="auto"/>
        <w:jc w:val="both"/>
        <w:rPr>
          <w:rFonts w:eastAsiaTheme="minorHAnsi"/>
          <w:u w:val="single"/>
        </w:rPr>
      </w:pPr>
      <w:r w:rsidRPr="00CA0AE3">
        <w:rPr>
          <w:rFonts w:eastAsiaTheme="minorHAnsi"/>
          <w:u w:val="single"/>
        </w:rPr>
        <w:t>Funding Allocation for PHTII At Risk Outcomes and Improvement Indicators</w:t>
      </w:r>
    </w:p>
    <w:p w:rsidR="00E1092C" w:rsidRPr="00CA0AE3" w:rsidRDefault="00E1092C" w:rsidP="00C67994">
      <w:pPr>
        <w:spacing w:after="0" w:line="240" w:lineRule="auto"/>
        <w:ind w:left="1080"/>
        <w:jc w:val="both"/>
        <w:rPr>
          <w:rFonts w:eastAsiaTheme="minorHAnsi"/>
        </w:rPr>
      </w:pPr>
      <w:r w:rsidRPr="00CA0AE3">
        <w:rPr>
          <w:rFonts w:eastAsiaTheme="minorHAnsi"/>
        </w:rPr>
        <w:t xml:space="preserve">The amount of funding at risk for performance on the outcome and improvement indicators will be 10% of the total annual PHTII funding in DYs 21 </w:t>
      </w:r>
      <w:r w:rsidR="00C67994" w:rsidRPr="00CA0AE3">
        <w:rPr>
          <w:rFonts w:eastAsiaTheme="minorHAnsi"/>
        </w:rPr>
        <w:t xml:space="preserve">– </w:t>
      </w:r>
      <w:r w:rsidRPr="00CA0AE3">
        <w:rPr>
          <w:rFonts w:eastAsiaTheme="minorHAnsi"/>
        </w:rPr>
        <w:t xml:space="preserve">25. Payment for performance on these outcome milestones will be based on an objective demonstration of improvement using a valid, standardized method, outlined in Section VI, </w:t>
      </w:r>
      <w:r w:rsidR="008D3CB4" w:rsidRPr="00CA0AE3">
        <w:rPr>
          <w:rFonts w:eastAsiaTheme="minorHAnsi"/>
        </w:rPr>
        <w:t xml:space="preserve">paragraph </w:t>
      </w:r>
      <w:r w:rsidR="006879AC" w:rsidRPr="00CA0AE3">
        <w:rPr>
          <w:rFonts w:eastAsiaTheme="minorHAnsi"/>
        </w:rPr>
        <w:t>19</w:t>
      </w:r>
      <w:r w:rsidR="00C67994" w:rsidRPr="00CA0AE3">
        <w:rPr>
          <w:rFonts w:eastAsiaTheme="minorHAnsi"/>
        </w:rPr>
        <w:t xml:space="preserve">. </w:t>
      </w:r>
      <w:r w:rsidRPr="00CA0AE3">
        <w:rPr>
          <w:rFonts w:eastAsiaTheme="minorHAnsi"/>
        </w:rPr>
        <w:t>The defined number of outcome and improvement indicators targeted for achievement in a given demonstration year have an annual base value that is uniform across all indicators within a specific Measure Slate 1 – 5 during a given demonstration year. The annual outcomes and improvement indicator value related to each of the applicable initiatives (Measure Slates 1 – 5) is calculated by dividing the annual total available amount of PHTII outcomes and improvement indicator funds by the number of applicable initiatives</w:t>
      </w:r>
      <w:r w:rsidR="006879AC" w:rsidRPr="00CA0AE3">
        <w:rPr>
          <w:rFonts w:eastAsiaTheme="minorHAnsi"/>
        </w:rPr>
        <w:t xml:space="preserve"> for a given year</w:t>
      </w:r>
      <w:r w:rsidRPr="00CA0AE3">
        <w:rPr>
          <w:rFonts w:eastAsiaTheme="minorHAnsi"/>
        </w:rPr>
        <w:t xml:space="preserve">. </w:t>
      </w:r>
    </w:p>
    <w:p w:rsidR="00E1092C" w:rsidRPr="00CA0AE3" w:rsidRDefault="00E1092C" w:rsidP="00E1092C">
      <w:pPr>
        <w:spacing w:after="0" w:line="240" w:lineRule="auto"/>
        <w:jc w:val="both"/>
        <w:rPr>
          <w:rFonts w:eastAsiaTheme="minorHAnsi"/>
        </w:rPr>
      </w:pPr>
    </w:p>
    <w:tbl>
      <w:tblPr>
        <w:tblStyle w:val="TableGrid"/>
        <w:tblW w:w="4391" w:type="pct"/>
        <w:tblInd w:w="1188" w:type="dxa"/>
        <w:tblLayout w:type="fixed"/>
        <w:tblLook w:val="04A0" w:firstRow="1" w:lastRow="0" w:firstColumn="1" w:lastColumn="0" w:noHBand="0" w:noVBand="1"/>
      </w:tblPr>
      <w:tblGrid>
        <w:gridCol w:w="1395"/>
        <w:gridCol w:w="1395"/>
        <w:gridCol w:w="1395"/>
        <w:gridCol w:w="1395"/>
        <w:gridCol w:w="1395"/>
        <w:gridCol w:w="1394"/>
      </w:tblGrid>
      <w:tr w:rsidR="00E1092C" w:rsidRPr="00CA0AE3" w:rsidTr="00FD2A77">
        <w:trPr>
          <w:cantSplit/>
          <w:trHeight w:val="260"/>
        </w:trPr>
        <w:tc>
          <w:tcPr>
            <w:tcW w:w="833" w:type="pct"/>
            <w:vAlign w:val="center"/>
          </w:tcPr>
          <w:p w:rsidR="00E1092C" w:rsidRPr="00CA0AE3" w:rsidRDefault="00E1092C" w:rsidP="0054776A">
            <w:pPr>
              <w:spacing w:after="0" w:line="240" w:lineRule="auto"/>
              <w:jc w:val="both"/>
              <w:rPr>
                <w:rFonts w:ascii="Times New Roman" w:eastAsiaTheme="minorHAnsi" w:hAnsi="Times New Roman" w:cs="Times New Roman"/>
                <w:b/>
              </w:rPr>
            </w:pPr>
          </w:p>
        </w:tc>
        <w:tc>
          <w:tcPr>
            <w:tcW w:w="833" w:type="pct"/>
            <w:vAlign w:val="center"/>
          </w:tcPr>
          <w:p w:rsidR="00E1092C" w:rsidRPr="00CA0AE3" w:rsidRDefault="00E1092C" w:rsidP="0054776A">
            <w:pPr>
              <w:spacing w:after="0" w:line="240" w:lineRule="auto"/>
              <w:jc w:val="center"/>
              <w:rPr>
                <w:rFonts w:ascii="Times New Roman" w:eastAsiaTheme="minorHAnsi" w:hAnsi="Times New Roman" w:cs="Times New Roman"/>
                <w:b/>
              </w:rPr>
            </w:pPr>
            <w:r w:rsidRPr="00CA0AE3">
              <w:rPr>
                <w:rFonts w:ascii="Times New Roman" w:eastAsiaTheme="minorHAnsi" w:hAnsi="Times New Roman" w:cs="Times New Roman"/>
                <w:b/>
              </w:rPr>
              <w:t>DY 21</w:t>
            </w:r>
          </w:p>
        </w:tc>
        <w:tc>
          <w:tcPr>
            <w:tcW w:w="833" w:type="pct"/>
            <w:vAlign w:val="center"/>
          </w:tcPr>
          <w:p w:rsidR="00E1092C" w:rsidRPr="00CA0AE3" w:rsidRDefault="00E1092C" w:rsidP="0054776A">
            <w:pPr>
              <w:spacing w:after="0" w:line="240" w:lineRule="auto"/>
              <w:jc w:val="center"/>
              <w:rPr>
                <w:rFonts w:ascii="Times New Roman" w:eastAsiaTheme="minorHAnsi" w:hAnsi="Times New Roman" w:cs="Times New Roman"/>
                <w:b/>
              </w:rPr>
            </w:pPr>
            <w:r w:rsidRPr="00CA0AE3">
              <w:rPr>
                <w:rFonts w:ascii="Times New Roman" w:eastAsiaTheme="minorHAnsi" w:hAnsi="Times New Roman" w:cs="Times New Roman"/>
                <w:b/>
              </w:rPr>
              <w:t>DY 22</w:t>
            </w:r>
          </w:p>
        </w:tc>
        <w:tc>
          <w:tcPr>
            <w:tcW w:w="833" w:type="pct"/>
            <w:vAlign w:val="center"/>
          </w:tcPr>
          <w:p w:rsidR="00E1092C" w:rsidRPr="00CA0AE3" w:rsidRDefault="00E1092C" w:rsidP="0054776A">
            <w:pPr>
              <w:spacing w:after="0" w:line="240" w:lineRule="auto"/>
              <w:jc w:val="center"/>
              <w:rPr>
                <w:rFonts w:ascii="Times New Roman" w:eastAsiaTheme="minorHAnsi" w:hAnsi="Times New Roman" w:cs="Times New Roman"/>
                <w:b/>
              </w:rPr>
            </w:pPr>
            <w:r w:rsidRPr="00CA0AE3">
              <w:rPr>
                <w:rFonts w:ascii="Times New Roman" w:eastAsiaTheme="minorHAnsi" w:hAnsi="Times New Roman" w:cs="Times New Roman"/>
                <w:b/>
              </w:rPr>
              <w:t>DY 23</w:t>
            </w:r>
          </w:p>
        </w:tc>
        <w:tc>
          <w:tcPr>
            <w:tcW w:w="833" w:type="pct"/>
            <w:vAlign w:val="center"/>
          </w:tcPr>
          <w:p w:rsidR="00E1092C" w:rsidRPr="00CA0AE3" w:rsidRDefault="00E1092C" w:rsidP="0054776A">
            <w:pPr>
              <w:spacing w:after="0" w:line="240" w:lineRule="auto"/>
              <w:jc w:val="center"/>
              <w:rPr>
                <w:rFonts w:ascii="Times New Roman" w:eastAsiaTheme="minorHAnsi" w:hAnsi="Times New Roman" w:cs="Times New Roman"/>
                <w:b/>
              </w:rPr>
            </w:pPr>
            <w:r w:rsidRPr="00CA0AE3">
              <w:rPr>
                <w:rFonts w:ascii="Times New Roman" w:eastAsiaTheme="minorHAnsi" w:hAnsi="Times New Roman" w:cs="Times New Roman"/>
                <w:b/>
              </w:rPr>
              <w:t>DY 24</w:t>
            </w:r>
          </w:p>
        </w:tc>
        <w:tc>
          <w:tcPr>
            <w:tcW w:w="833" w:type="pct"/>
            <w:vAlign w:val="center"/>
          </w:tcPr>
          <w:p w:rsidR="00E1092C" w:rsidRPr="00CA0AE3" w:rsidRDefault="00E1092C" w:rsidP="0054776A">
            <w:pPr>
              <w:spacing w:after="0" w:line="240" w:lineRule="auto"/>
              <w:jc w:val="center"/>
              <w:rPr>
                <w:rFonts w:ascii="Times New Roman" w:eastAsiaTheme="minorHAnsi" w:hAnsi="Times New Roman" w:cs="Times New Roman"/>
                <w:b/>
              </w:rPr>
            </w:pPr>
            <w:r w:rsidRPr="00CA0AE3">
              <w:rPr>
                <w:rFonts w:ascii="Times New Roman" w:eastAsiaTheme="minorHAnsi" w:hAnsi="Times New Roman" w:cs="Times New Roman"/>
                <w:b/>
              </w:rPr>
              <w:t>DY 25</w:t>
            </w:r>
          </w:p>
        </w:tc>
      </w:tr>
      <w:tr w:rsidR="0054776A" w:rsidRPr="00CA0AE3" w:rsidTr="00FD2A77">
        <w:trPr>
          <w:cantSplit/>
          <w:trHeight w:val="260"/>
        </w:trPr>
        <w:tc>
          <w:tcPr>
            <w:tcW w:w="833" w:type="pct"/>
            <w:vAlign w:val="center"/>
          </w:tcPr>
          <w:p w:rsidR="0054776A" w:rsidRPr="00CA0AE3" w:rsidRDefault="0054776A" w:rsidP="0054776A">
            <w:pPr>
              <w:spacing w:after="0" w:line="240" w:lineRule="auto"/>
              <w:jc w:val="both"/>
              <w:rPr>
                <w:rFonts w:ascii="Times New Roman" w:eastAsiaTheme="minorHAnsi" w:hAnsi="Times New Roman" w:cs="Times New Roman"/>
              </w:rPr>
            </w:pPr>
            <w:r w:rsidRPr="00CA0AE3">
              <w:rPr>
                <w:rFonts w:ascii="Times New Roman" w:eastAsiaTheme="minorHAnsi" w:hAnsi="Times New Roman" w:cs="Times New Roman"/>
              </w:rPr>
              <w:t>Measure Slate 1</w:t>
            </w:r>
          </w:p>
        </w:tc>
        <w:tc>
          <w:tcPr>
            <w:tcW w:w="833" w:type="pct"/>
            <w:vAlign w:val="bottom"/>
          </w:tcPr>
          <w:p w:rsidR="0054776A" w:rsidRPr="00CA0AE3" w:rsidRDefault="0054776A" w:rsidP="0054776A">
            <w:pPr>
              <w:spacing w:after="0" w:line="240" w:lineRule="auto"/>
              <w:jc w:val="right"/>
              <w:rPr>
                <w:rFonts w:ascii="Times New Roman" w:hAnsi="Times New Roman" w:cs="Times New Roman"/>
                <w:color w:val="000000"/>
              </w:rPr>
            </w:pPr>
            <w:r w:rsidRPr="00CA0AE3">
              <w:rPr>
                <w:rFonts w:ascii="Times New Roman" w:hAnsi="Times New Roman" w:cs="Times New Roman"/>
                <w:color w:val="000000"/>
              </w:rPr>
              <w:t>$</w:t>
            </w:r>
            <w:r w:rsidR="003A3868" w:rsidRPr="00CA0AE3">
              <w:rPr>
                <w:rFonts w:ascii="Times New Roman" w:hAnsi="Times New Roman" w:cs="Times New Roman"/>
                <w:color w:val="000000"/>
              </w:rPr>
              <w:t>7.725</w:t>
            </w:r>
            <w:r w:rsidRPr="00CA0AE3">
              <w:rPr>
                <w:rFonts w:ascii="Times New Roman" w:hAnsi="Times New Roman" w:cs="Times New Roman"/>
                <w:color w:val="000000"/>
              </w:rPr>
              <w:t>M</w:t>
            </w:r>
          </w:p>
        </w:tc>
        <w:tc>
          <w:tcPr>
            <w:tcW w:w="833" w:type="pct"/>
            <w:vAlign w:val="bottom"/>
          </w:tcPr>
          <w:p w:rsidR="0054776A" w:rsidRPr="00CA0AE3" w:rsidRDefault="0054776A" w:rsidP="0054776A">
            <w:pPr>
              <w:spacing w:after="0" w:line="240" w:lineRule="auto"/>
              <w:jc w:val="right"/>
              <w:rPr>
                <w:rFonts w:ascii="Times New Roman" w:hAnsi="Times New Roman" w:cs="Times New Roman"/>
                <w:color w:val="000000"/>
              </w:rPr>
            </w:pPr>
            <w:r w:rsidRPr="00CA0AE3">
              <w:rPr>
                <w:rFonts w:ascii="Times New Roman" w:hAnsi="Times New Roman" w:cs="Times New Roman"/>
                <w:color w:val="000000"/>
              </w:rPr>
              <w:t>$</w:t>
            </w:r>
            <w:r w:rsidR="003A3868" w:rsidRPr="00CA0AE3">
              <w:rPr>
                <w:rFonts w:ascii="Times New Roman" w:hAnsi="Times New Roman" w:cs="Times New Roman"/>
                <w:color w:val="000000"/>
              </w:rPr>
              <w:t>6.075</w:t>
            </w:r>
            <w:r w:rsidRPr="00CA0AE3">
              <w:rPr>
                <w:rFonts w:ascii="Times New Roman" w:hAnsi="Times New Roman" w:cs="Times New Roman"/>
                <w:color w:val="000000"/>
              </w:rPr>
              <w:t>M</w:t>
            </w:r>
          </w:p>
        </w:tc>
        <w:tc>
          <w:tcPr>
            <w:tcW w:w="833" w:type="pct"/>
            <w:vAlign w:val="bottom"/>
          </w:tcPr>
          <w:p w:rsidR="0054776A" w:rsidRPr="00CA0AE3" w:rsidRDefault="0054776A" w:rsidP="003A3868">
            <w:pPr>
              <w:spacing w:after="0" w:line="240" w:lineRule="auto"/>
              <w:jc w:val="right"/>
              <w:rPr>
                <w:rFonts w:ascii="Times New Roman" w:hAnsi="Times New Roman" w:cs="Times New Roman"/>
                <w:color w:val="000000"/>
              </w:rPr>
            </w:pPr>
            <w:r w:rsidRPr="00CA0AE3">
              <w:rPr>
                <w:rFonts w:ascii="Times New Roman" w:hAnsi="Times New Roman" w:cs="Times New Roman"/>
                <w:color w:val="000000"/>
              </w:rPr>
              <w:t>$</w:t>
            </w:r>
            <w:r w:rsidR="003A3868" w:rsidRPr="00CA0AE3">
              <w:rPr>
                <w:rFonts w:ascii="Times New Roman" w:hAnsi="Times New Roman" w:cs="Times New Roman"/>
                <w:color w:val="000000"/>
              </w:rPr>
              <w:t>2.5</w:t>
            </w:r>
            <w:r w:rsidRPr="00CA0AE3">
              <w:rPr>
                <w:rFonts w:ascii="Times New Roman" w:hAnsi="Times New Roman" w:cs="Times New Roman"/>
                <w:color w:val="000000"/>
              </w:rPr>
              <w:t>M</w:t>
            </w:r>
          </w:p>
        </w:tc>
        <w:tc>
          <w:tcPr>
            <w:tcW w:w="833" w:type="pct"/>
            <w:vAlign w:val="bottom"/>
          </w:tcPr>
          <w:p w:rsidR="0054776A" w:rsidRPr="00CA0AE3" w:rsidRDefault="0054776A" w:rsidP="003A3868">
            <w:pPr>
              <w:spacing w:after="0" w:line="240" w:lineRule="auto"/>
              <w:jc w:val="right"/>
              <w:rPr>
                <w:rFonts w:ascii="Times New Roman" w:hAnsi="Times New Roman" w:cs="Times New Roman"/>
                <w:color w:val="000000"/>
              </w:rPr>
            </w:pPr>
            <w:r w:rsidRPr="00CA0AE3">
              <w:rPr>
                <w:rFonts w:ascii="Times New Roman" w:hAnsi="Times New Roman" w:cs="Times New Roman"/>
                <w:color w:val="000000"/>
              </w:rPr>
              <w:t>$</w:t>
            </w:r>
            <w:r w:rsidR="003A3868" w:rsidRPr="00CA0AE3">
              <w:rPr>
                <w:rFonts w:ascii="Times New Roman" w:hAnsi="Times New Roman" w:cs="Times New Roman"/>
                <w:color w:val="000000"/>
              </w:rPr>
              <w:t>2.5</w:t>
            </w:r>
            <w:r w:rsidRPr="00CA0AE3">
              <w:rPr>
                <w:rFonts w:ascii="Times New Roman" w:hAnsi="Times New Roman" w:cs="Times New Roman"/>
                <w:color w:val="000000"/>
              </w:rPr>
              <w:t>M</w:t>
            </w:r>
          </w:p>
        </w:tc>
        <w:tc>
          <w:tcPr>
            <w:tcW w:w="833" w:type="pct"/>
            <w:vAlign w:val="bottom"/>
          </w:tcPr>
          <w:p w:rsidR="0054776A" w:rsidRPr="00CA0AE3" w:rsidRDefault="0054776A" w:rsidP="003A3868">
            <w:pPr>
              <w:spacing w:after="0" w:line="240" w:lineRule="auto"/>
              <w:jc w:val="right"/>
              <w:rPr>
                <w:rFonts w:ascii="Times New Roman" w:hAnsi="Times New Roman" w:cs="Times New Roman"/>
                <w:color w:val="000000"/>
              </w:rPr>
            </w:pPr>
            <w:r w:rsidRPr="00CA0AE3">
              <w:rPr>
                <w:rFonts w:ascii="Times New Roman" w:hAnsi="Times New Roman" w:cs="Times New Roman"/>
                <w:color w:val="000000"/>
              </w:rPr>
              <w:t>$</w:t>
            </w:r>
            <w:r w:rsidR="003A3868" w:rsidRPr="00CA0AE3">
              <w:rPr>
                <w:rFonts w:ascii="Times New Roman" w:hAnsi="Times New Roman" w:cs="Times New Roman"/>
                <w:color w:val="000000"/>
              </w:rPr>
              <w:t>2.5</w:t>
            </w:r>
            <w:r w:rsidRPr="00CA0AE3">
              <w:rPr>
                <w:rFonts w:ascii="Times New Roman" w:hAnsi="Times New Roman" w:cs="Times New Roman"/>
                <w:color w:val="000000"/>
              </w:rPr>
              <w:t>M</w:t>
            </w:r>
          </w:p>
        </w:tc>
      </w:tr>
      <w:tr w:rsidR="0054776A" w:rsidRPr="00CA0AE3" w:rsidTr="00FD2A77">
        <w:trPr>
          <w:cantSplit/>
          <w:trHeight w:val="260"/>
        </w:trPr>
        <w:tc>
          <w:tcPr>
            <w:tcW w:w="833" w:type="pct"/>
            <w:vAlign w:val="center"/>
          </w:tcPr>
          <w:p w:rsidR="0054776A" w:rsidRPr="00CA0AE3" w:rsidRDefault="0054776A" w:rsidP="0054776A">
            <w:pPr>
              <w:spacing w:after="0" w:line="240" w:lineRule="auto"/>
              <w:jc w:val="both"/>
              <w:rPr>
                <w:rFonts w:ascii="Times New Roman" w:eastAsiaTheme="minorHAnsi" w:hAnsi="Times New Roman" w:cs="Times New Roman"/>
              </w:rPr>
            </w:pPr>
            <w:r w:rsidRPr="00CA0AE3">
              <w:rPr>
                <w:rFonts w:ascii="Times New Roman" w:eastAsiaTheme="minorHAnsi" w:hAnsi="Times New Roman" w:cs="Times New Roman"/>
              </w:rPr>
              <w:t>Measure Slate 2</w:t>
            </w:r>
          </w:p>
        </w:tc>
        <w:tc>
          <w:tcPr>
            <w:tcW w:w="833" w:type="pct"/>
            <w:vAlign w:val="bottom"/>
          </w:tcPr>
          <w:p w:rsidR="0054776A" w:rsidRPr="00CA0AE3" w:rsidRDefault="0054776A" w:rsidP="0054776A">
            <w:pPr>
              <w:spacing w:after="0" w:line="240" w:lineRule="auto"/>
              <w:jc w:val="right"/>
              <w:rPr>
                <w:rFonts w:ascii="Times New Roman" w:hAnsi="Times New Roman" w:cs="Times New Roman"/>
                <w:color w:val="000000"/>
              </w:rPr>
            </w:pPr>
            <w:r w:rsidRPr="00CA0AE3">
              <w:rPr>
                <w:rFonts w:ascii="Times New Roman" w:hAnsi="Times New Roman" w:cs="Times New Roman"/>
                <w:color w:val="000000"/>
              </w:rPr>
              <w:t>$</w:t>
            </w:r>
            <w:r w:rsidR="003A3868" w:rsidRPr="00CA0AE3">
              <w:rPr>
                <w:rFonts w:ascii="Times New Roman" w:hAnsi="Times New Roman" w:cs="Times New Roman"/>
                <w:color w:val="000000"/>
              </w:rPr>
              <w:t>7.725</w:t>
            </w:r>
            <w:r w:rsidRPr="00CA0AE3">
              <w:rPr>
                <w:rFonts w:ascii="Times New Roman" w:hAnsi="Times New Roman" w:cs="Times New Roman"/>
                <w:color w:val="000000"/>
              </w:rPr>
              <w:t>M</w:t>
            </w:r>
          </w:p>
        </w:tc>
        <w:tc>
          <w:tcPr>
            <w:tcW w:w="833" w:type="pct"/>
            <w:vAlign w:val="bottom"/>
          </w:tcPr>
          <w:p w:rsidR="0054776A" w:rsidRPr="00CA0AE3" w:rsidRDefault="0054776A" w:rsidP="003A3868">
            <w:pPr>
              <w:spacing w:after="0" w:line="240" w:lineRule="auto"/>
              <w:jc w:val="right"/>
              <w:rPr>
                <w:rFonts w:ascii="Times New Roman" w:hAnsi="Times New Roman" w:cs="Times New Roman"/>
                <w:color w:val="000000"/>
              </w:rPr>
            </w:pPr>
            <w:r w:rsidRPr="00CA0AE3">
              <w:rPr>
                <w:rFonts w:ascii="Times New Roman" w:hAnsi="Times New Roman" w:cs="Times New Roman"/>
                <w:color w:val="000000"/>
              </w:rPr>
              <w:t>$</w:t>
            </w:r>
            <w:r w:rsidR="003A3868" w:rsidRPr="00CA0AE3">
              <w:rPr>
                <w:rFonts w:ascii="Times New Roman" w:hAnsi="Times New Roman" w:cs="Times New Roman"/>
                <w:color w:val="000000"/>
              </w:rPr>
              <w:t>6.075</w:t>
            </w:r>
            <w:r w:rsidRPr="00CA0AE3">
              <w:rPr>
                <w:rFonts w:ascii="Times New Roman" w:hAnsi="Times New Roman" w:cs="Times New Roman"/>
                <w:color w:val="000000"/>
              </w:rPr>
              <w:t>M</w:t>
            </w:r>
          </w:p>
        </w:tc>
        <w:tc>
          <w:tcPr>
            <w:tcW w:w="833" w:type="pct"/>
            <w:vAlign w:val="bottom"/>
          </w:tcPr>
          <w:p w:rsidR="0054776A" w:rsidRPr="00CA0AE3" w:rsidRDefault="0054776A" w:rsidP="003A3868">
            <w:pPr>
              <w:spacing w:after="0" w:line="240" w:lineRule="auto"/>
              <w:jc w:val="right"/>
              <w:rPr>
                <w:rFonts w:ascii="Times New Roman" w:hAnsi="Times New Roman" w:cs="Times New Roman"/>
                <w:color w:val="000000"/>
              </w:rPr>
            </w:pPr>
            <w:r w:rsidRPr="00CA0AE3">
              <w:rPr>
                <w:rFonts w:ascii="Times New Roman" w:hAnsi="Times New Roman" w:cs="Times New Roman"/>
                <w:color w:val="000000"/>
              </w:rPr>
              <w:t>$</w:t>
            </w:r>
            <w:r w:rsidR="003A3868" w:rsidRPr="00CA0AE3">
              <w:rPr>
                <w:rFonts w:ascii="Times New Roman" w:hAnsi="Times New Roman" w:cs="Times New Roman"/>
                <w:color w:val="000000"/>
              </w:rPr>
              <w:t>2.5</w:t>
            </w:r>
            <w:r w:rsidRPr="00CA0AE3">
              <w:rPr>
                <w:rFonts w:ascii="Times New Roman" w:hAnsi="Times New Roman" w:cs="Times New Roman"/>
                <w:color w:val="000000"/>
              </w:rPr>
              <w:t>M</w:t>
            </w:r>
          </w:p>
        </w:tc>
        <w:tc>
          <w:tcPr>
            <w:tcW w:w="833" w:type="pct"/>
            <w:vAlign w:val="bottom"/>
          </w:tcPr>
          <w:p w:rsidR="0054776A" w:rsidRPr="00CA0AE3" w:rsidRDefault="0054776A" w:rsidP="003A3868">
            <w:pPr>
              <w:spacing w:after="0" w:line="240" w:lineRule="auto"/>
              <w:jc w:val="right"/>
              <w:rPr>
                <w:rFonts w:ascii="Times New Roman" w:hAnsi="Times New Roman" w:cs="Times New Roman"/>
                <w:color w:val="000000"/>
              </w:rPr>
            </w:pPr>
            <w:r w:rsidRPr="00CA0AE3">
              <w:rPr>
                <w:rFonts w:ascii="Times New Roman" w:hAnsi="Times New Roman" w:cs="Times New Roman"/>
                <w:color w:val="000000"/>
              </w:rPr>
              <w:t>$</w:t>
            </w:r>
            <w:r w:rsidR="003A3868" w:rsidRPr="00CA0AE3">
              <w:rPr>
                <w:rFonts w:ascii="Times New Roman" w:hAnsi="Times New Roman" w:cs="Times New Roman"/>
                <w:color w:val="000000"/>
              </w:rPr>
              <w:t>2.5</w:t>
            </w:r>
            <w:r w:rsidRPr="00CA0AE3">
              <w:rPr>
                <w:rFonts w:ascii="Times New Roman" w:hAnsi="Times New Roman" w:cs="Times New Roman"/>
                <w:color w:val="000000"/>
              </w:rPr>
              <w:t>M</w:t>
            </w:r>
          </w:p>
        </w:tc>
        <w:tc>
          <w:tcPr>
            <w:tcW w:w="833" w:type="pct"/>
            <w:vAlign w:val="bottom"/>
          </w:tcPr>
          <w:p w:rsidR="0054776A" w:rsidRPr="00CA0AE3" w:rsidRDefault="0054776A" w:rsidP="003A3868">
            <w:pPr>
              <w:spacing w:after="0" w:line="240" w:lineRule="auto"/>
              <w:jc w:val="right"/>
              <w:rPr>
                <w:rFonts w:ascii="Times New Roman" w:hAnsi="Times New Roman" w:cs="Times New Roman"/>
                <w:color w:val="000000"/>
              </w:rPr>
            </w:pPr>
            <w:r w:rsidRPr="00CA0AE3">
              <w:rPr>
                <w:rFonts w:ascii="Times New Roman" w:hAnsi="Times New Roman" w:cs="Times New Roman"/>
                <w:color w:val="000000"/>
              </w:rPr>
              <w:t>$</w:t>
            </w:r>
            <w:r w:rsidR="003A3868" w:rsidRPr="00CA0AE3">
              <w:rPr>
                <w:rFonts w:ascii="Times New Roman" w:hAnsi="Times New Roman" w:cs="Times New Roman"/>
                <w:color w:val="000000"/>
              </w:rPr>
              <w:t>2.5</w:t>
            </w:r>
            <w:r w:rsidRPr="00CA0AE3">
              <w:rPr>
                <w:rFonts w:ascii="Times New Roman" w:hAnsi="Times New Roman" w:cs="Times New Roman"/>
                <w:color w:val="000000"/>
              </w:rPr>
              <w:t>M</w:t>
            </w:r>
          </w:p>
        </w:tc>
      </w:tr>
      <w:tr w:rsidR="0054776A" w:rsidRPr="00CA0AE3" w:rsidTr="00FD2A77">
        <w:trPr>
          <w:cantSplit/>
          <w:trHeight w:val="260"/>
        </w:trPr>
        <w:tc>
          <w:tcPr>
            <w:tcW w:w="833" w:type="pct"/>
            <w:vAlign w:val="center"/>
          </w:tcPr>
          <w:p w:rsidR="0054776A" w:rsidRPr="00CA0AE3" w:rsidRDefault="0054776A" w:rsidP="0054776A">
            <w:pPr>
              <w:spacing w:after="0" w:line="240" w:lineRule="auto"/>
              <w:jc w:val="both"/>
              <w:rPr>
                <w:rFonts w:ascii="Times New Roman" w:eastAsiaTheme="minorHAnsi" w:hAnsi="Times New Roman" w:cs="Times New Roman"/>
              </w:rPr>
            </w:pPr>
            <w:r w:rsidRPr="00CA0AE3">
              <w:rPr>
                <w:rFonts w:ascii="Times New Roman" w:eastAsiaTheme="minorHAnsi" w:hAnsi="Times New Roman" w:cs="Times New Roman"/>
              </w:rPr>
              <w:t>Measure Slate 3</w:t>
            </w:r>
          </w:p>
        </w:tc>
        <w:tc>
          <w:tcPr>
            <w:tcW w:w="833" w:type="pct"/>
            <w:vAlign w:val="bottom"/>
          </w:tcPr>
          <w:p w:rsidR="0054776A" w:rsidRPr="00CA0AE3" w:rsidRDefault="0054776A" w:rsidP="0054776A">
            <w:pPr>
              <w:spacing w:after="0" w:line="240" w:lineRule="auto"/>
              <w:jc w:val="right"/>
              <w:rPr>
                <w:rFonts w:ascii="Times New Roman" w:hAnsi="Times New Roman" w:cs="Times New Roman"/>
                <w:color w:val="000000"/>
              </w:rPr>
            </w:pPr>
            <w:r w:rsidRPr="00CA0AE3">
              <w:rPr>
                <w:rFonts w:ascii="Times New Roman" w:hAnsi="Times New Roman" w:cs="Times New Roman"/>
                <w:color w:val="000000"/>
              </w:rPr>
              <w:t>$</w:t>
            </w:r>
            <w:r w:rsidR="003A3868" w:rsidRPr="00CA0AE3">
              <w:rPr>
                <w:rFonts w:ascii="Times New Roman" w:hAnsi="Times New Roman" w:cs="Times New Roman"/>
                <w:color w:val="000000"/>
              </w:rPr>
              <w:t>7.725</w:t>
            </w:r>
            <w:r w:rsidRPr="00CA0AE3">
              <w:rPr>
                <w:rFonts w:ascii="Times New Roman" w:hAnsi="Times New Roman" w:cs="Times New Roman"/>
                <w:color w:val="000000"/>
              </w:rPr>
              <w:t>M</w:t>
            </w:r>
          </w:p>
        </w:tc>
        <w:tc>
          <w:tcPr>
            <w:tcW w:w="833" w:type="pct"/>
            <w:vAlign w:val="bottom"/>
          </w:tcPr>
          <w:p w:rsidR="0054776A" w:rsidRPr="00CA0AE3" w:rsidRDefault="0054776A" w:rsidP="003A3868">
            <w:pPr>
              <w:spacing w:after="0" w:line="240" w:lineRule="auto"/>
              <w:jc w:val="right"/>
              <w:rPr>
                <w:rFonts w:ascii="Times New Roman" w:hAnsi="Times New Roman" w:cs="Times New Roman"/>
                <w:color w:val="000000"/>
              </w:rPr>
            </w:pPr>
            <w:r w:rsidRPr="00CA0AE3">
              <w:rPr>
                <w:rFonts w:ascii="Times New Roman" w:hAnsi="Times New Roman" w:cs="Times New Roman"/>
                <w:color w:val="000000"/>
              </w:rPr>
              <w:t>$</w:t>
            </w:r>
            <w:r w:rsidR="003A3868" w:rsidRPr="00CA0AE3">
              <w:rPr>
                <w:rFonts w:ascii="Times New Roman" w:hAnsi="Times New Roman" w:cs="Times New Roman"/>
                <w:color w:val="000000"/>
              </w:rPr>
              <w:t>6.075</w:t>
            </w:r>
            <w:r w:rsidRPr="00CA0AE3">
              <w:rPr>
                <w:rFonts w:ascii="Times New Roman" w:hAnsi="Times New Roman" w:cs="Times New Roman"/>
                <w:color w:val="000000"/>
              </w:rPr>
              <w:t>M</w:t>
            </w:r>
          </w:p>
        </w:tc>
        <w:tc>
          <w:tcPr>
            <w:tcW w:w="833" w:type="pct"/>
            <w:vAlign w:val="bottom"/>
          </w:tcPr>
          <w:p w:rsidR="0054776A" w:rsidRPr="00CA0AE3" w:rsidRDefault="0054776A" w:rsidP="003A3868">
            <w:pPr>
              <w:spacing w:after="0" w:line="240" w:lineRule="auto"/>
              <w:jc w:val="right"/>
              <w:rPr>
                <w:rFonts w:ascii="Times New Roman" w:hAnsi="Times New Roman" w:cs="Times New Roman"/>
                <w:color w:val="000000"/>
              </w:rPr>
            </w:pPr>
            <w:r w:rsidRPr="00CA0AE3">
              <w:rPr>
                <w:rFonts w:ascii="Times New Roman" w:hAnsi="Times New Roman" w:cs="Times New Roman"/>
                <w:color w:val="000000"/>
              </w:rPr>
              <w:t>$</w:t>
            </w:r>
            <w:r w:rsidR="003A3868" w:rsidRPr="00CA0AE3">
              <w:rPr>
                <w:rFonts w:ascii="Times New Roman" w:hAnsi="Times New Roman" w:cs="Times New Roman"/>
                <w:color w:val="000000"/>
              </w:rPr>
              <w:t>2.5</w:t>
            </w:r>
            <w:r w:rsidRPr="00CA0AE3">
              <w:rPr>
                <w:rFonts w:ascii="Times New Roman" w:hAnsi="Times New Roman" w:cs="Times New Roman"/>
                <w:color w:val="000000"/>
              </w:rPr>
              <w:t>M</w:t>
            </w:r>
          </w:p>
        </w:tc>
        <w:tc>
          <w:tcPr>
            <w:tcW w:w="833" w:type="pct"/>
            <w:vAlign w:val="bottom"/>
          </w:tcPr>
          <w:p w:rsidR="0054776A" w:rsidRPr="00CA0AE3" w:rsidRDefault="0054776A" w:rsidP="003A3868">
            <w:pPr>
              <w:spacing w:after="0" w:line="240" w:lineRule="auto"/>
              <w:jc w:val="right"/>
              <w:rPr>
                <w:rFonts w:ascii="Times New Roman" w:hAnsi="Times New Roman" w:cs="Times New Roman"/>
                <w:color w:val="000000"/>
              </w:rPr>
            </w:pPr>
            <w:r w:rsidRPr="00CA0AE3">
              <w:rPr>
                <w:rFonts w:ascii="Times New Roman" w:hAnsi="Times New Roman" w:cs="Times New Roman"/>
                <w:color w:val="000000"/>
              </w:rPr>
              <w:t>$</w:t>
            </w:r>
            <w:r w:rsidR="003A3868" w:rsidRPr="00CA0AE3">
              <w:rPr>
                <w:rFonts w:ascii="Times New Roman" w:hAnsi="Times New Roman" w:cs="Times New Roman"/>
                <w:color w:val="000000"/>
              </w:rPr>
              <w:t>2.5</w:t>
            </w:r>
            <w:r w:rsidRPr="00CA0AE3">
              <w:rPr>
                <w:rFonts w:ascii="Times New Roman" w:hAnsi="Times New Roman" w:cs="Times New Roman"/>
                <w:color w:val="000000"/>
              </w:rPr>
              <w:t>M</w:t>
            </w:r>
          </w:p>
        </w:tc>
        <w:tc>
          <w:tcPr>
            <w:tcW w:w="833" w:type="pct"/>
            <w:vAlign w:val="bottom"/>
          </w:tcPr>
          <w:p w:rsidR="0054776A" w:rsidRPr="00CA0AE3" w:rsidRDefault="0054776A" w:rsidP="003A3868">
            <w:pPr>
              <w:spacing w:after="0" w:line="240" w:lineRule="auto"/>
              <w:jc w:val="right"/>
              <w:rPr>
                <w:rFonts w:ascii="Times New Roman" w:hAnsi="Times New Roman" w:cs="Times New Roman"/>
                <w:color w:val="000000"/>
              </w:rPr>
            </w:pPr>
            <w:r w:rsidRPr="00CA0AE3">
              <w:rPr>
                <w:rFonts w:ascii="Times New Roman" w:hAnsi="Times New Roman" w:cs="Times New Roman"/>
                <w:color w:val="000000"/>
              </w:rPr>
              <w:t>$</w:t>
            </w:r>
            <w:r w:rsidR="003A3868" w:rsidRPr="00CA0AE3">
              <w:rPr>
                <w:rFonts w:ascii="Times New Roman" w:hAnsi="Times New Roman" w:cs="Times New Roman"/>
                <w:color w:val="000000"/>
              </w:rPr>
              <w:t>2.5</w:t>
            </w:r>
            <w:r w:rsidRPr="00CA0AE3">
              <w:rPr>
                <w:rFonts w:ascii="Times New Roman" w:hAnsi="Times New Roman" w:cs="Times New Roman"/>
                <w:color w:val="000000"/>
              </w:rPr>
              <w:t>M</w:t>
            </w:r>
          </w:p>
        </w:tc>
      </w:tr>
      <w:tr w:rsidR="0054776A" w:rsidRPr="00CA0AE3" w:rsidTr="00FD2A77">
        <w:trPr>
          <w:cantSplit/>
          <w:trHeight w:val="260"/>
        </w:trPr>
        <w:tc>
          <w:tcPr>
            <w:tcW w:w="833" w:type="pct"/>
            <w:vAlign w:val="center"/>
          </w:tcPr>
          <w:p w:rsidR="0054776A" w:rsidRPr="00CA0AE3" w:rsidRDefault="0054776A" w:rsidP="0054776A">
            <w:pPr>
              <w:spacing w:after="0" w:line="240" w:lineRule="auto"/>
              <w:jc w:val="both"/>
              <w:rPr>
                <w:rFonts w:ascii="Times New Roman" w:eastAsiaTheme="minorHAnsi" w:hAnsi="Times New Roman" w:cs="Times New Roman"/>
              </w:rPr>
            </w:pPr>
            <w:r w:rsidRPr="00CA0AE3">
              <w:rPr>
                <w:rFonts w:ascii="Times New Roman" w:eastAsiaTheme="minorHAnsi" w:hAnsi="Times New Roman" w:cs="Times New Roman"/>
              </w:rPr>
              <w:t>Measure Slate 4</w:t>
            </w:r>
          </w:p>
        </w:tc>
        <w:tc>
          <w:tcPr>
            <w:tcW w:w="833" w:type="pct"/>
            <w:vAlign w:val="bottom"/>
          </w:tcPr>
          <w:p w:rsidR="0054776A" w:rsidRPr="00CA0AE3" w:rsidRDefault="0054776A" w:rsidP="0054776A">
            <w:pPr>
              <w:spacing w:after="0" w:line="240" w:lineRule="auto"/>
              <w:jc w:val="right"/>
              <w:rPr>
                <w:rFonts w:ascii="Times New Roman" w:hAnsi="Times New Roman" w:cs="Times New Roman"/>
                <w:color w:val="000000"/>
              </w:rPr>
            </w:pPr>
            <w:r w:rsidRPr="00CA0AE3">
              <w:rPr>
                <w:rFonts w:ascii="Times New Roman" w:hAnsi="Times New Roman" w:cs="Times New Roman"/>
                <w:color w:val="000000"/>
              </w:rPr>
              <w:t>$</w:t>
            </w:r>
            <w:r w:rsidR="003A3868" w:rsidRPr="00CA0AE3">
              <w:rPr>
                <w:rFonts w:ascii="Times New Roman" w:hAnsi="Times New Roman" w:cs="Times New Roman"/>
                <w:color w:val="000000"/>
              </w:rPr>
              <w:t>7.725</w:t>
            </w:r>
            <w:r w:rsidRPr="00CA0AE3">
              <w:rPr>
                <w:rFonts w:ascii="Times New Roman" w:hAnsi="Times New Roman" w:cs="Times New Roman"/>
                <w:color w:val="000000"/>
              </w:rPr>
              <w:t>M</w:t>
            </w:r>
          </w:p>
        </w:tc>
        <w:tc>
          <w:tcPr>
            <w:tcW w:w="833" w:type="pct"/>
            <w:vAlign w:val="bottom"/>
          </w:tcPr>
          <w:p w:rsidR="0054776A" w:rsidRPr="00CA0AE3" w:rsidRDefault="0054776A" w:rsidP="003A3868">
            <w:pPr>
              <w:spacing w:after="0" w:line="240" w:lineRule="auto"/>
              <w:jc w:val="right"/>
              <w:rPr>
                <w:rFonts w:ascii="Times New Roman" w:hAnsi="Times New Roman" w:cs="Times New Roman"/>
                <w:color w:val="000000"/>
              </w:rPr>
            </w:pPr>
            <w:r w:rsidRPr="00CA0AE3">
              <w:rPr>
                <w:rFonts w:ascii="Times New Roman" w:hAnsi="Times New Roman" w:cs="Times New Roman"/>
                <w:color w:val="000000"/>
              </w:rPr>
              <w:t>$</w:t>
            </w:r>
            <w:r w:rsidR="003A3868" w:rsidRPr="00CA0AE3">
              <w:rPr>
                <w:rFonts w:ascii="Times New Roman" w:hAnsi="Times New Roman" w:cs="Times New Roman"/>
                <w:color w:val="000000"/>
              </w:rPr>
              <w:t>6.075</w:t>
            </w:r>
            <w:r w:rsidRPr="00CA0AE3">
              <w:rPr>
                <w:rFonts w:ascii="Times New Roman" w:hAnsi="Times New Roman" w:cs="Times New Roman"/>
                <w:color w:val="000000"/>
              </w:rPr>
              <w:t>M</w:t>
            </w:r>
          </w:p>
        </w:tc>
        <w:tc>
          <w:tcPr>
            <w:tcW w:w="833" w:type="pct"/>
            <w:vAlign w:val="bottom"/>
          </w:tcPr>
          <w:p w:rsidR="0054776A" w:rsidRPr="00CA0AE3" w:rsidRDefault="0054776A" w:rsidP="003A3868">
            <w:pPr>
              <w:spacing w:after="0" w:line="240" w:lineRule="auto"/>
              <w:jc w:val="right"/>
              <w:rPr>
                <w:rFonts w:ascii="Times New Roman" w:hAnsi="Times New Roman" w:cs="Times New Roman"/>
                <w:color w:val="000000"/>
              </w:rPr>
            </w:pPr>
            <w:r w:rsidRPr="00CA0AE3">
              <w:rPr>
                <w:rFonts w:ascii="Times New Roman" w:hAnsi="Times New Roman" w:cs="Times New Roman"/>
                <w:color w:val="000000"/>
              </w:rPr>
              <w:t>$</w:t>
            </w:r>
            <w:r w:rsidR="003A3868" w:rsidRPr="00CA0AE3">
              <w:rPr>
                <w:rFonts w:ascii="Times New Roman" w:hAnsi="Times New Roman" w:cs="Times New Roman"/>
                <w:color w:val="000000"/>
              </w:rPr>
              <w:t>2.5</w:t>
            </w:r>
            <w:r w:rsidRPr="00CA0AE3">
              <w:rPr>
                <w:rFonts w:ascii="Times New Roman" w:hAnsi="Times New Roman" w:cs="Times New Roman"/>
                <w:color w:val="000000"/>
              </w:rPr>
              <w:t>M</w:t>
            </w:r>
          </w:p>
        </w:tc>
        <w:tc>
          <w:tcPr>
            <w:tcW w:w="833" w:type="pct"/>
            <w:vAlign w:val="bottom"/>
          </w:tcPr>
          <w:p w:rsidR="0054776A" w:rsidRPr="00CA0AE3" w:rsidRDefault="0054776A" w:rsidP="003A3868">
            <w:pPr>
              <w:spacing w:after="0" w:line="240" w:lineRule="auto"/>
              <w:jc w:val="right"/>
              <w:rPr>
                <w:rFonts w:ascii="Times New Roman" w:hAnsi="Times New Roman" w:cs="Times New Roman"/>
                <w:color w:val="000000"/>
              </w:rPr>
            </w:pPr>
            <w:r w:rsidRPr="00CA0AE3">
              <w:rPr>
                <w:rFonts w:ascii="Times New Roman" w:hAnsi="Times New Roman" w:cs="Times New Roman"/>
                <w:color w:val="000000"/>
              </w:rPr>
              <w:t>$</w:t>
            </w:r>
            <w:r w:rsidR="003A3868" w:rsidRPr="00CA0AE3">
              <w:rPr>
                <w:rFonts w:ascii="Times New Roman" w:hAnsi="Times New Roman" w:cs="Times New Roman"/>
                <w:color w:val="000000"/>
              </w:rPr>
              <w:t>2.5</w:t>
            </w:r>
            <w:r w:rsidRPr="00CA0AE3">
              <w:rPr>
                <w:rFonts w:ascii="Times New Roman" w:hAnsi="Times New Roman" w:cs="Times New Roman"/>
                <w:color w:val="000000"/>
              </w:rPr>
              <w:t>M</w:t>
            </w:r>
          </w:p>
        </w:tc>
        <w:tc>
          <w:tcPr>
            <w:tcW w:w="833" w:type="pct"/>
            <w:vAlign w:val="bottom"/>
          </w:tcPr>
          <w:p w:rsidR="0054776A" w:rsidRPr="00CA0AE3" w:rsidRDefault="0054776A" w:rsidP="003A3868">
            <w:pPr>
              <w:spacing w:after="0" w:line="240" w:lineRule="auto"/>
              <w:jc w:val="right"/>
              <w:rPr>
                <w:rFonts w:ascii="Times New Roman" w:hAnsi="Times New Roman" w:cs="Times New Roman"/>
                <w:color w:val="000000"/>
              </w:rPr>
            </w:pPr>
            <w:r w:rsidRPr="00CA0AE3">
              <w:rPr>
                <w:rFonts w:ascii="Times New Roman" w:hAnsi="Times New Roman" w:cs="Times New Roman"/>
                <w:color w:val="000000"/>
              </w:rPr>
              <w:t>$</w:t>
            </w:r>
            <w:r w:rsidR="003A3868" w:rsidRPr="00CA0AE3">
              <w:rPr>
                <w:rFonts w:ascii="Times New Roman" w:hAnsi="Times New Roman" w:cs="Times New Roman"/>
                <w:color w:val="000000"/>
              </w:rPr>
              <w:t>2.5</w:t>
            </w:r>
            <w:r w:rsidRPr="00CA0AE3">
              <w:rPr>
                <w:rFonts w:ascii="Times New Roman" w:hAnsi="Times New Roman" w:cs="Times New Roman"/>
                <w:color w:val="000000"/>
              </w:rPr>
              <w:t>M</w:t>
            </w:r>
          </w:p>
        </w:tc>
      </w:tr>
      <w:tr w:rsidR="0054776A" w:rsidRPr="00CA0AE3" w:rsidTr="00FD2A77">
        <w:trPr>
          <w:cantSplit/>
          <w:trHeight w:val="260"/>
        </w:trPr>
        <w:tc>
          <w:tcPr>
            <w:tcW w:w="833" w:type="pct"/>
            <w:vAlign w:val="center"/>
          </w:tcPr>
          <w:p w:rsidR="0054776A" w:rsidRPr="00CA0AE3" w:rsidRDefault="0054776A" w:rsidP="0054776A">
            <w:pPr>
              <w:spacing w:after="0" w:line="240" w:lineRule="auto"/>
              <w:jc w:val="both"/>
              <w:rPr>
                <w:rFonts w:ascii="Times New Roman" w:eastAsiaTheme="minorHAnsi" w:hAnsi="Times New Roman" w:cs="Times New Roman"/>
              </w:rPr>
            </w:pPr>
            <w:r w:rsidRPr="00CA0AE3">
              <w:rPr>
                <w:rFonts w:ascii="Times New Roman" w:eastAsiaTheme="minorHAnsi" w:hAnsi="Times New Roman" w:cs="Times New Roman"/>
              </w:rPr>
              <w:t>Measure Slate 5</w:t>
            </w:r>
          </w:p>
        </w:tc>
        <w:tc>
          <w:tcPr>
            <w:tcW w:w="833" w:type="pct"/>
            <w:vAlign w:val="bottom"/>
          </w:tcPr>
          <w:p w:rsidR="0054776A" w:rsidRPr="00CA0AE3" w:rsidRDefault="00977C23" w:rsidP="00977C23">
            <w:pPr>
              <w:spacing w:after="0" w:line="240" w:lineRule="auto"/>
              <w:jc w:val="right"/>
              <w:rPr>
                <w:rFonts w:ascii="Times New Roman" w:eastAsiaTheme="minorHAnsi" w:hAnsi="Times New Roman" w:cs="Times New Roman"/>
              </w:rPr>
            </w:pPr>
            <w:r w:rsidRPr="00CA0AE3">
              <w:rPr>
                <w:rFonts w:ascii="Times New Roman" w:hAnsi="Times New Roman" w:cs="Times New Roman"/>
                <w:color w:val="000000"/>
              </w:rPr>
              <w:t>Not Selected</w:t>
            </w:r>
          </w:p>
        </w:tc>
        <w:tc>
          <w:tcPr>
            <w:tcW w:w="833" w:type="pct"/>
            <w:vAlign w:val="bottom"/>
          </w:tcPr>
          <w:p w:rsidR="0054776A" w:rsidRPr="00CA0AE3" w:rsidRDefault="00977C23" w:rsidP="00977C23">
            <w:pPr>
              <w:spacing w:after="0" w:line="240" w:lineRule="auto"/>
              <w:jc w:val="right"/>
              <w:rPr>
                <w:rFonts w:ascii="Times New Roman" w:hAnsi="Times New Roman" w:cs="Times New Roman"/>
                <w:color w:val="000000"/>
              </w:rPr>
            </w:pPr>
            <w:r w:rsidRPr="00CA0AE3">
              <w:rPr>
                <w:rFonts w:ascii="Times New Roman" w:hAnsi="Times New Roman" w:cs="Times New Roman"/>
                <w:color w:val="000000"/>
              </w:rPr>
              <w:t>Not Selected</w:t>
            </w:r>
          </w:p>
        </w:tc>
        <w:tc>
          <w:tcPr>
            <w:tcW w:w="833" w:type="pct"/>
            <w:vAlign w:val="bottom"/>
          </w:tcPr>
          <w:p w:rsidR="0054776A" w:rsidRPr="00CA0AE3" w:rsidRDefault="00977C23" w:rsidP="00977C23">
            <w:pPr>
              <w:spacing w:after="0" w:line="240" w:lineRule="auto"/>
              <w:jc w:val="right"/>
              <w:rPr>
                <w:rFonts w:ascii="Times New Roman" w:hAnsi="Times New Roman" w:cs="Times New Roman"/>
                <w:color w:val="000000"/>
              </w:rPr>
            </w:pPr>
            <w:r w:rsidRPr="00CA0AE3">
              <w:rPr>
                <w:rFonts w:ascii="Times New Roman" w:hAnsi="Times New Roman" w:cs="Times New Roman"/>
                <w:color w:val="000000"/>
              </w:rPr>
              <w:t>Not Selected</w:t>
            </w:r>
          </w:p>
        </w:tc>
        <w:tc>
          <w:tcPr>
            <w:tcW w:w="833" w:type="pct"/>
            <w:vAlign w:val="bottom"/>
          </w:tcPr>
          <w:p w:rsidR="0054776A" w:rsidRPr="00CA0AE3" w:rsidRDefault="00977C23" w:rsidP="00977C23">
            <w:pPr>
              <w:spacing w:after="0" w:line="240" w:lineRule="auto"/>
              <w:jc w:val="right"/>
              <w:rPr>
                <w:rFonts w:ascii="Times New Roman" w:hAnsi="Times New Roman" w:cs="Times New Roman"/>
                <w:color w:val="000000"/>
              </w:rPr>
            </w:pPr>
            <w:r w:rsidRPr="00CA0AE3">
              <w:rPr>
                <w:rFonts w:ascii="Times New Roman" w:hAnsi="Times New Roman" w:cs="Times New Roman"/>
                <w:color w:val="000000"/>
              </w:rPr>
              <w:t>Not Selected</w:t>
            </w:r>
          </w:p>
        </w:tc>
        <w:tc>
          <w:tcPr>
            <w:tcW w:w="833" w:type="pct"/>
            <w:vAlign w:val="bottom"/>
          </w:tcPr>
          <w:p w:rsidR="0054776A" w:rsidRPr="00CA0AE3" w:rsidRDefault="00977C23" w:rsidP="00977C23">
            <w:pPr>
              <w:spacing w:after="0" w:line="240" w:lineRule="auto"/>
              <w:jc w:val="right"/>
              <w:rPr>
                <w:rFonts w:ascii="Times New Roman" w:hAnsi="Times New Roman" w:cs="Times New Roman"/>
                <w:color w:val="000000"/>
              </w:rPr>
            </w:pPr>
            <w:r w:rsidRPr="00CA0AE3">
              <w:rPr>
                <w:rFonts w:ascii="Times New Roman" w:hAnsi="Times New Roman" w:cs="Times New Roman"/>
                <w:color w:val="000000"/>
              </w:rPr>
              <w:t>Not Selected</w:t>
            </w:r>
          </w:p>
        </w:tc>
      </w:tr>
      <w:tr w:rsidR="0054776A" w:rsidRPr="00CA0AE3" w:rsidTr="00FD2A77">
        <w:trPr>
          <w:cantSplit/>
          <w:trHeight w:val="260"/>
        </w:trPr>
        <w:tc>
          <w:tcPr>
            <w:tcW w:w="833" w:type="pct"/>
            <w:vAlign w:val="center"/>
          </w:tcPr>
          <w:p w:rsidR="0054776A" w:rsidRPr="00CA0AE3" w:rsidRDefault="0054776A" w:rsidP="0054776A">
            <w:pPr>
              <w:spacing w:after="0" w:line="240" w:lineRule="auto"/>
              <w:jc w:val="both"/>
              <w:rPr>
                <w:rFonts w:ascii="Times New Roman" w:eastAsiaTheme="minorHAnsi" w:hAnsi="Times New Roman" w:cs="Times New Roman"/>
                <w:b/>
              </w:rPr>
            </w:pPr>
            <w:r w:rsidRPr="00CA0AE3">
              <w:rPr>
                <w:rFonts w:ascii="Times New Roman" w:eastAsiaTheme="minorHAnsi" w:hAnsi="Times New Roman" w:cs="Times New Roman"/>
                <w:b/>
              </w:rPr>
              <w:lastRenderedPageBreak/>
              <w:t>Total</w:t>
            </w:r>
          </w:p>
        </w:tc>
        <w:tc>
          <w:tcPr>
            <w:tcW w:w="833" w:type="pct"/>
            <w:vAlign w:val="bottom"/>
          </w:tcPr>
          <w:p w:rsidR="0054776A" w:rsidRPr="00CA0AE3" w:rsidRDefault="0054776A" w:rsidP="00837DB7">
            <w:pPr>
              <w:spacing w:after="0" w:line="240" w:lineRule="auto"/>
              <w:jc w:val="right"/>
              <w:rPr>
                <w:rFonts w:ascii="Times New Roman" w:hAnsi="Times New Roman" w:cs="Times New Roman"/>
                <w:color w:val="000000"/>
              </w:rPr>
            </w:pPr>
            <w:r w:rsidRPr="00CA0AE3">
              <w:rPr>
                <w:rFonts w:ascii="Times New Roman" w:hAnsi="Times New Roman" w:cs="Times New Roman"/>
                <w:color w:val="000000"/>
              </w:rPr>
              <w:t>$3</w:t>
            </w:r>
            <w:r w:rsidR="00837DB7" w:rsidRPr="00CA0AE3">
              <w:rPr>
                <w:rFonts w:ascii="Times New Roman" w:hAnsi="Times New Roman" w:cs="Times New Roman"/>
                <w:color w:val="000000"/>
              </w:rPr>
              <w:t>0</w:t>
            </w:r>
            <w:r w:rsidRPr="00CA0AE3">
              <w:rPr>
                <w:rFonts w:ascii="Times New Roman" w:hAnsi="Times New Roman" w:cs="Times New Roman"/>
                <w:color w:val="000000"/>
              </w:rPr>
              <w:t>.</w:t>
            </w:r>
            <w:r w:rsidR="00837DB7" w:rsidRPr="00CA0AE3">
              <w:rPr>
                <w:rFonts w:ascii="Times New Roman" w:hAnsi="Times New Roman" w:cs="Times New Roman"/>
                <w:color w:val="000000"/>
              </w:rPr>
              <w:t>9</w:t>
            </w:r>
            <w:r w:rsidRPr="00CA0AE3">
              <w:rPr>
                <w:rFonts w:ascii="Times New Roman" w:hAnsi="Times New Roman" w:cs="Times New Roman"/>
                <w:color w:val="000000"/>
              </w:rPr>
              <w:t>0M</w:t>
            </w:r>
          </w:p>
        </w:tc>
        <w:tc>
          <w:tcPr>
            <w:tcW w:w="833" w:type="pct"/>
            <w:vAlign w:val="bottom"/>
          </w:tcPr>
          <w:p w:rsidR="0054776A" w:rsidRPr="00CA0AE3" w:rsidRDefault="0054776A" w:rsidP="00837DB7">
            <w:pPr>
              <w:spacing w:after="0" w:line="240" w:lineRule="auto"/>
              <w:jc w:val="right"/>
              <w:rPr>
                <w:rFonts w:ascii="Times New Roman" w:hAnsi="Times New Roman" w:cs="Times New Roman"/>
                <w:color w:val="000000"/>
              </w:rPr>
            </w:pPr>
            <w:r w:rsidRPr="00CA0AE3">
              <w:rPr>
                <w:rFonts w:ascii="Times New Roman" w:hAnsi="Times New Roman" w:cs="Times New Roman"/>
                <w:color w:val="000000"/>
              </w:rPr>
              <w:t>$2</w:t>
            </w:r>
            <w:r w:rsidR="00837DB7" w:rsidRPr="00CA0AE3">
              <w:rPr>
                <w:rFonts w:ascii="Times New Roman" w:hAnsi="Times New Roman" w:cs="Times New Roman"/>
                <w:color w:val="000000"/>
              </w:rPr>
              <w:t>4.</w:t>
            </w:r>
            <w:r w:rsidRPr="00CA0AE3">
              <w:rPr>
                <w:rFonts w:ascii="Times New Roman" w:hAnsi="Times New Roman" w:cs="Times New Roman"/>
                <w:color w:val="000000"/>
              </w:rPr>
              <w:t>30M</w:t>
            </w:r>
          </w:p>
        </w:tc>
        <w:tc>
          <w:tcPr>
            <w:tcW w:w="833" w:type="pct"/>
            <w:vAlign w:val="bottom"/>
          </w:tcPr>
          <w:p w:rsidR="0054776A" w:rsidRPr="00CA0AE3" w:rsidRDefault="0054776A" w:rsidP="00837DB7">
            <w:pPr>
              <w:spacing w:after="0" w:line="240" w:lineRule="auto"/>
              <w:jc w:val="right"/>
              <w:rPr>
                <w:rFonts w:ascii="Times New Roman" w:hAnsi="Times New Roman" w:cs="Times New Roman"/>
                <w:color w:val="000000"/>
              </w:rPr>
            </w:pPr>
            <w:r w:rsidRPr="00CA0AE3">
              <w:rPr>
                <w:rFonts w:ascii="Times New Roman" w:hAnsi="Times New Roman" w:cs="Times New Roman"/>
                <w:color w:val="000000"/>
              </w:rPr>
              <w:t>$1</w:t>
            </w:r>
            <w:r w:rsidR="00837DB7" w:rsidRPr="00CA0AE3">
              <w:rPr>
                <w:rFonts w:ascii="Times New Roman" w:hAnsi="Times New Roman" w:cs="Times New Roman"/>
                <w:color w:val="000000"/>
              </w:rPr>
              <w:t>0</w:t>
            </w:r>
            <w:r w:rsidRPr="00CA0AE3">
              <w:rPr>
                <w:rFonts w:ascii="Times New Roman" w:hAnsi="Times New Roman" w:cs="Times New Roman"/>
                <w:color w:val="000000"/>
              </w:rPr>
              <w:t>.</w:t>
            </w:r>
            <w:r w:rsidR="00837DB7" w:rsidRPr="00CA0AE3">
              <w:rPr>
                <w:rFonts w:ascii="Times New Roman" w:hAnsi="Times New Roman" w:cs="Times New Roman"/>
                <w:color w:val="000000"/>
              </w:rPr>
              <w:t>0</w:t>
            </w:r>
            <w:r w:rsidRPr="00CA0AE3">
              <w:rPr>
                <w:rFonts w:ascii="Times New Roman" w:hAnsi="Times New Roman" w:cs="Times New Roman"/>
                <w:color w:val="000000"/>
              </w:rPr>
              <w:t>0M</w:t>
            </w:r>
          </w:p>
        </w:tc>
        <w:tc>
          <w:tcPr>
            <w:tcW w:w="833" w:type="pct"/>
            <w:vAlign w:val="bottom"/>
          </w:tcPr>
          <w:p w:rsidR="0054776A" w:rsidRPr="00CA0AE3" w:rsidRDefault="0054776A" w:rsidP="00837DB7">
            <w:pPr>
              <w:spacing w:after="0" w:line="240" w:lineRule="auto"/>
              <w:jc w:val="right"/>
              <w:rPr>
                <w:rFonts w:ascii="Times New Roman" w:hAnsi="Times New Roman" w:cs="Times New Roman"/>
                <w:color w:val="000000"/>
              </w:rPr>
            </w:pPr>
            <w:r w:rsidRPr="00CA0AE3">
              <w:rPr>
                <w:rFonts w:ascii="Times New Roman" w:hAnsi="Times New Roman" w:cs="Times New Roman"/>
                <w:color w:val="000000"/>
              </w:rPr>
              <w:t>$1</w:t>
            </w:r>
            <w:r w:rsidR="00837DB7" w:rsidRPr="00CA0AE3">
              <w:rPr>
                <w:rFonts w:ascii="Times New Roman" w:hAnsi="Times New Roman" w:cs="Times New Roman"/>
                <w:color w:val="000000"/>
              </w:rPr>
              <w:t>0</w:t>
            </w:r>
            <w:r w:rsidRPr="00CA0AE3">
              <w:rPr>
                <w:rFonts w:ascii="Times New Roman" w:hAnsi="Times New Roman" w:cs="Times New Roman"/>
                <w:color w:val="000000"/>
              </w:rPr>
              <w:t>.</w:t>
            </w:r>
            <w:r w:rsidR="00837DB7" w:rsidRPr="00CA0AE3">
              <w:rPr>
                <w:rFonts w:ascii="Times New Roman" w:hAnsi="Times New Roman" w:cs="Times New Roman"/>
                <w:color w:val="000000"/>
              </w:rPr>
              <w:t>0</w:t>
            </w:r>
            <w:r w:rsidRPr="00CA0AE3">
              <w:rPr>
                <w:rFonts w:ascii="Times New Roman" w:hAnsi="Times New Roman" w:cs="Times New Roman"/>
                <w:color w:val="000000"/>
              </w:rPr>
              <w:t>0M</w:t>
            </w:r>
          </w:p>
        </w:tc>
        <w:tc>
          <w:tcPr>
            <w:tcW w:w="833" w:type="pct"/>
            <w:vAlign w:val="bottom"/>
          </w:tcPr>
          <w:p w:rsidR="0054776A" w:rsidRPr="00CA0AE3" w:rsidRDefault="0054776A" w:rsidP="00837DB7">
            <w:pPr>
              <w:spacing w:after="0" w:line="240" w:lineRule="auto"/>
              <w:jc w:val="right"/>
              <w:rPr>
                <w:rFonts w:ascii="Times New Roman" w:hAnsi="Times New Roman" w:cs="Times New Roman"/>
                <w:color w:val="000000"/>
              </w:rPr>
            </w:pPr>
            <w:r w:rsidRPr="00CA0AE3">
              <w:rPr>
                <w:rFonts w:ascii="Times New Roman" w:hAnsi="Times New Roman" w:cs="Times New Roman"/>
                <w:color w:val="000000"/>
              </w:rPr>
              <w:t>$</w:t>
            </w:r>
            <w:r w:rsidR="00837DB7" w:rsidRPr="00CA0AE3">
              <w:rPr>
                <w:rFonts w:ascii="Times New Roman" w:hAnsi="Times New Roman" w:cs="Times New Roman"/>
                <w:color w:val="000000"/>
              </w:rPr>
              <w:t>10</w:t>
            </w:r>
            <w:r w:rsidRPr="00CA0AE3">
              <w:rPr>
                <w:rFonts w:ascii="Times New Roman" w:hAnsi="Times New Roman" w:cs="Times New Roman"/>
                <w:color w:val="000000"/>
              </w:rPr>
              <w:t>.</w:t>
            </w:r>
            <w:r w:rsidR="00837DB7" w:rsidRPr="00CA0AE3">
              <w:rPr>
                <w:rFonts w:ascii="Times New Roman" w:hAnsi="Times New Roman" w:cs="Times New Roman"/>
                <w:color w:val="000000"/>
              </w:rPr>
              <w:t>0</w:t>
            </w:r>
            <w:r w:rsidRPr="00CA0AE3">
              <w:rPr>
                <w:rFonts w:ascii="Times New Roman" w:hAnsi="Times New Roman" w:cs="Times New Roman"/>
                <w:color w:val="000000"/>
              </w:rPr>
              <w:t>0M</w:t>
            </w:r>
          </w:p>
        </w:tc>
      </w:tr>
    </w:tbl>
    <w:p w:rsidR="00E1092C" w:rsidRPr="00CA0AE3" w:rsidRDefault="00E1092C" w:rsidP="00E1092C">
      <w:pPr>
        <w:spacing w:after="0" w:line="240" w:lineRule="auto"/>
        <w:jc w:val="both"/>
        <w:rPr>
          <w:rFonts w:eastAsiaTheme="minorHAnsi"/>
        </w:rPr>
      </w:pPr>
    </w:p>
    <w:p w:rsidR="005F46C3" w:rsidRPr="00CA0AE3" w:rsidRDefault="00E1092C">
      <w:pPr>
        <w:pStyle w:val="ListParagraph"/>
        <w:spacing w:after="0" w:line="240" w:lineRule="auto"/>
        <w:ind w:left="1080"/>
        <w:jc w:val="both"/>
        <w:rPr>
          <w:rFonts w:eastAsiaTheme="minorHAnsi"/>
        </w:rPr>
      </w:pPr>
      <w:r w:rsidRPr="00CA0AE3">
        <w:rPr>
          <w:rFonts w:eastAsiaTheme="minorHAnsi"/>
        </w:rPr>
        <w:t xml:space="preserve">The PHTII at-risk outcomes and improvement indicator funds will be earned by Measure Slate based on the individual achievement </w:t>
      </w:r>
      <w:r w:rsidRPr="00CA0AE3">
        <w:t xml:space="preserve">of established performance goals for the specified number of indicators for each respective measure slate as outlined in </w:t>
      </w:r>
      <w:r w:rsidR="001C2684" w:rsidRPr="00CA0AE3">
        <w:t>Section III, paragraph 8</w:t>
      </w:r>
      <w:r w:rsidRPr="00CA0AE3">
        <w:t xml:space="preserve">. For each Measure Slate, the available funds are divided by the </w:t>
      </w:r>
      <w:r w:rsidRPr="00CA0AE3">
        <w:rPr>
          <w:rFonts w:eastAsiaTheme="minorHAnsi"/>
        </w:rPr>
        <w:t>established number of measures specified for achievement during a given demonstration year. Payment will be made to the Public Hospital when a measure is individually achieved and reported, up to the established number of measures assigned funding in a given demonstration year.</w:t>
      </w:r>
    </w:p>
    <w:p w:rsidR="00512C54" w:rsidRPr="00815936" w:rsidRDefault="00512C54" w:rsidP="00815936">
      <w:pPr>
        <w:spacing w:after="0" w:line="240" w:lineRule="auto"/>
        <w:jc w:val="both"/>
        <w:rPr>
          <w:rFonts w:eastAsiaTheme="minorHAnsi"/>
          <w:u w:val="single"/>
        </w:rPr>
      </w:pPr>
    </w:p>
    <w:p w:rsidR="004A7100" w:rsidRPr="00CA0AE3" w:rsidRDefault="004A7100" w:rsidP="004A7100">
      <w:pPr>
        <w:pStyle w:val="ListParagraph"/>
        <w:numPr>
          <w:ilvl w:val="2"/>
          <w:numId w:val="30"/>
        </w:numPr>
        <w:spacing w:after="0" w:line="240" w:lineRule="auto"/>
        <w:jc w:val="both"/>
        <w:rPr>
          <w:rFonts w:eastAsiaTheme="minorHAnsi"/>
          <w:u w:val="single"/>
        </w:rPr>
      </w:pPr>
      <w:r w:rsidRPr="00CA0AE3">
        <w:rPr>
          <w:rFonts w:eastAsiaTheme="minorHAnsi"/>
          <w:u w:val="single"/>
        </w:rPr>
        <w:t xml:space="preserve">Funding Allocation for PHTII </w:t>
      </w:r>
      <w:r w:rsidR="0089277E" w:rsidRPr="00CA0AE3">
        <w:rPr>
          <w:rFonts w:eastAsiaTheme="minorHAnsi"/>
          <w:u w:val="single"/>
        </w:rPr>
        <w:t>Initiatives</w:t>
      </w:r>
      <w:r w:rsidR="001336A1" w:rsidRPr="00CA0AE3">
        <w:rPr>
          <w:rFonts w:eastAsiaTheme="minorHAnsi"/>
          <w:u w:val="single"/>
        </w:rPr>
        <w:t xml:space="preserve"> and Measure Slate 6</w:t>
      </w:r>
    </w:p>
    <w:p w:rsidR="001336A1" w:rsidRPr="00CA0AE3" w:rsidRDefault="004A7100" w:rsidP="004A7100">
      <w:pPr>
        <w:spacing w:after="0" w:line="240" w:lineRule="auto"/>
        <w:ind w:left="1080"/>
        <w:jc w:val="both"/>
        <w:rPr>
          <w:rFonts w:eastAsiaTheme="minorHAnsi"/>
        </w:rPr>
      </w:pPr>
      <w:r w:rsidRPr="00CA0AE3">
        <w:rPr>
          <w:rFonts w:eastAsiaTheme="minorHAnsi"/>
        </w:rPr>
        <w:t xml:space="preserve">In </w:t>
      </w:r>
      <w:r w:rsidR="00A1430A" w:rsidRPr="00CA0AE3">
        <w:rPr>
          <w:lang w:eastAsia="ja-JP"/>
        </w:rPr>
        <w:t>DY</w:t>
      </w:r>
      <w:r w:rsidR="00F27698" w:rsidRPr="00CA0AE3">
        <w:rPr>
          <w:lang w:eastAsia="ja-JP"/>
        </w:rPr>
        <w:t xml:space="preserve"> </w:t>
      </w:r>
      <w:r w:rsidR="00931D16" w:rsidRPr="00CA0AE3">
        <w:rPr>
          <w:lang w:eastAsia="ja-JP"/>
        </w:rPr>
        <w:t>21</w:t>
      </w:r>
      <w:r w:rsidRPr="00CA0AE3">
        <w:rPr>
          <w:rFonts w:eastAsiaTheme="minorHAnsi"/>
        </w:rPr>
        <w:t xml:space="preserve">, </w:t>
      </w:r>
      <w:r w:rsidR="00931D16" w:rsidRPr="00CA0AE3">
        <w:rPr>
          <w:rFonts w:eastAsiaTheme="minorHAnsi"/>
        </w:rPr>
        <w:t>8</w:t>
      </w:r>
      <w:r w:rsidR="007D48A9" w:rsidRPr="00CA0AE3">
        <w:rPr>
          <w:rFonts w:eastAsiaTheme="minorHAnsi"/>
        </w:rPr>
        <w:t>5</w:t>
      </w:r>
      <w:r w:rsidRPr="00CA0AE3">
        <w:rPr>
          <w:rFonts w:eastAsiaTheme="minorHAnsi"/>
        </w:rPr>
        <w:t xml:space="preserve">% of total PHTII funds are available as incentive payments for successful achievement of </w:t>
      </w:r>
      <w:r w:rsidR="004D0F72" w:rsidRPr="00CA0AE3">
        <w:rPr>
          <w:rFonts w:eastAsiaTheme="minorHAnsi"/>
        </w:rPr>
        <w:t xml:space="preserve">progress </w:t>
      </w:r>
      <w:r w:rsidR="001336A1" w:rsidRPr="00CA0AE3">
        <w:rPr>
          <w:rFonts w:eastAsiaTheme="minorHAnsi"/>
        </w:rPr>
        <w:t>report</w:t>
      </w:r>
      <w:r w:rsidR="004D0F72" w:rsidRPr="00CA0AE3">
        <w:rPr>
          <w:rFonts w:eastAsiaTheme="minorHAnsi"/>
        </w:rPr>
        <w:t>ing</w:t>
      </w:r>
      <w:r w:rsidR="001336A1" w:rsidRPr="00CA0AE3">
        <w:rPr>
          <w:rFonts w:eastAsiaTheme="minorHAnsi"/>
        </w:rPr>
        <w:t xml:space="preserve"> on PHTII </w:t>
      </w:r>
      <w:r w:rsidR="00224FC8" w:rsidRPr="00CA0AE3">
        <w:rPr>
          <w:rFonts w:eastAsiaTheme="minorHAnsi"/>
        </w:rPr>
        <w:t>initiative</w:t>
      </w:r>
      <w:r w:rsidRPr="00CA0AE3">
        <w:rPr>
          <w:rFonts w:eastAsiaTheme="minorHAnsi"/>
        </w:rPr>
        <w:t xml:space="preserve"> </w:t>
      </w:r>
      <w:r w:rsidR="001336A1" w:rsidRPr="00CA0AE3">
        <w:rPr>
          <w:rFonts w:eastAsiaTheme="minorHAnsi"/>
        </w:rPr>
        <w:t>activities</w:t>
      </w:r>
      <w:r w:rsidR="00893573" w:rsidRPr="00CA0AE3">
        <w:rPr>
          <w:rFonts w:eastAsiaTheme="minorHAnsi"/>
        </w:rPr>
        <w:t xml:space="preserve"> as described in Section V, paragraph 1</w:t>
      </w:r>
      <w:r w:rsidR="007D48A9" w:rsidRPr="00CA0AE3">
        <w:rPr>
          <w:rFonts w:eastAsiaTheme="minorHAnsi"/>
        </w:rPr>
        <w:t>2</w:t>
      </w:r>
      <w:r w:rsidR="00C67994" w:rsidRPr="00CA0AE3">
        <w:rPr>
          <w:rFonts w:eastAsiaTheme="minorHAnsi"/>
        </w:rPr>
        <w:t xml:space="preserve">. </w:t>
      </w:r>
      <w:r w:rsidRPr="00CA0AE3">
        <w:rPr>
          <w:rFonts w:eastAsiaTheme="minorHAnsi"/>
        </w:rPr>
        <w:t xml:space="preserve">The funding allocation available for PHTII </w:t>
      </w:r>
      <w:r w:rsidR="00224FC8" w:rsidRPr="00CA0AE3">
        <w:rPr>
          <w:rFonts w:eastAsiaTheme="minorHAnsi"/>
        </w:rPr>
        <w:t>initiative</w:t>
      </w:r>
      <w:r w:rsidR="001336A1" w:rsidRPr="00CA0AE3">
        <w:rPr>
          <w:rFonts w:eastAsiaTheme="minorHAnsi"/>
        </w:rPr>
        <w:t>s</w:t>
      </w:r>
      <w:r w:rsidRPr="00CA0AE3">
        <w:rPr>
          <w:rFonts w:eastAsiaTheme="minorHAnsi"/>
        </w:rPr>
        <w:t xml:space="preserve"> </w:t>
      </w:r>
      <w:r w:rsidR="001336A1" w:rsidRPr="00CA0AE3">
        <w:rPr>
          <w:rFonts w:eastAsiaTheme="minorHAnsi"/>
        </w:rPr>
        <w:t xml:space="preserve">is </w:t>
      </w:r>
      <w:r w:rsidRPr="00CA0AE3">
        <w:rPr>
          <w:rFonts w:eastAsiaTheme="minorHAnsi"/>
        </w:rPr>
        <w:t>8</w:t>
      </w:r>
      <w:r w:rsidR="007D48A9" w:rsidRPr="00CA0AE3">
        <w:rPr>
          <w:rFonts w:eastAsiaTheme="minorHAnsi"/>
        </w:rPr>
        <w:t>5</w:t>
      </w:r>
      <w:r w:rsidRPr="00CA0AE3">
        <w:rPr>
          <w:rFonts w:eastAsiaTheme="minorHAnsi"/>
        </w:rPr>
        <w:t xml:space="preserve">% in </w:t>
      </w:r>
      <w:r w:rsidR="00A1430A" w:rsidRPr="00CA0AE3">
        <w:rPr>
          <w:rFonts w:eastAsiaTheme="minorHAnsi"/>
        </w:rPr>
        <w:t>DY</w:t>
      </w:r>
      <w:r w:rsidR="00F27698" w:rsidRPr="00CA0AE3">
        <w:rPr>
          <w:rFonts w:eastAsiaTheme="minorHAnsi"/>
        </w:rPr>
        <w:t xml:space="preserve"> </w:t>
      </w:r>
      <w:r w:rsidR="001336A1" w:rsidRPr="00CA0AE3">
        <w:rPr>
          <w:rFonts w:eastAsiaTheme="minorHAnsi"/>
        </w:rPr>
        <w:t xml:space="preserve">22, </w:t>
      </w:r>
      <w:r w:rsidR="007D48A9" w:rsidRPr="00CA0AE3">
        <w:rPr>
          <w:rFonts w:eastAsiaTheme="minorHAnsi"/>
        </w:rPr>
        <w:t>80</w:t>
      </w:r>
      <w:r w:rsidR="001336A1" w:rsidRPr="00CA0AE3">
        <w:rPr>
          <w:rFonts w:eastAsiaTheme="minorHAnsi"/>
        </w:rPr>
        <w:t>% in DY 23, 7</w:t>
      </w:r>
      <w:r w:rsidR="007D48A9" w:rsidRPr="00CA0AE3">
        <w:rPr>
          <w:rFonts w:eastAsiaTheme="minorHAnsi"/>
        </w:rPr>
        <w:t>5</w:t>
      </w:r>
      <w:r w:rsidR="001336A1" w:rsidRPr="00CA0AE3">
        <w:rPr>
          <w:rFonts w:eastAsiaTheme="minorHAnsi"/>
        </w:rPr>
        <w:t>% in DY 2</w:t>
      </w:r>
      <w:r w:rsidR="00112F0A" w:rsidRPr="00CA0AE3">
        <w:rPr>
          <w:rFonts w:eastAsiaTheme="minorHAnsi"/>
        </w:rPr>
        <w:t>4</w:t>
      </w:r>
      <w:r w:rsidR="001336A1" w:rsidRPr="00CA0AE3">
        <w:rPr>
          <w:rFonts w:eastAsiaTheme="minorHAnsi"/>
        </w:rPr>
        <w:t xml:space="preserve">, </w:t>
      </w:r>
      <w:r w:rsidRPr="00CA0AE3">
        <w:rPr>
          <w:rFonts w:eastAsiaTheme="minorHAnsi"/>
        </w:rPr>
        <w:t xml:space="preserve">and </w:t>
      </w:r>
      <w:r w:rsidR="007D48A9" w:rsidRPr="00CA0AE3">
        <w:rPr>
          <w:rFonts w:eastAsiaTheme="minorHAnsi"/>
        </w:rPr>
        <w:t>70</w:t>
      </w:r>
      <w:r w:rsidRPr="00CA0AE3">
        <w:rPr>
          <w:rFonts w:eastAsiaTheme="minorHAnsi"/>
        </w:rPr>
        <w:t xml:space="preserve">% in </w:t>
      </w:r>
      <w:r w:rsidR="00A1430A" w:rsidRPr="00CA0AE3">
        <w:rPr>
          <w:rFonts w:eastAsiaTheme="minorHAnsi"/>
        </w:rPr>
        <w:t>DY</w:t>
      </w:r>
      <w:r w:rsidR="00F27698" w:rsidRPr="00CA0AE3">
        <w:rPr>
          <w:rFonts w:eastAsiaTheme="minorHAnsi"/>
        </w:rPr>
        <w:t xml:space="preserve"> </w:t>
      </w:r>
      <w:r w:rsidR="00A1430A" w:rsidRPr="00CA0AE3">
        <w:rPr>
          <w:rFonts w:eastAsiaTheme="minorHAnsi"/>
        </w:rPr>
        <w:t>2</w:t>
      </w:r>
      <w:r w:rsidR="001336A1" w:rsidRPr="00CA0AE3">
        <w:rPr>
          <w:rFonts w:eastAsiaTheme="minorHAnsi"/>
        </w:rPr>
        <w:t xml:space="preserve">5. </w:t>
      </w:r>
    </w:p>
    <w:p w:rsidR="001336A1" w:rsidRPr="00CA0AE3" w:rsidRDefault="001336A1" w:rsidP="004A7100">
      <w:pPr>
        <w:spacing w:after="0" w:line="240" w:lineRule="auto"/>
        <w:ind w:left="1080"/>
        <w:jc w:val="both"/>
        <w:rPr>
          <w:rFonts w:eastAsiaTheme="minorHAnsi"/>
        </w:rPr>
      </w:pPr>
    </w:p>
    <w:p w:rsidR="004A7100" w:rsidRPr="00CA0AE3" w:rsidRDefault="008D3CB4" w:rsidP="00C67994">
      <w:pPr>
        <w:pStyle w:val="ListParagraph"/>
        <w:spacing w:after="0" w:line="240" w:lineRule="auto"/>
        <w:ind w:left="1080"/>
        <w:jc w:val="both"/>
        <w:rPr>
          <w:rFonts w:eastAsiaTheme="minorHAnsi"/>
        </w:rPr>
      </w:pPr>
      <w:r w:rsidRPr="00CA0AE3">
        <w:rPr>
          <w:rFonts w:eastAsiaTheme="minorHAnsi"/>
        </w:rPr>
        <w:t>Of such annual PHTII funds available for successful achievement of</w:t>
      </w:r>
      <w:r w:rsidR="006879AC" w:rsidRPr="00CA0AE3">
        <w:rPr>
          <w:rFonts w:eastAsiaTheme="minorHAnsi"/>
        </w:rPr>
        <w:t xml:space="preserve"> reporting</w:t>
      </w:r>
      <w:r w:rsidRPr="00CA0AE3">
        <w:rPr>
          <w:rFonts w:eastAsiaTheme="minorHAnsi"/>
        </w:rPr>
        <w:t xml:space="preserve"> initiative activities in DYs 21</w:t>
      </w:r>
      <w:r w:rsidR="00C67994" w:rsidRPr="00CA0AE3">
        <w:rPr>
          <w:rFonts w:eastAsiaTheme="minorHAnsi"/>
        </w:rPr>
        <w:t xml:space="preserve"> – </w:t>
      </w:r>
      <w:r w:rsidRPr="00CA0AE3">
        <w:rPr>
          <w:rFonts w:eastAsiaTheme="minorHAnsi"/>
        </w:rPr>
        <w:t>25, five percent of such annual initiative metric funding is associated with Measure Slate 6 (Population-Wide Public Health Measures), which is pay-for-reporting throughout the demonstration. The table below specifies the annual base values for PHTII initiatives and Measure Slate 6.</w:t>
      </w:r>
    </w:p>
    <w:p w:rsidR="004A7100" w:rsidRPr="00CA0AE3" w:rsidRDefault="004A7100" w:rsidP="004A7100">
      <w:pPr>
        <w:spacing w:after="0" w:line="240" w:lineRule="auto"/>
        <w:jc w:val="both"/>
        <w:rPr>
          <w:rFonts w:eastAsiaTheme="minorHAnsi"/>
        </w:rPr>
      </w:pPr>
    </w:p>
    <w:tbl>
      <w:tblPr>
        <w:tblStyle w:val="TableGrid"/>
        <w:tblW w:w="0" w:type="auto"/>
        <w:tblInd w:w="1188" w:type="dxa"/>
        <w:tblLayout w:type="fixed"/>
        <w:tblLook w:val="04A0" w:firstRow="1" w:lastRow="0" w:firstColumn="1" w:lastColumn="0" w:noHBand="0" w:noVBand="1"/>
      </w:tblPr>
      <w:tblGrid>
        <w:gridCol w:w="1894"/>
        <w:gridCol w:w="1334"/>
        <w:gridCol w:w="1335"/>
        <w:gridCol w:w="1335"/>
        <w:gridCol w:w="1335"/>
        <w:gridCol w:w="1335"/>
      </w:tblGrid>
      <w:tr w:rsidR="001336A1" w:rsidRPr="00CA0AE3" w:rsidTr="00344791">
        <w:trPr>
          <w:cantSplit/>
        </w:trPr>
        <w:tc>
          <w:tcPr>
            <w:tcW w:w="1894" w:type="dxa"/>
          </w:tcPr>
          <w:p w:rsidR="001336A1" w:rsidRPr="00CA0AE3" w:rsidRDefault="001336A1" w:rsidP="00201180">
            <w:pPr>
              <w:spacing w:after="0" w:line="240" w:lineRule="auto"/>
              <w:jc w:val="both"/>
              <w:rPr>
                <w:rFonts w:ascii="Times New Roman" w:eastAsiaTheme="minorHAnsi" w:hAnsi="Times New Roman" w:cs="Times New Roman"/>
                <w:b/>
              </w:rPr>
            </w:pPr>
          </w:p>
        </w:tc>
        <w:tc>
          <w:tcPr>
            <w:tcW w:w="1334" w:type="dxa"/>
            <w:vAlign w:val="center"/>
          </w:tcPr>
          <w:p w:rsidR="005F46C3" w:rsidRPr="00CA0AE3" w:rsidRDefault="001336A1" w:rsidP="00B11696">
            <w:pPr>
              <w:spacing w:after="0" w:line="240" w:lineRule="auto"/>
              <w:jc w:val="center"/>
              <w:rPr>
                <w:rFonts w:ascii="Times New Roman" w:eastAsiaTheme="minorHAnsi" w:hAnsi="Times New Roman" w:cs="Times New Roman"/>
                <w:b/>
              </w:rPr>
            </w:pPr>
            <w:r w:rsidRPr="00CA0AE3">
              <w:rPr>
                <w:rFonts w:ascii="Times New Roman" w:eastAsiaTheme="minorHAnsi" w:hAnsi="Times New Roman" w:cs="Times New Roman"/>
                <w:b/>
              </w:rPr>
              <w:t xml:space="preserve">DY </w:t>
            </w:r>
            <w:r w:rsidR="00E1092C" w:rsidRPr="00CA0AE3">
              <w:rPr>
                <w:rFonts w:ascii="Times New Roman" w:eastAsiaTheme="minorHAnsi" w:hAnsi="Times New Roman" w:cs="Times New Roman"/>
                <w:b/>
              </w:rPr>
              <w:t>21</w:t>
            </w:r>
          </w:p>
        </w:tc>
        <w:tc>
          <w:tcPr>
            <w:tcW w:w="1335" w:type="dxa"/>
            <w:vAlign w:val="center"/>
          </w:tcPr>
          <w:p w:rsidR="005F46C3" w:rsidRPr="00CA0AE3" w:rsidRDefault="001336A1" w:rsidP="00B11696">
            <w:pPr>
              <w:spacing w:after="0" w:line="240" w:lineRule="auto"/>
              <w:jc w:val="center"/>
              <w:rPr>
                <w:rFonts w:ascii="Times New Roman" w:eastAsiaTheme="minorHAnsi" w:hAnsi="Times New Roman" w:cs="Times New Roman"/>
                <w:b/>
              </w:rPr>
            </w:pPr>
            <w:r w:rsidRPr="00CA0AE3">
              <w:rPr>
                <w:rFonts w:ascii="Times New Roman" w:eastAsiaTheme="minorHAnsi" w:hAnsi="Times New Roman" w:cs="Times New Roman"/>
                <w:b/>
              </w:rPr>
              <w:t xml:space="preserve">DY </w:t>
            </w:r>
            <w:r w:rsidR="00E1092C" w:rsidRPr="00CA0AE3">
              <w:rPr>
                <w:rFonts w:ascii="Times New Roman" w:eastAsiaTheme="minorHAnsi" w:hAnsi="Times New Roman" w:cs="Times New Roman"/>
                <w:b/>
              </w:rPr>
              <w:t>22</w:t>
            </w:r>
          </w:p>
        </w:tc>
        <w:tc>
          <w:tcPr>
            <w:tcW w:w="1335" w:type="dxa"/>
            <w:vAlign w:val="center"/>
          </w:tcPr>
          <w:p w:rsidR="005F46C3" w:rsidRPr="00CA0AE3" w:rsidRDefault="001336A1" w:rsidP="00B11696">
            <w:pPr>
              <w:spacing w:after="0" w:line="240" w:lineRule="auto"/>
              <w:jc w:val="center"/>
              <w:rPr>
                <w:rFonts w:ascii="Times New Roman" w:eastAsiaTheme="minorHAnsi" w:hAnsi="Times New Roman" w:cs="Times New Roman"/>
                <w:b/>
              </w:rPr>
            </w:pPr>
            <w:r w:rsidRPr="00CA0AE3">
              <w:rPr>
                <w:rFonts w:ascii="Times New Roman" w:eastAsiaTheme="minorHAnsi" w:hAnsi="Times New Roman" w:cs="Times New Roman"/>
                <w:b/>
              </w:rPr>
              <w:t>DY 2</w:t>
            </w:r>
            <w:r w:rsidR="00E1092C" w:rsidRPr="00CA0AE3">
              <w:rPr>
                <w:rFonts w:ascii="Times New Roman" w:eastAsiaTheme="minorHAnsi" w:hAnsi="Times New Roman" w:cs="Times New Roman"/>
                <w:b/>
              </w:rPr>
              <w:t>3</w:t>
            </w:r>
          </w:p>
        </w:tc>
        <w:tc>
          <w:tcPr>
            <w:tcW w:w="1335" w:type="dxa"/>
            <w:vAlign w:val="center"/>
          </w:tcPr>
          <w:p w:rsidR="005F46C3" w:rsidRPr="00CA0AE3" w:rsidRDefault="001336A1" w:rsidP="00B11696">
            <w:pPr>
              <w:spacing w:after="0" w:line="240" w:lineRule="auto"/>
              <w:jc w:val="center"/>
              <w:rPr>
                <w:rFonts w:ascii="Times New Roman" w:eastAsiaTheme="minorHAnsi" w:hAnsi="Times New Roman" w:cs="Times New Roman"/>
                <w:b/>
              </w:rPr>
            </w:pPr>
            <w:r w:rsidRPr="00CA0AE3">
              <w:rPr>
                <w:rFonts w:ascii="Times New Roman" w:eastAsiaTheme="minorHAnsi" w:hAnsi="Times New Roman" w:cs="Times New Roman"/>
                <w:b/>
              </w:rPr>
              <w:t>DY 2</w:t>
            </w:r>
            <w:r w:rsidR="00E1092C" w:rsidRPr="00CA0AE3">
              <w:rPr>
                <w:rFonts w:ascii="Times New Roman" w:eastAsiaTheme="minorHAnsi" w:hAnsi="Times New Roman" w:cs="Times New Roman"/>
                <w:b/>
              </w:rPr>
              <w:t>4</w:t>
            </w:r>
          </w:p>
        </w:tc>
        <w:tc>
          <w:tcPr>
            <w:tcW w:w="1335" w:type="dxa"/>
            <w:vAlign w:val="center"/>
          </w:tcPr>
          <w:p w:rsidR="005F46C3" w:rsidRPr="00CA0AE3" w:rsidRDefault="001336A1" w:rsidP="00B11696">
            <w:pPr>
              <w:spacing w:after="0" w:line="240" w:lineRule="auto"/>
              <w:jc w:val="center"/>
              <w:rPr>
                <w:rFonts w:ascii="Times New Roman" w:eastAsiaTheme="minorHAnsi" w:hAnsi="Times New Roman" w:cs="Times New Roman"/>
                <w:b/>
              </w:rPr>
            </w:pPr>
            <w:r w:rsidRPr="00CA0AE3">
              <w:rPr>
                <w:rFonts w:ascii="Times New Roman" w:eastAsiaTheme="minorHAnsi" w:hAnsi="Times New Roman" w:cs="Times New Roman"/>
                <w:b/>
              </w:rPr>
              <w:t>DY 2</w:t>
            </w:r>
            <w:r w:rsidR="00E1092C" w:rsidRPr="00CA0AE3">
              <w:rPr>
                <w:rFonts w:ascii="Times New Roman" w:eastAsiaTheme="minorHAnsi" w:hAnsi="Times New Roman" w:cs="Times New Roman"/>
                <w:b/>
              </w:rPr>
              <w:t>5</w:t>
            </w:r>
          </w:p>
        </w:tc>
      </w:tr>
      <w:tr w:rsidR="0054776A" w:rsidRPr="00CA0AE3" w:rsidTr="0054776A">
        <w:trPr>
          <w:cantSplit/>
        </w:trPr>
        <w:tc>
          <w:tcPr>
            <w:tcW w:w="1894" w:type="dxa"/>
            <w:vAlign w:val="center"/>
          </w:tcPr>
          <w:p w:rsidR="0054776A" w:rsidRPr="00CA0AE3" w:rsidRDefault="0054776A">
            <w:pPr>
              <w:spacing w:after="0" w:line="240" w:lineRule="auto"/>
              <w:rPr>
                <w:rFonts w:ascii="Times New Roman" w:eastAsiaTheme="minorHAnsi" w:hAnsi="Times New Roman" w:cs="Times New Roman"/>
              </w:rPr>
            </w:pPr>
            <w:r w:rsidRPr="00CA0AE3">
              <w:rPr>
                <w:rFonts w:ascii="Times New Roman" w:eastAsiaTheme="minorHAnsi" w:hAnsi="Times New Roman" w:cs="Times New Roman"/>
              </w:rPr>
              <w:t>PHTII Initiatives Progress Reporting</w:t>
            </w:r>
          </w:p>
        </w:tc>
        <w:tc>
          <w:tcPr>
            <w:tcW w:w="1334" w:type="dxa"/>
            <w:vAlign w:val="center"/>
          </w:tcPr>
          <w:p w:rsidR="0054776A" w:rsidRPr="00CA0AE3" w:rsidRDefault="00534880" w:rsidP="0054776A">
            <w:pPr>
              <w:spacing w:after="0" w:line="240" w:lineRule="auto"/>
              <w:jc w:val="right"/>
              <w:rPr>
                <w:rFonts w:ascii="Times New Roman" w:hAnsi="Times New Roman" w:cs="Times New Roman"/>
                <w:color w:val="000000"/>
              </w:rPr>
            </w:pPr>
            <w:r w:rsidRPr="00CA0AE3">
              <w:rPr>
                <w:rFonts w:ascii="Times New Roman" w:hAnsi="Times New Roman" w:cs="Times New Roman"/>
                <w:color w:val="000000"/>
              </w:rPr>
              <w:t>$</w:t>
            </w:r>
            <w:r w:rsidR="00BB0A00" w:rsidRPr="00CA0AE3">
              <w:rPr>
                <w:rFonts w:ascii="Times New Roman" w:hAnsi="Times New Roman" w:cs="Times New Roman"/>
                <w:color w:val="000000"/>
              </w:rPr>
              <w:t>249</w:t>
            </w:r>
            <w:r w:rsidR="00035022" w:rsidRPr="00CA0AE3">
              <w:rPr>
                <w:rFonts w:ascii="Times New Roman" w:hAnsi="Times New Roman" w:cs="Times New Roman"/>
                <w:color w:val="000000"/>
              </w:rPr>
              <w:t>.</w:t>
            </w:r>
            <w:r w:rsidR="00BB0A00" w:rsidRPr="00CA0AE3">
              <w:rPr>
                <w:rFonts w:ascii="Times New Roman" w:hAnsi="Times New Roman" w:cs="Times New Roman"/>
                <w:color w:val="000000"/>
              </w:rPr>
              <w:t>52</w:t>
            </w:r>
            <w:r w:rsidRPr="00CA0AE3">
              <w:rPr>
                <w:rFonts w:ascii="Times New Roman" w:hAnsi="Times New Roman" w:cs="Times New Roman"/>
                <w:color w:val="000000"/>
              </w:rPr>
              <w:t>M</w:t>
            </w:r>
          </w:p>
        </w:tc>
        <w:tc>
          <w:tcPr>
            <w:tcW w:w="1335" w:type="dxa"/>
            <w:vAlign w:val="center"/>
          </w:tcPr>
          <w:p w:rsidR="0054776A" w:rsidRPr="00CA0AE3" w:rsidRDefault="00534880" w:rsidP="0054776A">
            <w:pPr>
              <w:spacing w:after="0" w:line="240" w:lineRule="auto"/>
              <w:jc w:val="right"/>
              <w:rPr>
                <w:rFonts w:ascii="Times New Roman" w:hAnsi="Times New Roman" w:cs="Times New Roman"/>
                <w:color w:val="000000"/>
              </w:rPr>
            </w:pPr>
            <w:r w:rsidRPr="00CA0AE3">
              <w:rPr>
                <w:rFonts w:ascii="Times New Roman" w:hAnsi="Times New Roman" w:cs="Times New Roman"/>
                <w:color w:val="000000"/>
              </w:rPr>
              <w:t>$</w:t>
            </w:r>
            <w:r w:rsidR="00035022" w:rsidRPr="00CA0AE3">
              <w:rPr>
                <w:rFonts w:ascii="Times New Roman" w:hAnsi="Times New Roman" w:cs="Times New Roman"/>
                <w:color w:val="000000"/>
              </w:rPr>
              <w:t>1</w:t>
            </w:r>
            <w:r w:rsidR="00BB0A00" w:rsidRPr="00CA0AE3">
              <w:rPr>
                <w:rFonts w:ascii="Times New Roman" w:hAnsi="Times New Roman" w:cs="Times New Roman"/>
                <w:color w:val="000000"/>
              </w:rPr>
              <w:t>96</w:t>
            </w:r>
            <w:r w:rsidR="00035022" w:rsidRPr="00CA0AE3">
              <w:rPr>
                <w:rFonts w:ascii="Times New Roman" w:hAnsi="Times New Roman" w:cs="Times New Roman"/>
                <w:color w:val="000000"/>
              </w:rPr>
              <w:t>.</w:t>
            </w:r>
            <w:r w:rsidR="00BB0A00" w:rsidRPr="00CA0AE3">
              <w:rPr>
                <w:rFonts w:ascii="Times New Roman" w:hAnsi="Times New Roman" w:cs="Times New Roman"/>
                <w:color w:val="000000"/>
              </w:rPr>
              <w:t>22</w:t>
            </w:r>
            <w:r w:rsidRPr="00CA0AE3">
              <w:rPr>
                <w:rFonts w:ascii="Times New Roman" w:hAnsi="Times New Roman" w:cs="Times New Roman"/>
                <w:color w:val="000000"/>
              </w:rPr>
              <w:t>M</w:t>
            </w:r>
          </w:p>
        </w:tc>
        <w:tc>
          <w:tcPr>
            <w:tcW w:w="1335" w:type="dxa"/>
            <w:vAlign w:val="center"/>
          </w:tcPr>
          <w:p w:rsidR="0054776A" w:rsidRPr="00CA0AE3" w:rsidRDefault="00534880" w:rsidP="0054776A">
            <w:pPr>
              <w:spacing w:after="0" w:line="240" w:lineRule="auto"/>
              <w:jc w:val="right"/>
              <w:rPr>
                <w:rFonts w:ascii="Times New Roman" w:hAnsi="Times New Roman" w:cs="Times New Roman"/>
                <w:color w:val="000000"/>
              </w:rPr>
            </w:pPr>
            <w:r w:rsidRPr="00CA0AE3">
              <w:rPr>
                <w:rFonts w:ascii="Times New Roman" w:hAnsi="Times New Roman" w:cs="Times New Roman"/>
                <w:color w:val="000000"/>
              </w:rPr>
              <w:t>$</w:t>
            </w:r>
            <w:r w:rsidR="00BB0A00" w:rsidRPr="00CA0AE3">
              <w:rPr>
                <w:rFonts w:ascii="Times New Roman" w:hAnsi="Times New Roman" w:cs="Times New Roman"/>
                <w:color w:val="000000"/>
              </w:rPr>
              <w:t>76</w:t>
            </w:r>
            <w:r w:rsidR="00035022" w:rsidRPr="00CA0AE3">
              <w:rPr>
                <w:rFonts w:ascii="Times New Roman" w:hAnsi="Times New Roman" w:cs="Times New Roman"/>
                <w:color w:val="000000"/>
              </w:rPr>
              <w:t>.</w:t>
            </w:r>
            <w:r w:rsidR="00BB0A00" w:rsidRPr="00CA0AE3">
              <w:rPr>
                <w:rFonts w:ascii="Times New Roman" w:hAnsi="Times New Roman" w:cs="Times New Roman"/>
                <w:color w:val="000000"/>
              </w:rPr>
              <w:t>00</w:t>
            </w:r>
            <w:r w:rsidRPr="00CA0AE3">
              <w:rPr>
                <w:rFonts w:ascii="Times New Roman" w:hAnsi="Times New Roman" w:cs="Times New Roman"/>
                <w:color w:val="000000"/>
              </w:rPr>
              <w:t>M</w:t>
            </w:r>
          </w:p>
        </w:tc>
        <w:tc>
          <w:tcPr>
            <w:tcW w:w="1335" w:type="dxa"/>
            <w:vAlign w:val="center"/>
          </w:tcPr>
          <w:p w:rsidR="0054776A" w:rsidRPr="00CA0AE3" w:rsidRDefault="00534880" w:rsidP="0054776A">
            <w:pPr>
              <w:spacing w:after="0" w:line="240" w:lineRule="auto"/>
              <w:jc w:val="right"/>
              <w:rPr>
                <w:rFonts w:ascii="Times New Roman" w:hAnsi="Times New Roman" w:cs="Times New Roman"/>
                <w:color w:val="000000"/>
              </w:rPr>
            </w:pPr>
            <w:r w:rsidRPr="00CA0AE3">
              <w:rPr>
                <w:rFonts w:ascii="Times New Roman" w:hAnsi="Times New Roman" w:cs="Times New Roman"/>
                <w:color w:val="000000"/>
              </w:rPr>
              <w:t>$</w:t>
            </w:r>
            <w:r w:rsidR="00BB0A00" w:rsidRPr="00CA0AE3">
              <w:rPr>
                <w:rFonts w:ascii="Times New Roman" w:hAnsi="Times New Roman" w:cs="Times New Roman"/>
                <w:color w:val="000000"/>
              </w:rPr>
              <w:t>71</w:t>
            </w:r>
            <w:r w:rsidR="00035022" w:rsidRPr="00CA0AE3">
              <w:rPr>
                <w:rFonts w:ascii="Times New Roman" w:hAnsi="Times New Roman" w:cs="Times New Roman"/>
                <w:color w:val="000000"/>
              </w:rPr>
              <w:t>.</w:t>
            </w:r>
            <w:r w:rsidR="00BB0A00" w:rsidRPr="00CA0AE3">
              <w:rPr>
                <w:rFonts w:ascii="Times New Roman" w:hAnsi="Times New Roman" w:cs="Times New Roman"/>
                <w:color w:val="000000"/>
              </w:rPr>
              <w:t>25</w:t>
            </w:r>
            <w:r w:rsidRPr="00CA0AE3">
              <w:rPr>
                <w:rFonts w:ascii="Times New Roman" w:hAnsi="Times New Roman" w:cs="Times New Roman"/>
                <w:color w:val="000000"/>
              </w:rPr>
              <w:t>M</w:t>
            </w:r>
          </w:p>
        </w:tc>
        <w:tc>
          <w:tcPr>
            <w:tcW w:w="1335" w:type="dxa"/>
            <w:vAlign w:val="center"/>
          </w:tcPr>
          <w:p w:rsidR="0054776A" w:rsidRPr="00CA0AE3" w:rsidRDefault="00534880" w:rsidP="0054776A">
            <w:pPr>
              <w:spacing w:after="0" w:line="240" w:lineRule="auto"/>
              <w:jc w:val="right"/>
              <w:rPr>
                <w:rFonts w:ascii="Times New Roman" w:hAnsi="Times New Roman" w:cs="Times New Roman"/>
                <w:color w:val="000000"/>
              </w:rPr>
            </w:pPr>
            <w:r w:rsidRPr="00CA0AE3">
              <w:rPr>
                <w:rFonts w:ascii="Times New Roman" w:hAnsi="Times New Roman" w:cs="Times New Roman"/>
                <w:color w:val="000000"/>
              </w:rPr>
              <w:t>$</w:t>
            </w:r>
            <w:r w:rsidR="00035022" w:rsidRPr="00CA0AE3">
              <w:rPr>
                <w:rFonts w:ascii="Times New Roman" w:hAnsi="Times New Roman" w:cs="Times New Roman"/>
                <w:color w:val="000000"/>
              </w:rPr>
              <w:t>6</w:t>
            </w:r>
            <w:r w:rsidR="00BB0A00" w:rsidRPr="00CA0AE3">
              <w:rPr>
                <w:rFonts w:ascii="Times New Roman" w:hAnsi="Times New Roman" w:cs="Times New Roman"/>
                <w:color w:val="000000"/>
              </w:rPr>
              <w:t>6</w:t>
            </w:r>
            <w:r w:rsidR="00035022" w:rsidRPr="00CA0AE3">
              <w:rPr>
                <w:rFonts w:ascii="Times New Roman" w:hAnsi="Times New Roman" w:cs="Times New Roman"/>
                <w:color w:val="000000"/>
              </w:rPr>
              <w:t>.</w:t>
            </w:r>
            <w:r w:rsidR="00BB0A00" w:rsidRPr="00CA0AE3">
              <w:rPr>
                <w:rFonts w:ascii="Times New Roman" w:hAnsi="Times New Roman" w:cs="Times New Roman"/>
                <w:color w:val="000000"/>
              </w:rPr>
              <w:t>50</w:t>
            </w:r>
            <w:r w:rsidRPr="00CA0AE3">
              <w:rPr>
                <w:rFonts w:ascii="Times New Roman" w:hAnsi="Times New Roman" w:cs="Times New Roman"/>
                <w:color w:val="000000"/>
              </w:rPr>
              <w:t>M</w:t>
            </w:r>
          </w:p>
        </w:tc>
      </w:tr>
      <w:tr w:rsidR="0054776A" w:rsidRPr="00CA0AE3" w:rsidTr="0054776A">
        <w:trPr>
          <w:cantSplit/>
        </w:trPr>
        <w:tc>
          <w:tcPr>
            <w:tcW w:w="1894" w:type="dxa"/>
            <w:vAlign w:val="center"/>
          </w:tcPr>
          <w:p w:rsidR="0054776A" w:rsidRPr="00CA0AE3" w:rsidRDefault="0054776A">
            <w:pPr>
              <w:spacing w:after="0" w:line="240" w:lineRule="auto"/>
              <w:rPr>
                <w:rFonts w:ascii="Times New Roman" w:eastAsiaTheme="minorHAnsi" w:hAnsi="Times New Roman" w:cs="Times New Roman"/>
              </w:rPr>
            </w:pPr>
            <w:r w:rsidRPr="00CA0AE3">
              <w:rPr>
                <w:rFonts w:ascii="Times New Roman" w:eastAsiaTheme="minorHAnsi" w:hAnsi="Times New Roman" w:cs="Times New Roman"/>
              </w:rPr>
              <w:t>Measure Slate 6</w:t>
            </w:r>
          </w:p>
        </w:tc>
        <w:tc>
          <w:tcPr>
            <w:tcW w:w="1334" w:type="dxa"/>
            <w:vAlign w:val="center"/>
          </w:tcPr>
          <w:p w:rsidR="0054776A" w:rsidRPr="00CA0AE3" w:rsidRDefault="00534880" w:rsidP="0054776A">
            <w:pPr>
              <w:spacing w:after="0" w:line="240" w:lineRule="auto"/>
              <w:jc w:val="right"/>
              <w:rPr>
                <w:rFonts w:ascii="Times New Roman" w:hAnsi="Times New Roman" w:cs="Times New Roman"/>
                <w:color w:val="000000"/>
              </w:rPr>
            </w:pPr>
            <w:r w:rsidRPr="00CA0AE3">
              <w:rPr>
                <w:rFonts w:ascii="Times New Roman" w:hAnsi="Times New Roman" w:cs="Times New Roman"/>
                <w:color w:val="000000"/>
              </w:rPr>
              <w:t>$</w:t>
            </w:r>
            <w:r w:rsidR="009F2B91" w:rsidRPr="00CA0AE3">
              <w:rPr>
                <w:rFonts w:ascii="Times New Roman" w:hAnsi="Times New Roman" w:cs="Times New Roman"/>
                <w:color w:val="000000"/>
              </w:rPr>
              <w:t>13.1325</w:t>
            </w:r>
            <w:r w:rsidRPr="00CA0AE3">
              <w:rPr>
                <w:rFonts w:ascii="Times New Roman" w:hAnsi="Times New Roman" w:cs="Times New Roman"/>
                <w:color w:val="000000"/>
              </w:rPr>
              <w:t>M</w:t>
            </w:r>
          </w:p>
        </w:tc>
        <w:tc>
          <w:tcPr>
            <w:tcW w:w="1335" w:type="dxa"/>
            <w:vAlign w:val="center"/>
          </w:tcPr>
          <w:p w:rsidR="0054776A" w:rsidRPr="00CA0AE3" w:rsidRDefault="00534880" w:rsidP="0054776A">
            <w:pPr>
              <w:spacing w:after="0" w:line="240" w:lineRule="auto"/>
              <w:jc w:val="right"/>
              <w:rPr>
                <w:rFonts w:ascii="Times New Roman" w:hAnsi="Times New Roman" w:cs="Times New Roman"/>
                <w:color w:val="000000"/>
              </w:rPr>
            </w:pPr>
            <w:r w:rsidRPr="00CA0AE3">
              <w:rPr>
                <w:rFonts w:ascii="Times New Roman" w:hAnsi="Times New Roman" w:cs="Times New Roman"/>
                <w:color w:val="000000"/>
              </w:rPr>
              <w:t>$</w:t>
            </w:r>
            <w:r w:rsidR="009F2B91" w:rsidRPr="00CA0AE3">
              <w:rPr>
                <w:rFonts w:ascii="Times New Roman" w:hAnsi="Times New Roman" w:cs="Times New Roman"/>
                <w:color w:val="000000"/>
              </w:rPr>
              <w:t>10.3275</w:t>
            </w:r>
            <w:r w:rsidRPr="00CA0AE3">
              <w:rPr>
                <w:rFonts w:ascii="Times New Roman" w:hAnsi="Times New Roman" w:cs="Times New Roman"/>
                <w:color w:val="000000"/>
              </w:rPr>
              <w:t>M</w:t>
            </w:r>
          </w:p>
        </w:tc>
        <w:tc>
          <w:tcPr>
            <w:tcW w:w="1335" w:type="dxa"/>
            <w:vAlign w:val="center"/>
          </w:tcPr>
          <w:p w:rsidR="0054776A" w:rsidRPr="00CA0AE3" w:rsidRDefault="00534880" w:rsidP="0054776A">
            <w:pPr>
              <w:spacing w:after="0" w:line="240" w:lineRule="auto"/>
              <w:jc w:val="right"/>
              <w:rPr>
                <w:rFonts w:ascii="Times New Roman" w:hAnsi="Times New Roman" w:cs="Times New Roman"/>
                <w:color w:val="000000"/>
              </w:rPr>
            </w:pPr>
            <w:r w:rsidRPr="00CA0AE3">
              <w:rPr>
                <w:rFonts w:ascii="Times New Roman" w:hAnsi="Times New Roman" w:cs="Times New Roman"/>
                <w:color w:val="000000"/>
              </w:rPr>
              <w:t>$</w:t>
            </w:r>
            <w:r w:rsidR="009F2B91" w:rsidRPr="00CA0AE3">
              <w:rPr>
                <w:rFonts w:ascii="Times New Roman" w:hAnsi="Times New Roman" w:cs="Times New Roman"/>
                <w:color w:val="000000"/>
              </w:rPr>
              <w:t>4</w:t>
            </w:r>
            <w:r w:rsidR="00035022" w:rsidRPr="00CA0AE3">
              <w:rPr>
                <w:rFonts w:ascii="Times New Roman" w:hAnsi="Times New Roman" w:cs="Times New Roman"/>
                <w:color w:val="000000"/>
              </w:rPr>
              <w:t>.</w:t>
            </w:r>
            <w:r w:rsidR="009F2B91" w:rsidRPr="00CA0AE3">
              <w:rPr>
                <w:rFonts w:ascii="Times New Roman" w:hAnsi="Times New Roman" w:cs="Times New Roman"/>
                <w:color w:val="000000"/>
              </w:rPr>
              <w:t>00</w:t>
            </w:r>
            <w:r w:rsidRPr="00CA0AE3">
              <w:rPr>
                <w:rFonts w:ascii="Times New Roman" w:hAnsi="Times New Roman" w:cs="Times New Roman"/>
                <w:color w:val="000000"/>
              </w:rPr>
              <w:t>M</w:t>
            </w:r>
          </w:p>
        </w:tc>
        <w:tc>
          <w:tcPr>
            <w:tcW w:w="1335" w:type="dxa"/>
            <w:vAlign w:val="center"/>
          </w:tcPr>
          <w:p w:rsidR="0054776A" w:rsidRPr="00CA0AE3" w:rsidRDefault="00534880" w:rsidP="0054776A">
            <w:pPr>
              <w:spacing w:after="0" w:line="240" w:lineRule="auto"/>
              <w:jc w:val="right"/>
              <w:rPr>
                <w:rFonts w:ascii="Times New Roman" w:hAnsi="Times New Roman" w:cs="Times New Roman"/>
                <w:color w:val="000000"/>
              </w:rPr>
            </w:pPr>
            <w:r w:rsidRPr="00CA0AE3">
              <w:rPr>
                <w:rFonts w:ascii="Times New Roman" w:hAnsi="Times New Roman" w:cs="Times New Roman"/>
                <w:color w:val="000000"/>
              </w:rPr>
              <w:t>$</w:t>
            </w:r>
            <w:r w:rsidR="009F2B91" w:rsidRPr="00CA0AE3">
              <w:rPr>
                <w:rFonts w:ascii="Times New Roman" w:hAnsi="Times New Roman" w:cs="Times New Roman"/>
                <w:color w:val="000000"/>
              </w:rPr>
              <w:t>3</w:t>
            </w:r>
            <w:r w:rsidR="00035022" w:rsidRPr="00CA0AE3">
              <w:rPr>
                <w:rFonts w:ascii="Times New Roman" w:hAnsi="Times New Roman" w:cs="Times New Roman"/>
                <w:color w:val="000000"/>
              </w:rPr>
              <w:t>.</w:t>
            </w:r>
            <w:r w:rsidR="009F2B91" w:rsidRPr="00CA0AE3">
              <w:rPr>
                <w:rFonts w:ascii="Times New Roman" w:hAnsi="Times New Roman" w:cs="Times New Roman"/>
                <w:color w:val="000000"/>
              </w:rPr>
              <w:t>75</w:t>
            </w:r>
            <w:r w:rsidRPr="00CA0AE3">
              <w:rPr>
                <w:rFonts w:ascii="Times New Roman" w:hAnsi="Times New Roman" w:cs="Times New Roman"/>
                <w:color w:val="000000"/>
              </w:rPr>
              <w:t>M</w:t>
            </w:r>
          </w:p>
        </w:tc>
        <w:tc>
          <w:tcPr>
            <w:tcW w:w="1335" w:type="dxa"/>
            <w:vAlign w:val="center"/>
          </w:tcPr>
          <w:p w:rsidR="0054776A" w:rsidRPr="00CA0AE3" w:rsidRDefault="00534880" w:rsidP="0054776A">
            <w:pPr>
              <w:spacing w:after="0" w:line="240" w:lineRule="auto"/>
              <w:jc w:val="right"/>
              <w:rPr>
                <w:rFonts w:ascii="Times New Roman" w:hAnsi="Times New Roman" w:cs="Times New Roman"/>
                <w:color w:val="000000"/>
              </w:rPr>
            </w:pPr>
            <w:r w:rsidRPr="00CA0AE3">
              <w:rPr>
                <w:rFonts w:ascii="Times New Roman" w:hAnsi="Times New Roman" w:cs="Times New Roman"/>
                <w:color w:val="000000"/>
              </w:rPr>
              <w:t>$</w:t>
            </w:r>
            <w:r w:rsidR="00035022" w:rsidRPr="00CA0AE3">
              <w:rPr>
                <w:rFonts w:ascii="Times New Roman" w:hAnsi="Times New Roman" w:cs="Times New Roman"/>
                <w:color w:val="000000"/>
              </w:rPr>
              <w:t>3.</w:t>
            </w:r>
            <w:r w:rsidR="009F2B91" w:rsidRPr="00CA0AE3">
              <w:rPr>
                <w:rFonts w:ascii="Times New Roman" w:hAnsi="Times New Roman" w:cs="Times New Roman"/>
                <w:color w:val="000000"/>
              </w:rPr>
              <w:t>50</w:t>
            </w:r>
            <w:r w:rsidRPr="00CA0AE3">
              <w:rPr>
                <w:rFonts w:ascii="Times New Roman" w:hAnsi="Times New Roman" w:cs="Times New Roman"/>
                <w:color w:val="000000"/>
              </w:rPr>
              <w:t>M</w:t>
            </w:r>
          </w:p>
        </w:tc>
      </w:tr>
      <w:tr w:rsidR="0054776A" w:rsidRPr="00CA0AE3" w:rsidTr="0054776A">
        <w:trPr>
          <w:cantSplit/>
        </w:trPr>
        <w:tc>
          <w:tcPr>
            <w:tcW w:w="1894" w:type="dxa"/>
            <w:vAlign w:val="center"/>
          </w:tcPr>
          <w:p w:rsidR="0054776A" w:rsidRPr="00CA0AE3" w:rsidRDefault="0054776A">
            <w:pPr>
              <w:spacing w:after="0" w:line="240" w:lineRule="auto"/>
              <w:rPr>
                <w:rFonts w:ascii="Times New Roman" w:eastAsiaTheme="minorHAnsi" w:hAnsi="Times New Roman" w:cs="Times New Roman"/>
                <w:b/>
              </w:rPr>
            </w:pPr>
            <w:r w:rsidRPr="00CA0AE3">
              <w:rPr>
                <w:rFonts w:ascii="Times New Roman" w:eastAsiaTheme="minorHAnsi" w:hAnsi="Times New Roman" w:cs="Times New Roman"/>
                <w:b/>
              </w:rPr>
              <w:t xml:space="preserve">Total PHTII Initiatives Progress Reporting and Measure Slate 6 </w:t>
            </w:r>
          </w:p>
        </w:tc>
        <w:tc>
          <w:tcPr>
            <w:tcW w:w="1334" w:type="dxa"/>
            <w:vAlign w:val="center"/>
          </w:tcPr>
          <w:p w:rsidR="0054776A" w:rsidRPr="00CA0AE3" w:rsidRDefault="00534880" w:rsidP="0054776A">
            <w:pPr>
              <w:spacing w:after="0" w:line="240" w:lineRule="auto"/>
              <w:jc w:val="right"/>
              <w:rPr>
                <w:rFonts w:ascii="Times New Roman" w:hAnsi="Times New Roman" w:cs="Times New Roman"/>
                <w:color w:val="000000"/>
              </w:rPr>
            </w:pPr>
            <w:r w:rsidRPr="00CA0AE3">
              <w:rPr>
                <w:rFonts w:ascii="Times New Roman" w:hAnsi="Times New Roman" w:cs="Times New Roman"/>
                <w:color w:val="000000"/>
              </w:rPr>
              <w:t>$</w:t>
            </w:r>
            <w:r w:rsidR="009F2B91" w:rsidRPr="00CA0AE3">
              <w:rPr>
                <w:rFonts w:ascii="Times New Roman" w:hAnsi="Times New Roman" w:cs="Times New Roman"/>
                <w:color w:val="000000"/>
              </w:rPr>
              <w:t>262</w:t>
            </w:r>
            <w:r w:rsidR="00901C7D" w:rsidRPr="00CA0AE3">
              <w:rPr>
                <w:rFonts w:ascii="Times New Roman" w:hAnsi="Times New Roman" w:cs="Times New Roman"/>
                <w:color w:val="000000"/>
              </w:rPr>
              <w:t>.</w:t>
            </w:r>
            <w:r w:rsidR="009F2B91" w:rsidRPr="00CA0AE3">
              <w:rPr>
                <w:rFonts w:ascii="Times New Roman" w:hAnsi="Times New Roman" w:cs="Times New Roman"/>
                <w:color w:val="000000"/>
              </w:rPr>
              <w:t>6</w:t>
            </w:r>
            <w:r w:rsidR="00901C7D" w:rsidRPr="00CA0AE3">
              <w:rPr>
                <w:rFonts w:ascii="Times New Roman" w:hAnsi="Times New Roman" w:cs="Times New Roman"/>
                <w:color w:val="000000"/>
              </w:rPr>
              <w:t>5</w:t>
            </w:r>
            <w:r w:rsidRPr="00CA0AE3">
              <w:rPr>
                <w:rFonts w:ascii="Times New Roman" w:hAnsi="Times New Roman" w:cs="Times New Roman"/>
                <w:color w:val="000000"/>
              </w:rPr>
              <w:t>M</w:t>
            </w:r>
          </w:p>
        </w:tc>
        <w:tc>
          <w:tcPr>
            <w:tcW w:w="1335" w:type="dxa"/>
            <w:vAlign w:val="center"/>
          </w:tcPr>
          <w:p w:rsidR="0054776A" w:rsidRPr="00CA0AE3" w:rsidRDefault="00534880" w:rsidP="0054776A">
            <w:pPr>
              <w:spacing w:after="0" w:line="240" w:lineRule="auto"/>
              <w:jc w:val="right"/>
              <w:rPr>
                <w:rFonts w:ascii="Times New Roman" w:hAnsi="Times New Roman" w:cs="Times New Roman"/>
                <w:color w:val="000000"/>
              </w:rPr>
            </w:pPr>
            <w:r w:rsidRPr="00CA0AE3">
              <w:rPr>
                <w:rFonts w:ascii="Times New Roman" w:hAnsi="Times New Roman" w:cs="Times New Roman"/>
                <w:color w:val="000000"/>
              </w:rPr>
              <w:t>$</w:t>
            </w:r>
            <w:r w:rsidR="009F2B91" w:rsidRPr="00CA0AE3">
              <w:rPr>
                <w:rFonts w:ascii="Times New Roman" w:hAnsi="Times New Roman" w:cs="Times New Roman"/>
                <w:color w:val="000000"/>
              </w:rPr>
              <w:t>20</w:t>
            </w:r>
            <w:r w:rsidR="00901C7D" w:rsidRPr="00CA0AE3">
              <w:rPr>
                <w:rFonts w:ascii="Times New Roman" w:hAnsi="Times New Roman" w:cs="Times New Roman"/>
                <w:color w:val="000000"/>
              </w:rPr>
              <w:t>6.</w:t>
            </w:r>
            <w:r w:rsidR="009F2B91" w:rsidRPr="00CA0AE3">
              <w:rPr>
                <w:rFonts w:ascii="Times New Roman" w:hAnsi="Times New Roman" w:cs="Times New Roman"/>
                <w:color w:val="000000"/>
              </w:rPr>
              <w:t>5</w:t>
            </w:r>
            <w:r w:rsidR="00901C7D" w:rsidRPr="00CA0AE3">
              <w:rPr>
                <w:rFonts w:ascii="Times New Roman" w:hAnsi="Times New Roman" w:cs="Times New Roman"/>
                <w:color w:val="000000"/>
              </w:rPr>
              <w:t>5</w:t>
            </w:r>
            <w:r w:rsidRPr="00CA0AE3">
              <w:rPr>
                <w:rFonts w:ascii="Times New Roman" w:hAnsi="Times New Roman" w:cs="Times New Roman"/>
                <w:color w:val="000000"/>
              </w:rPr>
              <w:t>M</w:t>
            </w:r>
          </w:p>
        </w:tc>
        <w:tc>
          <w:tcPr>
            <w:tcW w:w="1335" w:type="dxa"/>
            <w:vAlign w:val="center"/>
          </w:tcPr>
          <w:p w:rsidR="0054776A" w:rsidRPr="00CA0AE3" w:rsidRDefault="00534880" w:rsidP="0054776A">
            <w:pPr>
              <w:spacing w:after="0" w:line="240" w:lineRule="auto"/>
              <w:jc w:val="right"/>
              <w:rPr>
                <w:rFonts w:ascii="Times New Roman" w:hAnsi="Times New Roman" w:cs="Times New Roman"/>
                <w:color w:val="000000"/>
              </w:rPr>
            </w:pPr>
            <w:r w:rsidRPr="00CA0AE3">
              <w:rPr>
                <w:rFonts w:ascii="Times New Roman" w:hAnsi="Times New Roman" w:cs="Times New Roman"/>
                <w:color w:val="000000"/>
              </w:rPr>
              <w:t>$</w:t>
            </w:r>
            <w:r w:rsidR="009F2B91" w:rsidRPr="00CA0AE3">
              <w:rPr>
                <w:rFonts w:ascii="Times New Roman" w:hAnsi="Times New Roman" w:cs="Times New Roman"/>
                <w:color w:val="000000"/>
              </w:rPr>
              <w:t>80</w:t>
            </w:r>
            <w:r w:rsidR="00901C7D" w:rsidRPr="00CA0AE3">
              <w:rPr>
                <w:rFonts w:ascii="Times New Roman" w:hAnsi="Times New Roman" w:cs="Times New Roman"/>
                <w:color w:val="000000"/>
              </w:rPr>
              <w:t>.</w:t>
            </w:r>
            <w:r w:rsidR="009F2B91" w:rsidRPr="00CA0AE3">
              <w:rPr>
                <w:rFonts w:ascii="Times New Roman" w:hAnsi="Times New Roman" w:cs="Times New Roman"/>
                <w:color w:val="000000"/>
              </w:rPr>
              <w:t>0</w:t>
            </w:r>
            <w:r w:rsidR="00901C7D" w:rsidRPr="00CA0AE3">
              <w:rPr>
                <w:rFonts w:ascii="Times New Roman" w:hAnsi="Times New Roman" w:cs="Times New Roman"/>
                <w:color w:val="000000"/>
              </w:rPr>
              <w:t>0</w:t>
            </w:r>
            <w:r w:rsidRPr="00CA0AE3">
              <w:rPr>
                <w:rFonts w:ascii="Times New Roman" w:hAnsi="Times New Roman" w:cs="Times New Roman"/>
                <w:color w:val="000000"/>
              </w:rPr>
              <w:t>M</w:t>
            </w:r>
          </w:p>
        </w:tc>
        <w:tc>
          <w:tcPr>
            <w:tcW w:w="1335" w:type="dxa"/>
            <w:vAlign w:val="center"/>
          </w:tcPr>
          <w:p w:rsidR="0054776A" w:rsidRPr="00CA0AE3" w:rsidRDefault="00534880" w:rsidP="0054776A">
            <w:pPr>
              <w:spacing w:after="0" w:line="240" w:lineRule="auto"/>
              <w:jc w:val="right"/>
              <w:rPr>
                <w:rFonts w:ascii="Times New Roman" w:hAnsi="Times New Roman" w:cs="Times New Roman"/>
                <w:color w:val="000000"/>
              </w:rPr>
            </w:pPr>
            <w:r w:rsidRPr="00CA0AE3">
              <w:rPr>
                <w:rFonts w:ascii="Times New Roman" w:hAnsi="Times New Roman" w:cs="Times New Roman"/>
                <w:color w:val="000000"/>
              </w:rPr>
              <w:t>$</w:t>
            </w:r>
            <w:r w:rsidR="00901C7D" w:rsidRPr="00CA0AE3">
              <w:rPr>
                <w:rFonts w:ascii="Times New Roman" w:hAnsi="Times New Roman" w:cs="Times New Roman"/>
                <w:color w:val="000000"/>
              </w:rPr>
              <w:t>7</w:t>
            </w:r>
            <w:r w:rsidR="009F2B91" w:rsidRPr="00CA0AE3">
              <w:rPr>
                <w:rFonts w:ascii="Times New Roman" w:hAnsi="Times New Roman" w:cs="Times New Roman"/>
                <w:color w:val="000000"/>
              </w:rPr>
              <w:t>5</w:t>
            </w:r>
            <w:r w:rsidR="00901C7D" w:rsidRPr="00CA0AE3">
              <w:rPr>
                <w:rFonts w:ascii="Times New Roman" w:hAnsi="Times New Roman" w:cs="Times New Roman"/>
                <w:color w:val="000000"/>
              </w:rPr>
              <w:t>.</w:t>
            </w:r>
            <w:r w:rsidR="009F2B91" w:rsidRPr="00CA0AE3">
              <w:rPr>
                <w:rFonts w:ascii="Times New Roman" w:hAnsi="Times New Roman" w:cs="Times New Roman"/>
                <w:color w:val="000000"/>
              </w:rPr>
              <w:t>00</w:t>
            </w:r>
            <w:r w:rsidRPr="00CA0AE3">
              <w:rPr>
                <w:rFonts w:ascii="Times New Roman" w:hAnsi="Times New Roman" w:cs="Times New Roman"/>
                <w:color w:val="000000"/>
              </w:rPr>
              <w:t>M</w:t>
            </w:r>
          </w:p>
        </w:tc>
        <w:tc>
          <w:tcPr>
            <w:tcW w:w="1335" w:type="dxa"/>
            <w:vAlign w:val="center"/>
          </w:tcPr>
          <w:p w:rsidR="0054776A" w:rsidRPr="00CA0AE3" w:rsidRDefault="00534880" w:rsidP="0054776A">
            <w:pPr>
              <w:spacing w:after="0" w:line="240" w:lineRule="auto"/>
              <w:jc w:val="right"/>
              <w:rPr>
                <w:rFonts w:ascii="Times New Roman" w:hAnsi="Times New Roman" w:cs="Times New Roman"/>
                <w:color w:val="000000"/>
              </w:rPr>
            </w:pPr>
            <w:r w:rsidRPr="00CA0AE3">
              <w:rPr>
                <w:rFonts w:ascii="Times New Roman" w:hAnsi="Times New Roman" w:cs="Times New Roman"/>
                <w:color w:val="000000"/>
              </w:rPr>
              <w:t>$</w:t>
            </w:r>
            <w:r w:rsidR="009F2B91" w:rsidRPr="00CA0AE3">
              <w:rPr>
                <w:rFonts w:ascii="Times New Roman" w:hAnsi="Times New Roman" w:cs="Times New Roman"/>
                <w:color w:val="000000"/>
              </w:rPr>
              <w:t>70</w:t>
            </w:r>
            <w:r w:rsidR="00901C7D" w:rsidRPr="00CA0AE3">
              <w:rPr>
                <w:rFonts w:ascii="Times New Roman" w:hAnsi="Times New Roman" w:cs="Times New Roman"/>
                <w:color w:val="000000"/>
              </w:rPr>
              <w:t>.</w:t>
            </w:r>
            <w:r w:rsidR="009F2B91" w:rsidRPr="00CA0AE3">
              <w:rPr>
                <w:rFonts w:ascii="Times New Roman" w:hAnsi="Times New Roman" w:cs="Times New Roman"/>
                <w:color w:val="000000"/>
              </w:rPr>
              <w:t>0</w:t>
            </w:r>
            <w:r w:rsidR="00901C7D" w:rsidRPr="00CA0AE3">
              <w:rPr>
                <w:rFonts w:ascii="Times New Roman" w:hAnsi="Times New Roman" w:cs="Times New Roman"/>
                <w:color w:val="000000"/>
              </w:rPr>
              <w:t>0</w:t>
            </w:r>
            <w:r w:rsidRPr="00CA0AE3">
              <w:rPr>
                <w:rFonts w:ascii="Times New Roman" w:hAnsi="Times New Roman" w:cs="Times New Roman"/>
                <w:color w:val="000000"/>
              </w:rPr>
              <w:t>M</w:t>
            </w:r>
          </w:p>
        </w:tc>
      </w:tr>
    </w:tbl>
    <w:p w:rsidR="005F46C3" w:rsidRPr="00CA0AE3" w:rsidRDefault="005F46C3">
      <w:pPr>
        <w:spacing w:after="0" w:line="240" w:lineRule="auto"/>
        <w:ind w:left="1080"/>
        <w:jc w:val="both"/>
        <w:rPr>
          <w:b/>
          <w:lang w:eastAsia="ja-JP"/>
        </w:rPr>
      </w:pPr>
    </w:p>
    <w:p w:rsidR="00DE07D1" w:rsidRPr="00CA0AE3" w:rsidRDefault="00E1092C" w:rsidP="00A0554D">
      <w:pPr>
        <w:pStyle w:val="ListParagraph"/>
        <w:numPr>
          <w:ilvl w:val="1"/>
          <w:numId w:val="30"/>
        </w:numPr>
        <w:spacing w:after="0" w:line="240" w:lineRule="auto"/>
        <w:jc w:val="both"/>
        <w:rPr>
          <w:lang w:eastAsia="ja-JP"/>
        </w:rPr>
      </w:pPr>
      <w:r w:rsidRPr="00CA0AE3">
        <w:rPr>
          <w:b/>
          <w:lang w:eastAsia="ja-JP"/>
        </w:rPr>
        <w:t xml:space="preserve">PHTII </w:t>
      </w:r>
      <w:r w:rsidR="00DE07D1" w:rsidRPr="00CA0AE3">
        <w:rPr>
          <w:b/>
          <w:lang w:eastAsia="ja-JP"/>
        </w:rPr>
        <w:t>Improvement Measurement Approach</w:t>
      </w:r>
    </w:p>
    <w:p w:rsidR="005F46C3" w:rsidRPr="00CA0AE3" w:rsidRDefault="005F46C3">
      <w:pPr>
        <w:pStyle w:val="ListParagraph"/>
        <w:spacing w:after="0" w:line="240" w:lineRule="auto"/>
        <w:jc w:val="both"/>
        <w:rPr>
          <w:lang w:eastAsia="ja-JP"/>
        </w:rPr>
      </w:pPr>
    </w:p>
    <w:p w:rsidR="00E602F0" w:rsidRPr="00CA0AE3" w:rsidRDefault="00081FE9">
      <w:pPr>
        <w:pStyle w:val="ListParagraph"/>
        <w:spacing w:after="0" w:line="240" w:lineRule="auto"/>
        <w:jc w:val="both"/>
        <w:rPr>
          <w:lang w:eastAsia="ja-JP"/>
        </w:rPr>
      </w:pPr>
      <w:r w:rsidRPr="00CA0AE3">
        <w:rPr>
          <w:lang w:eastAsia="ja-JP"/>
        </w:rPr>
        <w:t xml:space="preserve">As stated in </w:t>
      </w:r>
      <w:r w:rsidR="00561DD5" w:rsidRPr="00CA0AE3">
        <w:rPr>
          <w:rFonts w:eastAsia="MS Gothic"/>
        </w:rPr>
        <w:t>Section V</w:t>
      </w:r>
      <w:r w:rsidR="008D3CB4" w:rsidRPr="00CA0AE3">
        <w:rPr>
          <w:rFonts w:eastAsia="MS Gothic"/>
        </w:rPr>
        <w:t>, paragraph 1</w:t>
      </w:r>
      <w:r w:rsidR="007D48A9" w:rsidRPr="00CA0AE3">
        <w:rPr>
          <w:rFonts w:eastAsia="MS Gothic"/>
        </w:rPr>
        <w:t>2</w:t>
      </w:r>
      <w:r w:rsidR="009329F6" w:rsidRPr="00CA0AE3">
        <w:rPr>
          <w:rFonts w:eastAsia="MS Gothic"/>
        </w:rPr>
        <w:t xml:space="preserve"> </w:t>
      </w:r>
      <w:r w:rsidRPr="00CA0AE3">
        <w:rPr>
          <w:lang w:eastAsia="ja-JP"/>
        </w:rPr>
        <w:t xml:space="preserve">of this attachment, the Public Hospital will report outcomes and improvement indicators related to PHTII </w:t>
      </w:r>
      <w:r w:rsidR="0035425E" w:rsidRPr="00CA0AE3">
        <w:rPr>
          <w:lang w:eastAsia="ja-JP"/>
        </w:rPr>
        <w:t>I</w:t>
      </w:r>
      <w:r w:rsidR="00A532E6" w:rsidRPr="00CA0AE3">
        <w:rPr>
          <w:lang w:eastAsia="ja-JP"/>
        </w:rPr>
        <w:t xml:space="preserve">nitiatives </w:t>
      </w:r>
      <w:r w:rsidR="00A07B95" w:rsidRPr="00CA0AE3">
        <w:rPr>
          <w:lang w:eastAsia="ja-JP"/>
        </w:rPr>
        <w:t xml:space="preserve">(Measure Slates </w:t>
      </w:r>
      <w:r w:rsidR="00A532E6" w:rsidRPr="00CA0AE3">
        <w:rPr>
          <w:lang w:eastAsia="ja-JP"/>
        </w:rPr>
        <w:t>1</w:t>
      </w:r>
      <w:r w:rsidR="00A07B95" w:rsidRPr="00CA0AE3">
        <w:rPr>
          <w:lang w:eastAsia="ja-JP"/>
        </w:rPr>
        <w:t xml:space="preserve"> – </w:t>
      </w:r>
      <w:r w:rsidR="000D24E6" w:rsidRPr="00CA0AE3">
        <w:rPr>
          <w:lang w:eastAsia="ja-JP"/>
        </w:rPr>
        <w:t>4</w:t>
      </w:r>
      <w:r w:rsidR="00A07B95" w:rsidRPr="00CA0AE3">
        <w:rPr>
          <w:lang w:eastAsia="ja-JP"/>
        </w:rPr>
        <w:t>)</w:t>
      </w:r>
      <w:r w:rsidR="00C67994" w:rsidRPr="00CA0AE3">
        <w:rPr>
          <w:lang w:eastAsia="ja-JP"/>
        </w:rPr>
        <w:t xml:space="preserve">. </w:t>
      </w:r>
      <w:r w:rsidR="00E602F0" w:rsidRPr="00CA0AE3">
        <w:rPr>
          <w:lang w:eastAsia="ja-JP"/>
        </w:rPr>
        <w:t xml:space="preserve">The public hospital will also follow </w:t>
      </w:r>
      <w:r w:rsidR="004D0F72" w:rsidRPr="00CA0AE3">
        <w:rPr>
          <w:lang w:eastAsia="ja-JP"/>
        </w:rPr>
        <w:t>th</w:t>
      </w:r>
      <w:r w:rsidR="00E602F0" w:rsidRPr="00CA0AE3">
        <w:rPr>
          <w:lang w:eastAsia="ja-JP"/>
        </w:rPr>
        <w:t xml:space="preserve">e reporting process </w:t>
      </w:r>
      <w:r w:rsidR="0035425E" w:rsidRPr="00CA0AE3">
        <w:rPr>
          <w:lang w:eastAsia="ja-JP"/>
        </w:rPr>
        <w:t xml:space="preserve">as defined by EOHHS </w:t>
      </w:r>
      <w:r w:rsidR="00E602F0" w:rsidRPr="00CA0AE3">
        <w:rPr>
          <w:lang w:eastAsia="ja-JP"/>
        </w:rPr>
        <w:t>for the</w:t>
      </w:r>
      <w:r w:rsidR="002839DC" w:rsidRPr="00CA0AE3">
        <w:rPr>
          <w:lang w:eastAsia="ja-JP"/>
        </w:rPr>
        <w:t xml:space="preserve"> Medicaid</w:t>
      </w:r>
      <w:r w:rsidR="0035425E" w:rsidRPr="00CA0AE3">
        <w:rPr>
          <w:lang w:eastAsia="ja-JP"/>
        </w:rPr>
        <w:t xml:space="preserve"> </w:t>
      </w:r>
      <w:r w:rsidR="00F937E1" w:rsidRPr="00CA0AE3">
        <w:rPr>
          <w:lang w:eastAsia="ja-JP"/>
        </w:rPr>
        <w:t>DSRIP</w:t>
      </w:r>
      <w:r w:rsidR="002839DC" w:rsidRPr="00CA0AE3">
        <w:rPr>
          <w:lang w:eastAsia="ja-JP"/>
        </w:rPr>
        <w:t xml:space="preserve"> </w:t>
      </w:r>
      <w:r w:rsidR="00F937E1" w:rsidRPr="00CA0AE3">
        <w:rPr>
          <w:lang w:eastAsia="ja-JP"/>
        </w:rPr>
        <w:t>performance a</w:t>
      </w:r>
      <w:r w:rsidR="002839DC" w:rsidRPr="00CA0AE3">
        <w:rPr>
          <w:lang w:eastAsia="ja-JP"/>
        </w:rPr>
        <w:t>ccountability measures for the Public Hospital’s attributed panel</w:t>
      </w:r>
      <w:r w:rsidR="00561DD5" w:rsidRPr="00CA0AE3">
        <w:rPr>
          <w:lang w:eastAsia="ja-JP"/>
        </w:rPr>
        <w:t>, outlined in paragraph 1</w:t>
      </w:r>
      <w:r w:rsidR="007D48A9" w:rsidRPr="00CA0AE3">
        <w:rPr>
          <w:lang w:eastAsia="ja-JP"/>
        </w:rPr>
        <w:t>3</w:t>
      </w:r>
      <w:r w:rsidRPr="00CA0AE3">
        <w:rPr>
          <w:lang w:eastAsia="ja-JP"/>
        </w:rPr>
        <w:t xml:space="preserve">. </w:t>
      </w:r>
    </w:p>
    <w:p w:rsidR="00081FE9" w:rsidRPr="00CA0AE3" w:rsidRDefault="00081FE9" w:rsidP="0074511A">
      <w:pPr>
        <w:spacing w:after="0" w:line="240" w:lineRule="auto"/>
        <w:jc w:val="both"/>
        <w:rPr>
          <w:lang w:eastAsia="ja-JP"/>
        </w:rPr>
      </w:pPr>
    </w:p>
    <w:p w:rsidR="0082626B" w:rsidRPr="00CA0AE3" w:rsidRDefault="0082626B" w:rsidP="00A0554D">
      <w:pPr>
        <w:pStyle w:val="ListParagraph"/>
        <w:numPr>
          <w:ilvl w:val="2"/>
          <w:numId w:val="30"/>
        </w:numPr>
        <w:spacing w:after="0" w:line="240" w:lineRule="auto"/>
        <w:jc w:val="both"/>
        <w:rPr>
          <w:u w:val="single"/>
          <w:lang w:eastAsia="ja-JP"/>
        </w:rPr>
      </w:pPr>
      <w:r w:rsidRPr="00CA0AE3">
        <w:rPr>
          <w:u w:val="single"/>
          <w:lang w:eastAsia="ja-JP"/>
        </w:rPr>
        <w:t>PHTII Measure Slates 1 – 5</w:t>
      </w:r>
    </w:p>
    <w:p w:rsidR="0058139C" w:rsidRPr="00CA0AE3" w:rsidRDefault="0058139C" w:rsidP="0058139C">
      <w:pPr>
        <w:pStyle w:val="ListParagraph"/>
        <w:spacing w:after="0" w:line="240" w:lineRule="auto"/>
        <w:ind w:left="1080"/>
        <w:jc w:val="both"/>
        <w:rPr>
          <w:lang w:eastAsia="ja-JP"/>
        </w:rPr>
      </w:pPr>
      <w:r w:rsidRPr="00CA0AE3">
        <w:rPr>
          <w:lang w:eastAsia="ja-JP"/>
        </w:rPr>
        <w:t>In order to receive funding for Measure Slates 1 – 5, the Public Hospital must achieve established performance goals for a specified number of indicators which are individually payable when an indicator is individually achieved and reported up to the established number of outcomes and improvement indicators assigned funding in a given demonstration year, as described in Section III, paragraph 8. Payment-for-performance on the outcomes and improvement indicators on the Measure Slates will be based on an objective demonstration of improvement over baseline or achievement of established performance thresholds using a valid, standardized method, as described below.</w:t>
      </w:r>
    </w:p>
    <w:p w:rsidR="0058139C" w:rsidRPr="00CA0AE3" w:rsidRDefault="0058139C" w:rsidP="0082626B">
      <w:pPr>
        <w:pStyle w:val="ListParagraph"/>
        <w:spacing w:after="0" w:line="240" w:lineRule="auto"/>
        <w:ind w:left="1080"/>
        <w:jc w:val="both"/>
        <w:rPr>
          <w:lang w:eastAsia="ja-JP"/>
        </w:rPr>
      </w:pPr>
    </w:p>
    <w:p w:rsidR="00081FE9" w:rsidRPr="00CA0AE3" w:rsidRDefault="00081FE9" w:rsidP="0082626B">
      <w:pPr>
        <w:pStyle w:val="ListParagraph"/>
        <w:spacing w:after="0" w:line="240" w:lineRule="auto"/>
        <w:ind w:left="1080"/>
        <w:jc w:val="both"/>
        <w:rPr>
          <w:lang w:eastAsia="ja-JP"/>
        </w:rPr>
      </w:pPr>
      <w:r w:rsidRPr="00CA0AE3">
        <w:rPr>
          <w:lang w:eastAsia="ja-JP"/>
        </w:rPr>
        <w:t xml:space="preserve">The following is the PHTII </w:t>
      </w:r>
      <w:r w:rsidR="00823FB0" w:rsidRPr="00CA0AE3">
        <w:rPr>
          <w:lang w:eastAsia="ja-JP"/>
        </w:rPr>
        <w:t xml:space="preserve">Measure Slate 1 – 5 </w:t>
      </w:r>
      <w:r w:rsidRPr="00CA0AE3">
        <w:rPr>
          <w:lang w:eastAsia="ja-JP"/>
        </w:rPr>
        <w:t>payment framework for outcomes and improvement indicators.</w:t>
      </w:r>
    </w:p>
    <w:p w:rsidR="00081FE9" w:rsidRPr="00CA0AE3" w:rsidRDefault="00081FE9" w:rsidP="0074511A">
      <w:pPr>
        <w:spacing w:after="0" w:line="240" w:lineRule="auto"/>
        <w:jc w:val="both"/>
        <w:rPr>
          <w:lang w:eastAsia="ja-JP"/>
        </w:rPr>
      </w:pPr>
    </w:p>
    <w:p w:rsidR="00F44287" w:rsidRPr="00CA0AE3" w:rsidRDefault="00A532E6">
      <w:pPr>
        <w:numPr>
          <w:ilvl w:val="3"/>
          <w:numId w:val="30"/>
        </w:numPr>
        <w:spacing w:after="0" w:line="240" w:lineRule="auto"/>
        <w:jc w:val="both"/>
        <w:rPr>
          <w:lang w:eastAsia="ja-JP"/>
        </w:rPr>
      </w:pPr>
      <w:r w:rsidRPr="00CA0AE3">
        <w:rPr>
          <w:lang w:eastAsia="ja-JP"/>
        </w:rPr>
        <w:t>DY 2</w:t>
      </w:r>
      <w:r w:rsidR="00E1092C" w:rsidRPr="00CA0AE3">
        <w:rPr>
          <w:lang w:eastAsia="ja-JP"/>
        </w:rPr>
        <w:t>1</w:t>
      </w:r>
      <w:r w:rsidRPr="00CA0AE3">
        <w:rPr>
          <w:lang w:eastAsia="ja-JP"/>
        </w:rPr>
        <w:t xml:space="preserve"> - 25 – This is pay-for-performance for designated measures.</w:t>
      </w:r>
    </w:p>
    <w:p w:rsidR="005F46C3" w:rsidRPr="00CA0AE3" w:rsidRDefault="00A532E6" w:rsidP="00312ABC">
      <w:pPr>
        <w:numPr>
          <w:ilvl w:val="4"/>
          <w:numId w:val="30"/>
        </w:numPr>
        <w:spacing w:after="0" w:line="240" w:lineRule="auto"/>
        <w:jc w:val="both"/>
        <w:rPr>
          <w:lang w:eastAsia="ja-JP"/>
        </w:rPr>
      </w:pPr>
      <w:r w:rsidRPr="00CA0AE3">
        <w:rPr>
          <w:lang w:eastAsia="ja-JP"/>
        </w:rPr>
        <w:t xml:space="preserve">The Public Hospital must achieve established performance goals for the specified number of indicators for the demonstration year, as outlined in </w:t>
      </w:r>
      <w:r w:rsidR="008D3CB4" w:rsidRPr="00CA0AE3">
        <w:rPr>
          <w:lang w:eastAsia="ja-JP"/>
        </w:rPr>
        <w:t>Section III, paragraph 8</w:t>
      </w:r>
      <w:r w:rsidRPr="00CA0AE3">
        <w:rPr>
          <w:lang w:eastAsia="ja-JP"/>
        </w:rPr>
        <w:t>.</w:t>
      </w:r>
      <w:r w:rsidRPr="00CA0AE3" w:rsidDel="00A532E6">
        <w:rPr>
          <w:lang w:eastAsia="ja-JP"/>
        </w:rPr>
        <w:t xml:space="preserve"> </w:t>
      </w:r>
    </w:p>
    <w:p w:rsidR="00273E3E" w:rsidRPr="00CA0AE3" w:rsidRDefault="00E1092C" w:rsidP="00312ABC">
      <w:pPr>
        <w:numPr>
          <w:ilvl w:val="4"/>
          <w:numId w:val="30"/>
        </w:numPr>
        <w:spacing w:after="0" w:line="240" w:lineRule="auto"/>
        <w:jc w:val="both"/>
        <w:rPr>
          <w:lang w:eastAsia="ja-JP"/>
        </w:rPr>
      </w:pPr>
      <w:r w:rsidRPr="00CA0AE3">
        <w:rPr>
          <w:lang w:eastAsia="ja-JP"/>
        </w:rPr>
        <w:t>Baselines will also be reported for designated measures in specified demonstration years.</w:t>
      </w:r>
      <w:r w:rsidR="00273E3E" w:rsidRPr="00CA0AE3">
        <w:rPr>
          <w:lang w:eastAsia="ja-JP"/>
        </w:rPr>
        <w:t xml:space="preserve"> </w:t>
      </w:r>
    </w:p>
    <w:p w:rsidR="00081FE9" w:rsidRPr="00CA0AE3" w:rsidRDefault="00081FE9" w:rsidP="002B5327">
      <w:pPr>
        <w:pStyle w:val="ListParagraph"/>
        <w:numPr>
          <w:ilvl w:val="3"/>
          <w:numId w:val="30"/>
        </w:numPr>
        <w:spacing w:after="0" w:line="240" w:lineRule="auto"/>
        <w:jc w:val="both"/>
        <w:rPr>
          <w:lang w:eastAsia="ja-JP"/>
        </w:rPr>
      </w:pPr>
      <w:r w:rsidRPr="00CA0AE3">
        <w:rPr>
          <w:lang w:eastAsia="ja-JP"/>
        </w:rPr>
        <w:t xml:space="preserve">In the event that the Public Hospital meets the </w:t>
      </w:r>
      <w:r w:rsidR="00AA1FA0" w:rsidRPr="00CA0AE3">
        <w:rPr>
          <w:lang w:eastAsia="ja-JP"/>
        </w:rPr>
        <w:t xml:space="preserve">specified performance </w:t>
      </w:r>
      <w:r w:rsidRPr="00CA0AE3">
        <w:rPr>
          <w:lang w:eastAsia="ja-JP"/>
        </w:rPr>
        <w:t xml:space="preserve">benchmark in </w:t>
      </w:r>
      <w:r w:rsidR="00A532E6" w:rsidRPr="00CA0AE3">
        <w:rPr>
          <w:lang w:eastAsia="ja-JP"/>
        </w:rPr>
        <w:t>a particular demonstration year</w:t>
      </w:r>
      <w:r w:rsidRPr="00CA0AE3">
        <w:rPr>
          <w:lang w:eastAsia="ja-JP"/>
        </w:rPr>
        <w:t>, the organization must maintain performance at or abov</w:t>
      </w:r>
      <w:r w:rsidR="00DE07D1" w:rsidRPr="00CA0AE3">
        <w:rPr>
          <w:lang w:eastAsia="ja-JP"/>
        </w:rPr>
        <w:t xml:space="preserve">e the benchmark in </w:t>
      </w:r>
      <w:r w:rsidR="00A532E6" w:rsidRPr="00CA0AE3">
        <w:rPr>
          <w:lang w:eastAsia="ja-JP"/>
        </w:rPr>
        <w:t xml:space="preserve">the remaining demonstration years. </w:t>
      </w:r>
      <w:r w:rsidRPr="00CA0AE3">
        <w:rPr>
          <w:lang w:eastAsia="ja-JP"/>
        </w:rPr>
        <w:t xml:space="preserve">Variation in performance is acceptable as long as the performance for </w:t>
      </w:r>
      <w:r w:rsidR="00A532E6" w:rsidRPr="00CA0AE3">
        <w:rPr>
          <w:lang w:eastAsia="ja-JP"/>
        </w:rPr>
        <w:t xml:space="preserve">each demonstration year </w:t>
      </w:r>
      <w:r w:rsidRPr="00CA0AE3">
        <w:rPr>
          <w:lang w:eastAsia="ja-JP"/>
        </w:rPr>
        <w:t>is at or better than benchmark in this case.</w:t>
      </w:r>
      <w:r w:rsidR="006214C5">
        <w:rPr>
          <w:lang w:eastAsia="ja-JP"/>
        </w:rPr>
        <w:t xml:space="preserve"> Beginning in DY22, the Public Hospital would also be </w:t>
      </w:r>
      <w:r w:rsidR="006214C5" w:rsidRPr="008E52F7">
        <w:rPr>
          <w:lang w:eastAsia="ja-JP"/>
        </w:rPr>
        <w:t>required to achieve at least one measure</w:t>
      </w:r>
      <w:r w:rsidR="009E6720">
        <w:rPr>
          <w:lang w:eastAsia="ja-JP"/>
        </w:rPr>
        <w:t xml:space="preserve"> in each measure slate</w:t>
      </w:r>
      <w:r w:rsidR="00A90360">
        <w:rPr>
          <w:lang w:eastAsia="ja-JP"/>
        </w:rPr>
        <w:t xml:space="preserve"> for which it </w:t>
      </w:r>
      <w:r w:rsidR="006214C5" w:rsidRPr="008E52F7">
        <w:rPr>
          <w:lang w:eastAsia="ja-JP"/>
        </w:rPr>
        <w:t>did not meet or exceed the benchmark in the previous year</w:t>
      </w:r>
      <w:r w:rsidR="006214C5">
        <w:rPr>
          <w:lang w:eastAsia="ja-JP"/>
        </w:rPr>
        <w:t>.</w:t>
      </w:r>
    </w:p>
    <w:p w:rsidR="00081FE9" w:rsidRPr="00CA0AE3" w:rsidRDefault="00081FE9" w:rsidP="00D37ADE">
      <w:pPr>
        <w:pStyle w:val="ListParagraph"/>
        <w:numPr>
          <w:ilvl w:val="3"/>
          <w:numId w:val="30"/>
        </w:numPr>
        <w:spacing w:after="0" w:line="240" w:lineRule="auto"/>
        <w:jc w:val="both"/>
        <w:rPr>
          <w:lang w:eastAsia="ja-JP"/>
        </w:rPr>
      </w:pPr>
      <w:r w:rsidRPr="00CA0AE3">
        <w:rPr>
          <w:lang w:eastAsia="ja-JP"/>
        </w:rPr>
        <w:t xml:space="preserve">The Public Hospital must have a target for outcome and quality improvement indicators in Measure Slates 1 – 5. </w:t>
      </w:r>
      <w:r w:rsidR="003B0C48" w:rsidRPr="00CA0AE3">
        <w:rPr>
          <w:lang w:eastAsia="ja-JP"/>
        </w:rPr>
        <w:t xml:space="preserve">The specified targets will be used to determine whether or not success is achieved on the associated outcomes or improvement indicator. </w:t>
      </w:r>
      <w:r w:rsidRPr="00CA0AE3">
        <w:rPr>
          <w:lang w:eastAsia="ja-JP"/>
        </w:rPr>
        <w:t>Measure Slate 6 is pay-for-reporting only</w:t>
      </w:r>
      <w:r w:rsidR="00AA1FA0" w:rsidRPr="00CA0AE3">
        <w:rPr>
          <w:lang w:eastAsia="ja-JP"/>
        </w:rPr>
        <w:t xml:space="preserve"> on population-wide public health measures, and is not included in the at-risk funding for outcomes and improvement indicators, </w:t>
      </w:r>
      <w:r w:rsidR="003B0C48" w:rsidRPr="00CA0AE3">
        <w:rPr>
          <w:lang w:eastAsia="ja-JP"/>
        </w:rPr>
        <w:t xml:space="preserve">as </w:t>
      </w:r>
      <w:r w:rsidR="00AA1FA0" w:rsidRPr="00CA0AE3">
        <w:rPr>
          <w:lang w:eastAsia="ja-JP"/>
        </w:rPr>
        <w:t xml:space="preserve">described in </w:t>
      </w:r>
      <w:r w:rsidR="008D3CB4" w:rsidRPr="00CA0AE3">
        <w:rPr>
          <w:rFonts w:eastAsia="MS Gothic"/>
        </w:rPr>
        <w:t>Section VI, paragraph 1</w:t>
      </w:r>
      <w:r w:rsidR="007D48A9" w:rsidRPr="00CA0AE3">
        <w:rPr>
          <w:rFonts w:eastAsia="MS Gothic"/>
        </w:rPr>
        <w:t>8</w:t>
      </w:r>
      <w:r w:rsidRPr="00CA0AE3">
        <w:rPr>
          <w:lang w:eastAsia="ja-JP"/>
        </w:rPr>
        <w:t xml:space="preserve">. </w:t>
      </w:r>
    </w:p>
    <w:p w:rsidR="005F46C3" w:rsidRPr="00CA0AE3" w:rsidRDefault="00081FE9" w:rsidP="00D37ADE">
      <w:pPr>
        <w:pStyle w:val="ListParagraph"/>
        <w:numPr>
          <w:ilvl w:val="3"/>
          <w:numId w:val="30"/>
        </w:numPr>
        <w:spacing w:after="0" w:line="240" w:lineRule="auto"/>
        <w:jc w:val="both"/>
        <w:rPr>
          <w:lang w:eastAsia="ja-JP"/>
        </w:rPr>
      </w:pPr>
      <w:r w:rsidRPr="00CA0AE3">
        <w:rPr>
          <w:lang w:eastAsia="ja-JP"/>
        </w:rPr>
        <w:t>The following is a guiding hierarchy for the selection of improvement benchmarks or targets for outcomes and improvement indic</w:t>
      </w:r>
      <w:r w:rsidR="0078607B" w:rsidRPr="00CA0AE3">
        <w:rPr>
          <w:lang w:eastAsia="ja-JP"/>
        </w:rPr>
        <w:t xml:space="preserve">ators on Measure Slates 1 – 5. </w:t>
      </w:r>
      <w:r w:rsidRPr="00CA0AE3">
        <w:rPr>
          <w:lang w:eastAsia="ja-JP"/>
        </w:rPr>
        <w:t xml:space="preserve">All performance targets </w:t>
      </w:r>
      <w:r w:rsidR="00A532E6" w:rsidRPr="00CA0AE3">
        <w:rPr>
          <w:lang w:eastAsia="ja-JP"/>
        </w:rPr>
        <w:t xml:space="preserve">are set forward in this protocol </w:t>
      </w:r>
      <w:r w:rsidR="00083020" w:rsidRPr="00CA0AE3">
        <w:rPr>
          <w:lang w:eastAsia="ja-JP"/>
        </w:rPr>
        <w:t xml:space="preserve">for Measure Slates </w:t>
      </w:r>
      <w:r w:rsidR="00A532E6" w:rsidRPr="00CA0AE3">
        <w:rPr>
          <w:lang w:eastAsia="ja-JP"/>
        </w:rPr>
        <w:t>1</w:t>
      </w:r>
      <w:r w:rsidR="00083020" w:rsidRPr="00CA0AE3">
        <w:rPr>
          <w:lang w:eastAsia="ja-JP"/>
        </w:rPr>
        <w:t xml:space="preserve"> – 5 </w:t>
      </w:r>
      <w:r w:rsidRPr="00CA0AE3">
        <w:rPr>
          <w:lang w:eastAsia="ja-JP"/>
        </w:rPr>
        <w:t xml:space="preserve">and will be in place for the entire demonstration period.  </w:t>
      </w:r>
    </w:p>
    <w:p w:rsidR="00081FE9" w:rsidRPr="00CA0AE3" w:rsidRDefault="00081FE9" w:rsidP="00FA3494">
      <w:pPr>
        <w:numPr>
          <w:ilvl w:val="4"/>
          <w:numId w:val="30"/>
        </w:numPr>
        <w:spacing w:after="0" w:line="240" w:lineRule="auto"/>
        <w:jc w:val="both"/>
        <w:rPr>
          <w:lang w:eastAsia="ja-JP"/>
        </w:rPr>
      </w:pPr>
      <w:r w:rsidRPr="00CA0AE3">
        <w:rPr>
          <w:lang w:eastAsia="ja-JP"/>
        </w:rPr>
        <w:t>Select the latest available 90</w:t>
      </w:r>
      <w:r w:rsidRPr="00CA0AE3">
        <w:rPr>
          <w:vertAlign w:val="superscript"/>
          <w:lang w:eastAsia="ja-JP"/>
        </w:rPr>
        <w:t>th</w:t>
      </w:r>
      <w:r w:rsidRPr="00CA0AE3">
        <w:rPr>
          <w:lang w:eastAsia="ja-JP"/>
        </w:rPr>
        <w:t xml:space="preserve"> percentile Massachusetts Me</w:t>
      </w:r>
      <w:r w:rsidR="002D00D8" w:rsidRPr="00CA0AE3">
        <w:rPr>
          <w:lang w:eastAsia="ja-JP"/>
        </w:rPr>
        <w:t xml:space="preserve">dicaid </w:t>
      </w:r>
      <w:r w:rsidR="002839DC" w:rsidRPr="00CA0AE3">
        <w:rPr>
          <w:lang w:eastAsia="ja-JP"/>
        </w:rPr>
        <w:t>at the time of protocol development</w:t>
      </w:r>
      <w:r w:rsidR="002D00D8" w:rsidRPr="00CA0AE3">
        <w:rPr>
          <w:lang w:eastAsia="ja-JP"/>
        </w:rPr>
        <w:t xml:space="preserve">. </w:t>
      </w:r>
      <w:r w:rsidRPr="00CA0AE3">
        <w:rPr>
          <w:lang w:eastAsia="ja-JP"/>
        </w:rPr>
        <w:t xml:space="preserve">For CMS core inpatient measures and other inpatient measures, utilize available Massachusetts performance data.  </w:t>
      </w:r>
    </w:p>
    <w:p w:rsidR="00081FE9" w:rsidRPr="00CA0AE3" w:rsidRDefault="00081FE9" w:rsidP="00FA3494">
      <w:pPr>
        <w:numPr>
          <w:ilvl w:val="4"/>
          <w:numId w:val="30"/>
        </w:numPr>
        <w:spacing w:after="0" w:line="240" w:lineRule="auto"/>
        <w:jc w:val="both"/>
        <w:rPr>
          <w:lang w:eastAsia="ja-JP"/>
        </w:rPr>
      </w:pPr>
      <w:r w:rsidRPr="00CA0AE3">
        <w:rPr>
          <w:lang w:eastAsia="ja-JP"/>
        </w:rPr>
        <w:t xml:space="preserve">If above </w:t>
      </w:r>
      <w:r w:rsidR="00E466CE" w:rsidRPr="00CA0AE3">
        <w:rPr>
          <w:lang w:eastAsia="ja-JP"/>
        </w:rPr>
        <w:t xml:space="preserve">is </w:t>
      </w:r>
      <w:r w:rsidRPr="00CA0AE3">
        <w:rPr>
          <w:lang w:eastAsia="ja-JP"/>
        </w:rPr>
        <w:t>not available, select the latest available 90</w:t>
      </w:r>
      <w:r w:rsidRPr="00CA0AE3">
        <w:rPr>
          <w:vertAlign w:val="superscript"/>
          <w:lang w:eastAsia="ja-JP"/>
        </w:rPr>
        <w:t>th</w:t>
      </w:r>
      <w:r w:rsidRPr="00CA0AE3">
        <w:rPr>
          <w:lang w:eastAsia="ja-JP"/>
        </w:rPr>
        <w:t xml:space="preserve"> percentile Nati</w:t>
      </w:r>
      <w:r w:rsidR="002D00D8" w:rsidRPr="00CA0AE3">
        <w:rPr>
          <w:lang w:eastAsia="ja-JP"/>
        </w:rPr>
        <w:t xml:space="preserve">onal Medicaid </w:t>
      </w:r>
      <w:r w:rsidR="003B0C48" w:rsidRPr="00CA0AE3">
        <w:rPr>
          <w:lang w:eastAsia="ja-JP"/>
        </w:rPr>
        <w:t xml:space="preserve">data </w:t>
      </w:r>
      <w:r w:rsidR="002839DC" w:rsidRPr="00CA0AE3">
        <w:rPr>
          <w:lang w:eastAsia="ja-JP"/>
        </w:rPr>
        <w:t>at the time of protocol development</w:t>
      </w:r>
      <w:r w:rsidR="002D00D8" w:rsidRPr="00CA0AE3">
        <w:rPr>
          <w:lang w:eastAsia="ja-JP"/>
        </w:rPr>
        <w:t xml:space="preserve">. </w:t>
      </w:r>
      <w:r w:rsidRPr="00CA0AE3">
        <w:rPr>
          <w:lang w:eastAsia="ja-JP"/>
        </w:rPr>
        <w:t>For CMS core inpatient measures and other inpatient measures, utilize available National performance data.</w:t>
      </w:r>
    </w:p>
    <w:p w:rsidR="005F46C3" w:rsidRPr="00CA0AE3" w:rsidRDefault="00081FE9" w:rsidP="00FA3494">
      <w:pPr>
        <w:numPr>
          <w:ilvl w:val="4"/>
          <w:numId w:val="30"/>
        </w:numPr>
        <w:spacing w:after="0" w:line="240" w:lineRule="auto"/>
        <w:jc w:val="both"/>
        <w:rPr>
          <w:lang w:eastAsia="ja-JP"/>
        </w:rPr>
      </w:pPr>
      <w:r w:rsidRPr="00CA0AE3">
        <w:rPr>
          <w:lang w:eastAsia="ja-JP"/>
        </w:rPr>
        <w:t xml:space="preserve">If above </w:t>
      </w:r>
      <w:r w:rsidR="00E466CE" w:rsidRPr="00CA0AE3">
        <w:rPr>
          <w:lang w:eastAsia="ja-JP"/>
        </w:rPr>
        <w:t xml:space="preserve">is </w:t>
      </w:r>
      <w:r w:rsidRPr="00CA0AE3">
        <w:rPr>
          <w:lang w:eastAsia="ja-JP"/>
        </w:rPr>
        <w:t xml:space="preserve">not available, select other available benchmark (such as other latest available National benchmark) or hospital-defined target </w:t>
      </w:r>
      <w:r w:rsidR="002839DC" w:rsidRPr="00CA0AE3">
        <w:rPr>
          <w:lang w:eastAsia="ja-JP"/>
        </w:rPr>
        <w:t>at the time of protocol development</w:t>
      </w:r>
      <w:r w:rsidRPr="00CA0AE3">
        <w:rPr>
          <w:lang w:eastAsia="ja-JP"/>
        </w:rPr>
        <w:t>.</w:t>
      </w:r>
      <w:r w:rsidR="00FA3494" w:rsidRPr="00CA0AE3">
        <w:rPr>
          <w:lang w:eastAsia="ja-JP"/>
        </w:rPr>
        <w:t xml:space="preserve"> </w:t>
      </w:r>
      <w:r w:rsidRPr="00CA0AE3">
        <w:rPr>
          <w:lang w:eastAsia="ja-JP"/>
        </w:rPr>
        <w:t xml:space="preserve">If above </w:t>
      </w:r>
      <w:r w:rsidR="00E466CE" w:rsidRPr="00CA0AE3">
        <w:rPr>
          <w:lang w:eastAsia="ja-JP"/>
        </w:rPr>
        <w:t xml:space="preserve">is </w:t>
      </w:r>
      <w:r w:rsidRPr="00CA0AE3">
        <w:rPr>
          <w:lang w:eastAsia="ja-JP"/>
        </w:rPr>
        <w:t xml:space="preserve">not available or if the specific measure is more appropriate to improvement over hospital baseline (such as non-risk adjusted or utilization improvement measures), any improvement over </w:t>
      </w:r>
      <w:r w:rsidR="00A1430A" w:rsidRPr="00CA0AE3">
        <w:rPr>
          <w:lang w:eastAsia="ja-JP"/>
        </w:rPr>
        <w:t>DY</w:t>
      </w:r>
      <w:r w:rsidR="00A532E6" w:rsidRPr="00CA0AE3">
        <w:rPr>
          <w:lang w:eastAsia="ja-JP"/>
        </w:rPr>
        <w:t>21</w:t>
      </w:r>
      <w:r w:rsidR="00A1430A" w:rsidRPr="00CA0AE3">
        <w:rPr>
          <w:lang w:eastAsia="ja-JP"/>
        </w:rPr>
        <w:t>/SFY</w:t>
      </w:r>
      <w:r w:rsidR="00A532E6" w:rsidRPr="00CA0AE3">
        <w:rPr>
          <w:lang w:eastAsia="ja-JP"/>
        </w:rPr>
        <w:t>18</w:t>
      </w:r>
      <w:r w:rsidR="00A1430A" w:rsidRPr="00CA0AE3">
        <w:rPr>
          <w:lang w:eastAsia="ja-JP"/>
        </w:rPr>
        <w:t xml:space="preserve"> </w:t>
      </w:r>
      <w:r w:rsidRPr="00CA0AE3">
        <w:rPr>
          <w:lang w:eastAsia="ja-JP"/>
        </w:rPr>
        <w:t>hospital baseline will be the improvement measurement method or as specified</w:t>
      </w:r>
      <w:r w:rsidR="00F27698" w:rsidRPr="00CA0AE3">
        <w:rPr>
          <w:lang w:eastAsia="ja-JP"/>
        </w:rPr>
        <w:t>.</w:t>
      </w:r>
      <w:r w:rsidR="00F953AC" w:rsidRPr="00CA0AE3" w:rsidDel="00F953AC">
        <w:rPr>
          <w:lang w:eastAsia="ja-JP"/>
        </w:rPr>
        <w:t xml:space="preserve"> </w:t>
      </w:r>
    </w:p>
    <w:p w:rsidR="00081FE9" w:rsidRPr="00CA0AE3" w:rsidRDefault="00FA3494" w:rsidP="00D37ADE">
      <w:pPr>
        <w:pStyle w:val="ListParagraph"/>
        <w:numPr>
          <w:ilvl w:val="3"/>
          <w:numId w:val="30"/>
        </w:numPr>
        <w:spacing w:after="0" w:line="240" w:lineRule="auto"/>
        <w:jc w:val="both"/>
        <w:rPr>
          <w:lang w:eastAsia="ja-JP"/>
        </w:rPr>
      </w:pPr>
      <w:r w:rsidRPr="00CA0AE3">
        <w:rPr>
          <w:lang w:eastAsia="ja-JP"/>
        </w:rPr>
        <w:t xml:space="preserve"> </w:t>
      </w:r>
      <w:r w:rsidR="00081FE9" w:rsidRPr="00CA0AE3">
        <w:rPr>
          <w:lang w:eastAsia="ja-JP"/>
        </w:rPr>
        <w:t>Outcomes and Improvement Indicators Classifica</w:t>
      </w:r>
      <w:r w:rsidR="00DE07D1" w:rsidRPr="00CA0AE3">
        <w:rPr>
          <w:lang w:eastAsia="ja-JP"/>
        </w:rPr>
        <w:t>tions for Measure Slates 1 – 5</w:t>
      </w:r>
    </w:p>
    <w:p w:rsidR="00081FE9" w:rsidRPr="00CA0AE3" w:rsidRDefault="00081FE9" w:rsidP="00D37ADE">
      <w:pPr>
        <w:pStyle w:val="ListParagraph"/>
        <w:numPr>
          <w:ilvl w:val="4"/>
          <w:numId w:val="30"/>
        </w:numPr>
        <w:spacing w:after="0" w:line="240" w:lineRule="auto"/>
        <w:jc w:val="both"/>
        <w:rPr>
          <w:lang w:eastAsia="ja-JP"/>
        </w:rPr>
      </w:pPr>
      <w:r w:rsidRPr="00CA0AE3">
        <w:rPr>
          <w:lang w:eastAsia="ja-JP"/>
        </w:rPr>
        <w:t>Outcomes and improvement indicators will be classified into the following groups: (</w:t>
      </w:r>
      <w:r w:rsidR="003360D5" w:rsidRPr="00CA0AE3">
        <w:rPr>
          <w:lang w:eastAsia="ja-JP"/>
        </w:rPr>
        <w:t>i</w:t>
      </w:r>
      <w:r w:rsidRPr="00CA0AE3">
        <w:rPr>
          <w:lang w:eastAsia="ja-JP"/>
        </w:rPr>
        <w:t>) Clinical care delivery improvement measures; (</w:t>
      </w:r>
      <w:r w:rsidR="003360D5" w:rsidRPr="00CA0AE3">
        <w:rPr>
          <w:lang w:eastAsia="ja-JP"/>
        </w:rPr>
        <w:t>ii</w:t>
      </w:r>
      <w:r w:rsidRPr="00CA0AE3">
        <w:rPr>
          <w:lang w:eastAsia="ja-JP"/>
        </w:rPr>
        <w:t>) Clinical outcomes measures; and (</w:t>
      </w:r>
      <w:r w:rsidR="003360D5" w:rsidRPr="00CA0AE3">
        <w:rPr>
          <w:lang w:eastAsia="ja-JP"/>
        </w:rPr>
        <w:t>iii</w:t>
      </w:r>
      <w:r w:rsidRPr="00CA0AE3">
        <w:rPr>
          <w:lang w:eastAsia="ja-JP"/>
        </w:rPr>
        <w:t>) other delivery/outcomes measures where there is not a standardized benchmark and/or if the specific measure is more appropriate to improvement over hospital baseline.</w:t>
      </w:r>
    </w:p>
    <w:p w:rsidR="00081FE9" w:rsidRPr="00CA0AE3" w:rsidRDefault="00081FE9" w:rsidP="003360D5">
      <w:pPr>
        <w:numPr>
          <w:ilvl w:val="5"/>
          <w:numId w:val="30"/>
        </w:numPr>
        <w:spacing w:after="0" w:line="240" w:lineRule="auto"/>
        <w:jc w:val="both"/>
        <w:rPr>
          <w:lang w:eastAsia="ja-JP"/>
        </w:rPr>
      </w:pPr>
      <w:r w:rsidRPr="00CA0AE3">
        <w:rPr>
          <w:lang w:eastAsia="ja-JP"/>
        </w:rPr>
        <w:t>Clinical care delivery improvement measures quantify a performance exhibited by clinical care practices, such as health screenings, and therefore are usually directly observable</w:t>
      </w:r>
      <w:r w:rsidR="00B76DA6" w:rsidRPr="00CA0AE3">
        <w:rPr>
          <w:lang w:eastAsia="ja-JP"/>
        </w:rPr>
        <w:t xml:space="preserve"> and can be directly impacted. </w:t>
      </w:r>
      <w:r w:rsidRPr="00CA0AE3">
        <w:rPr>
          <w:lang w:eastAsia="ja-JP"/>
        </w:rPr>
        <w:t>In general, these metrics fit w</w:t>
      </w:r>
      <w:r w:rsidR="00B76DA6" w:rsidRPr="00CA0AE3">
        <w:rPr>
          <w:lang w:eastAsia="ja-JP"/>
        </w:rPr>
        <w:t xml:space="preserve">ith a gap-to-goal methodology. </w:t>
      </w:r>
      <w:r w:rsidRPr="00CA0AE3">
        <w:rPr>
          <w:lang w:eastAsia="ja-JP"/>
        </w:rPr>
        <w:t>All metrics classified as clinical care delivery measures must</w:t>
      </w:r>
      <w:r w:rsidR="00B76DA6" w:rsidRPr="00CA0AE3">
        <w:rPr>
          <w:lang w:eastAsia="ja-JP"/>
        </w:rPr>
        <w:t xml:space="preserve"> have an acceptable benchmark. </w:t>
      </w:r>
      <w:r w:rsidRPr="00CA0AE3">
        <w:rPr>
          <w:lang w:eastAsia="ja-JP"/>
        </w:rPr>
        <w:t>To meet the threshold for success, the Public Hospital must achieve closure of 10% of the difference between the Public Hospital’s baseline performance and the established benchmark or maintain at or above the benchmark. Each subsequent year would continue to be set with a target using the most recent year’s data, unless otherwise specified.</w:t>
      </w:r>
    </w:p>
    <w:p w:rsidR="00081FE9" w:rsidRPr="00CA0AE3" w:rsidRDefault="00081FE9" w:rsidP="0074511A">
      <w:pPr>
        <w:spacing w:after="0" w:line="240" w:lineRule="auto"/>
        <w:jc w:val="both"/>
        <w:rPr>
          <w:lang w:eastAsia="ja-JP"/>
        </w:rPr>
      </w:pPr>
    </w:p>
    <w:p w:rsidR="00081FE9" w:rsidRPr="00CA0AE3" w:rsidRDefault="00081FE9" w:rsidP="00082812">
      <w:pPr>
        <w:pStyle w:val="ListParagraph"/>
        <w:spacing w:after="0" w:line="240" w:lineRule="auto"/>
        <w:ind w:left="2160" w:firstLine="720"/>
        <w:jc w:val="both"/>
        <w:rPr>
          <w:lang w:eastAsia="ja-JP"/>
        </w:rPr>
      </w:pPr>
      <w:r w:rsidRPr="00CA0AE3">
        <w:rPr>
          <w:lang w:eastAsia="ja-JP"/>
        </w:rPr>
        <w:t xml:space="preserve">Performance Year – Baseline &gt;= (Benchmark – Baseline) * 10%  </w:t>
      </w:r>
    </w:p>
    <w:p w:rsidR="00081FE9" w:rsidRPr="00CA0AE3" w:rsidRDefault="00081FE9" w:rsidP="0074511A">
      <w:pPr>
        <w:spacing w:after="0" w:line="240" w:lineRule="auto"/>
        <w:jc w:val="both"/>
        <w:rPr>
          <w:lang w:eastAsia="ja-JP"/>
        </w:rPr>
      </w:pPr>
    </w:p>
    <w:p w:rsidR="00081FE9" w:rsidRPr="00CA0AE3" w:rsidRDefault="00081FE9" w:rsidP="003360D5">
      <w:pPr>
        <w:pStyle w:val="ListParagraph"/>
        <w:spacing w:after="0" w:line="240" w:lineRule="auto"/>
        <w:ind w:left="2160"/>
        <w:jc w:val="both"/>
        <w:rPr>
          <w:lang w:eastAsia="ja-JP"/>
        </w:rPr>
      </w:pPr>
      <w:r w:rsidRPr="00CA0AE3">
        <w:rPr>
          <w:lang w:eastAsia="ja-JP"/>
        </w:rPr>
        <w:lastRenderedPageBreak/>
        <w:t>An example of a clinical care delivery measure is influenza immunization (NQF 0041).</w:t>
      </w:r>
    </w:p>
    <w:p w:rsidR="00081FE9" w:rsidRPr="00CA0AE3" w:rsidRDefault="00081FE9" w:rsidP="0074511A">
      <w:pPr>
        <w:spacing w:after="0" w:line="240" w:lineRule="auto"/>
        <w:jc w:val="both"/>
        <w:rPr>
          <w:lang w:eastAsia="ja-JP"/>
        </w:rPr>
      </w:pPr>
    </w:p>
    <w:p w:rsidR="00081FE9" w:rsidRPr="00CA0AE3" w:rsidRDefault="00081FE9" w:rsidP="003360D5">
      <w:pPr>
        <w:numPr>
          <w:ilvl w:val="5"/>
          <w:numId w:val="30"/>
        </w:numPr>
        <w:spacing w:after="0" w:line="240" w:lineRule="auto"/>
        <w:jc w:val="both"/>
        <w:rPr>
          <w:lang w:eastAsia="ja-JP"/>
        </w:rPr>
      </w:pPr>
      <w:r w:rsidRPr="00CA0AE3">
        <w:rPr>
          <w:lang w:eastAsia="ja-JP"/>
        </w:rPr>
        <w:t>Clinical outcome measures are metrics influenced by patient case mix, multiple process</w:t>
      </w:r>
      <w:r w:rsidR="00B76DA6" w:rsidRPr="00CA0AE3">
        <w:rPr>
          <w:lang w:eastAsia="ja-JP"/>
        </w:rPr>
        <w:t xml:space="preserve">es, and environmental factors. </w:t>
      </w:r>
      <w:r w:rsidRPr="00CA0AE3">
        <w:rPr>
          <w:lang w:eastAsia="ja-JP"/>
        </w:rPr>
        <w:t>In general, these metrics fit with a gap-to-goal methodology, depending on the availabil</w:t>
      </w:r>
      <w:r w:rsidR="00B76DA6" w:rsidRPr="00CA0AE3">
        <w:rPr>
          <w:lang w:eastAsia="ja-JP"/>
        </w:rPr>
        <w:t xml:space="preserve">ity of performance benchmarks. </w:t>
      </w:r>
      <w:r w:rsidRPr="00CA0AE3">
        <w:rPr>
          <w:lang w:eastAsia="ja-JP"/>
        </w:rPr>
        <w:t xml:space="preserve">Since improvement on outcomes measures requires considerable amounts of resources and time and is dependent on foundational care delivery improvements and patient factors, closure of </w:t>
      </w:r>
      <w:r w:rsidR="00E1092C" w:rsidRPr="00CA0AE3">
        <w:rPr>
          <w:lang w:eastAsia="ja-JP"/>
        </w:rPr>
        <w:t>10</w:t>
      </w:r>
      <w:r w:rsidRPr="00CA0AE3">
        <w:rPr>
          <w:lang w:eastAsia="ja-JP"/>
        </w:rPr>
        <w:t>% of the difference between the Public Hospital’s baseline performance and the esta</w:t>
      </w:r>
      <w:r w:rsidR="00B76DA6" w:rsidRPr="00CA0AE3">
        <w:rPr>
          <w:lang w:eastAsia="ja-JP"/>
        </w:rPr>
        <w:t>blished benchmark is included</w:t>
      </w:r>
      <w:r w:rsidR="009A6AFA" w:rsidRPr="00CA0AE3">
        <w:rPr>
          <w:lang w:eastAsia="ja-JP"/>
        </w:rPr>
        <w:t>, unless otherwise specified</w:t>
      </w:r>
      <w:r w:rsidR="00B76DA6" w:rsidRPr="00CA0AE3">
        <w:rPr>
          <w:lang w:eastAsia="ja-JP"/>
        </w:rPr>
        <w:t xml:space="preserve">. </w:t>
      </w:r>
      <w:r w:rsidRPr="00CA0AE3">
        <w:rPr>
          <w:lang w:eastAsia="ja-JP"/>
        </w:rPr>
        <w:t xml:space="preserve">To meet the threshold for success, the Public Hospital must meet the </w:t>
      </w:r>
      <w:r w:rsidR="00E1092C" w:rsidRPr="00CA0AE3">
        <w:rPr>
          <w:lang w:eastAsia="ja-JP"/>
        </w:rPr>
        <w:t>10</w:t>
      </w:r>
      <w:r w:rsidRPr="00CA0AE3">
        <w:rPr>
          <w:lang w:eastAsia="ja-JP"/>
        </w:rPr>
        <w:t xml:space="preserve">% gap to goal, where the Public Hospital must achieve a </w:t>
      </w:r>
      <w:r w:rsidR="00A346CD" w:rsidRPr="00CA0AE3">
        <w:rPr>
          <w:lang w:eastAsia="ja-JP"/>
        </w:rPr>
        <w:t xml:space="preserve">closure of a </w:t>
      </w:r>
      <w:r w:rsidRPr="00CA0AE3">
        <w:rPr>
          <w:lang w:eastAsia="ja-JP"/>
        </w:rPr>
        <w:t xml:space="preserve">minimum of </w:t>
      </w:r>
      <w:r w:rsidR="00E1092C" w:rsidRPr="00CA0AE3">
        <w:rPr>
          <w:lang w:eastAsia="ja-JP"/>
        </w:rPr>
        <w:t>10</w:t>
      </w:r>
      <w:r w:rsidRPr="00CA0AE3">
        <w:rPr>
          <w:lang w:eastAsia="ja-JP"/>
        </w:rPr>
        <w:t>% of the difference between the benchmark and the baseline performance or maintain at or above the benchmark. Each subsequent year would continue to be set with a target using the most recent year’s data, unless otherwise specified.</w:t>
      </w:r>
    </w:p>
    <w:p w:rsidR="00081FE9" w:rsidRPr="00CA0AE3" w:rsidRDefault="00081FE9" w:rsidP="0074511A">
      <w:pPr>
        <w:spacing w:after="0" w:line="240" w:lineRule="auto"/>
        <w:jc w:val="both"/>
        <w:rPr>
          <w:lang w:eastAsia="ja-JP"/>
        </w:rPr>
      </w:pPr>
    </w:p>
    <w:p w:rsidR="00081FE9" w:rsidRPr="00CA0AE3" w:rsidRDefault="00081FE9" w:rsidP="00082812">
      <w:pPr>
        <w:pStyle w:val="ListParagraph"/>
        <w:spacing w:after="0" w:line="240" w:lineRule="auto"/>
        <w:ind w:left="2160" w:firstLine="720"/>
        <w:jc w:val="both"/>
        <w:rPr>
          <w:lang w:eastAsia="ja-JP"/>
        </w:rPr>
      </w:pPr>
      <w:r w:rsidRPr="00CA0AE3">
        <w:rPr>
          <w:lang w:eastAsia="ja-JP"/>
        </w:rPr>
        <w:t xml:space="preserve">Performance Year – Baseline &gt;= (Benchmark – Baseline) * </w:t>
      </w:r>
      <w:r w:rsidR="00E1092C" w:rsidRPr="00CA0AE3">
        <w:rPr>
          <w:lang w:eastAsia="ja-JP"/>
        </w:rPr>
        <w:t>10</w:t>
      </w:r>
      <w:r w:rsidRPr="00CA0AE3">
        <w:rPr>
          <w:lang w:eastAsia="ja-JP"/>
        </w:rPr>
        <w:t xml:space="preserve">%  </w:t>
      </w:r>
    </w:p>
    <w:p w:rsidR="00081FE9" w:rsidRPr="00CA0AE3" w:rsidRDefault="00081FE9" w:rsidP="0074511A">
      <w:pPr>
        <w:spacing w:after="0" w:line="240" w:lineRule="auto"/>
        <w:jc w:val="both"/>
        <w:rPr>
          <w:lang w:eastAsia="ja-JP"/>
        </w:rPr>
      </w:pPr>
    </w:p>
    <w:p w:rsidR="00081FE9" w:rsidRPr="00CA0AE3" w:rsidRDefault="00081FE9" w:rsidP="003360D5">
      <w:pPr>
        <w:pStyle w:val="ListParagraph"/>
        <w:spacing w:after="0" w:line="240" w:lineRule="auto"/>
        <w:ind w:left="2160"/>
        <w:jc w:val="both"/>
        <w:rPr>
          <w:lang w:eastAsia="ja-JP"/>
        </w:rPr>
      </w:pPr>
      <w:r w:rsidRPr="00CA0AE3">
        <w:rPr>
          <w:lang w:eastAsia="ja-JP"/>
        </w:rPr>
        <w:t xml:space="preserve">Examples of clinical outcome measures are Controlling High Blood Pressure (NQF 0018) and Comprehensive Diabetes Care:  Hemoglobin </w:t>
      </w:r>
      <w:proofErr w:type="gramStart"/>
      <w:r w:rsidRPr="00CA0AE3">
        <w:rPr>
          <w:lang w:eastAsia="ja-JP"/>
        </w:rPr>
        <w:t>A1c</w:t>
      </w:r>
      <w:proofErr w:type="gramEnd"/>
      <w:r w:rsidRPr="00CA0AE3">
        <w:rPr>
          <w:lang w:eastAsia="ja-JP"/>
        </w:rPr>
        <w:t xml:space="preserve"> Control (NQF 0575).</w:t>
      </w:r>
    </w:p>
    <w:p w:rsidR="00081FE9" w:rsidRPr="00CA0AE3" w:rsidRDefault="00081FE9" w:rsidP="0074511A">
      <w:pPr>
        <w:spacing w:after="0" w:line="240" w:lineRule="auto"/>
        <w:jc w:val="both"/>
        <w:rPr>
          <w:b/>
          <w:lang w:eastAsia="ja-JP"/>
        </w:rPr>
      </w:pPr>
    </w:p>
    <w:p w:rsidR="00081FE9" w:rsidRPr="00CA0AE3" w:rsidRDefault="00081FE9" w:rsidP="003360D5">
      <w:pPr>
        <w:numPr>
          <w:ilvl w:val="5"/>
          <w:numId w:val="30"/>
        </w:numPr>
        <w:spacing w:after="0" w:line="240" w:lineRule="auto"/>
        <w:jc w:val="both"/>
        <w:rPr>
          <w:lang w:eastAsia="ja-JP"/>
        </w:rPr>
      </w:pPr>
      <w:r w:rsidRPr="00CA0AE3">
        <w:rPr>
          <w:lang w:eastAsia="ja-JP"/>
        </w:rPr>
        <w:t>Non-standardized benchmark delivery/outcomes measures are metrics that do not have an available or acceptable benchmark and/or are specific measures that are more appropriate for improvement over hospital baseline (such as non-risk adjusted or utili</w:t>
      </w:r>
      <w:r w:rsidR="00B76DA6" w:rsidRPr="00CA0AE3">
        <w:rPr>
          <w:lang w:eastAsia="ja-JP"/>
        </w:rPr>
        <w:t xml:space="preserve">zation improvement measures). </w:t>
      </w:r>
      <w:r w:rsidR="00116B30" w:rsidRPr="00CA0AE3">
        <w:rPr>
          <w:lang w:eastAsia="ja-JP"/>
        </w:rPr>
        <w:t>For example, t</w:t>
      </w:r>
      <w:r w:rsidRPr="00CA0AE3">
        <w:rPr>
          <w:lang w:eastAsia="ja-JP"/>
        </w:rPr>
        <w:t xml:space="preserve">o meet the threshold for success, for pay-for-performance measures applicable to </w:t>
      </w:r>
      <w:r w:rsidR="00852AED" w:rsidRPr="00CA0AE3">
        <w:rPr>
          <w:rFonts w:eastAsiaTheme="minorHAnsi"/>
        </w:rPr>
        <w:t>DY</w:t>
      </w:r>
      <w:r w:rsidR="003170EE" w:rsidRPr="00CA0AE3">
        <w:rPr>
          <w:rFonts w:eastAsiaTheme="minorHAnsi"/>
        </w:rPr>
        <w:t xml:space="preserve"> </w:t>
      </w:r>
      <w:r w:rsidR="00F953AC" w:rsidRPr="00CA0AE3">
        <w:rPr>
          <w:rFonts w:eastAsiaTheme="minorHAnsi"/>
        </w:rPr>
        <w:t>22</w:t>
      </w:r>
      <w:r w:rsidRPr="00CA0AE3">
        <w:rPr>
          <w:lang w:eastAsia="ja-JP"/>
        </w:rPr>
        <w:t>, the Public Hospital must show improvement from baseline (</w:t>
      </w:r>
      <w:r w:rsidR="00852AED" w:rsidRPr="00CA0AE3">
        <w:rPr>
          <w:rFonts w:eastAsiaTheme="minorHAnsi"/>
        </w:rPr>
        <w:t>DY</w:t>
      </w:r>
      <w:r w:rsidR="003170EE" w:rsidRPr="00CA0AE3">
        <w:rPr>
          <w:rFonts w:eastAsiaTheme="minorHAnsi"/>
        </w:rPr>
        <w:t xml:space="preserve"> </w:t>
      </w:r>
      <w:r w:rsidR="00F953AC" w:rsidRPr="00CA0AE3">
        <w:rPr>
          <w:rFonts w:eastAsiaTheme="minorHAnsi"/>
        </w:rPr>
        <w:t>21</w:t>
      </w:r>
      <w:r w:rsidRPr="00CA0AE3">
        <w:rPr>
          <w:lang w:eastAsia="ja-JP"/>
        </w:rPr>
        <w:t>) to performanc</w:t>
      </w:r>
      <w:r w:rsidR="00B76DA6" w:rsidRPr="00CA0AE3">
        <w:rPr>
          <w:lang w:eastAsia="ja-JP"/>
        </w:rPr>
        <w:t>e year (</w:t>
      </w:r>
      <w:r w:rsidR="00852AED" w:rsidRPr="00CA0AE3">
        <w:rPr>
          <w:rFonts w:eastAsiaTheme="minorHAnsi"/>
        </w:rPr>
        <w:t>DY</w:t>
      </w:r>
      <w:r w:rsidR="003170EE" w:rsidRPr="00CA0AE3">
        <w:rPr>
          <w:rFonts w:eastAsiaTheme="minorHAnsi"/>
        </w:rPr>
        <w:t xml:space="preserve"> </w:t>
      </w:r>
      <w:r w:rsidR="00F953AC" w:rsidRPr="00CA0AE3">
        <w:rPr>
          <w:rFonts w:eastAsiaTheme="minorHAnsi"/>
        </w:rPr>
        <w:t>22</w:t>
      </w:r>
      <w:r w:rsidR="00B76DA6" w:rsidRPr="00CA0AE3">
        <w:rPr>
          <w:lang w:eastAsia="ja-JP"/>
        </w:rPr>
        <w:t>).</w:t>
      </w:r>
      <w:r w:rsidRPr="00CA0AE3">
        <w:rPr>
          <w:lang w:eastAsia="ja-JP"/>
        </w:rPr>
        <w:t xml:space="preserve"> To meet the threshold for success, for pay-for-performance measures applicable to </w:t>
      </w:r>
      <w:r w:rsidR="00852AED" w:rsidRPr="00CA0AE3">
        <w:rPr>
          <w:rFonts w:eastAsiaTheme="minorHAnsi"/>
        </w:rPr>
        <w:t>DY</w:t>
      </w:r>
      <w:r w:rsidR="003170EE" w:rsidRPr="00CA0AE3">
        <w:rPr>
          <w:rFonts w:eastAsiaTheme="minorHAnsi"/>
        </w:rPr>
        <w:t xml:space="preserve"> </w:t>
      </w:r>
      <w:r w:rsidR="00852AED" w:rsidRPr="00CA0AE3">
        <w:rPr>
          <w:rFonts w:eastAsiaTheme="minorHAnsi"/>
        </w:rPr>
        <w:t>2</w:t>
      </w:r>
      <w:r w:rsidR="00F953AC" w:rsidRPr="00CA0AE3">
        <w:rPr>
          <w:rFonts w:eastAsiaTheme="minorHAnsi"/>
        </w:rPr>
        <w:t>3</w:t>
      </w:r>
      <w:r w:rsidRPr="00CA0AE3">
        <w:rPr>
          <w:lang w:eastAsia="ja-JP"/>
        </w:rPr>
        <w:t>, the Public Hospital must show improvement from baseline (</w:t>
      </w:r>
      <w:r w:rsidR="00852AED" w:rsidRPr="00CA0AE3">
        <w:rPr>
          <w:rFonts w:eastAsiaTheme="minorHAnsi"/>
        </w:rPr>
        <w:t>DY</w:t>
      </w:r>
      <w:r w:rsidR="00D444D8" w:rsidRPr="00CA0AE3">
        <w:rPr>
          <w:rFonts w:eastAsiaTheme="minorHAnsi"/>
        </w:rPr>
        <w:t xml:space="preserve"> </w:t>
      </w:r>
      <w:r w:rsidR="00F953AC" w:rsidRPr="00CA0AE3">
        <w:rPr>
          <w:rFonts w:eastAsiaTheme="minorHAnsi"/>
        </w:rPr>
        <w:t>21</w:t>
      </w:r>
      <w:r w:rsidRPr="00CA0AE3">
        <w:rPr>
          <w:lang w:eastAsia="ja-JP"/>
        </w:rPr>
        <w:t>) to performance year (</w:t>
      </w:r>
      <w:r w:rsidR="00852AED" w:rsidRPr="00CA0AE3">
        <w:rPr>
          <w:rFonts w:eastAsiaTheme="minorHAnsi"/>
        </w:rPr>
        <w:t>DY</w:t>
      </w:r>
      <w:r w:rsidR="003170EE" w:rsidRPr="00CA0AE3">
        <w:rPr>
          <w:rFonts w:eastAsiaTheme="minorHAnsi"/>
        </w:rPr>
        <w:t xml:space="preserve"> </w:t>
      </w:r>
      <w:r w:rsidR="00F953AC" w:rsidRPr="00CA0AE3">
        <w:rPr>
          <w:rFonts w:eastAsiaTheme="minorHAnsi"/>
        </w:rPr>
        <w:t>23</w:t>
      </w:r>
      <w:r w:rsidRPr="00CA0AE3">
        <w:rPr>
          <w:lang w:eastAsia="ja-JP"/>
        </w:rPr>
        <w:t xml:space="preserve">) or as specified. </w:t>
      </w:r>
    </w:p>
    <w:p w:rsidR="00082812" w:rsidRPr="00CA0AE3" w:rsidRDefault="00082812" w:rsidP="00082812">
      <w:pPr>
        <w:pStyle w:val="ListParagraph"/>
        <w:spacing w:after="0" w:line="240" w:lineRule="auto"/>
        <w:ind w:left="1440" w:firstLine="720"/>
        <w:jc w:val="both"/>
        <w:rPr>
          <w:lang w:eastAsia="ja-JP"/>
        </w:rPr>
      </w:pPr>
    </w:p>
    <w:p w:rsidR="00081FE9" w:rsidRPr="00CA0AE3" w:rsidRDefault="00081FE9" w:rsidP="003360D5">
      <w:pPr>
        <w:pStyle w:val="ListParagraph"/>
        <w:spacing w:after="0" w:line="240" w:lineRule="auto"/>
        <w:ind w:left="2160"/>
        <w:jc w:val="both"/>
        <w:rPr>
          <w:lang w:eastAsia="ja-JP"/>
        </w:rPr>
      </w:pPr>
      <w:r w:rsidRPr="00CA0AE3">
        <w:rPr>
          <w:lang w:eastAsia="ja-JP"/>
        </w:rPr>
        <w:t xml:space="preserve">Examples of a non-standardized benchmark delivery/outcomes measure </w:t>
      </w:r>
      <w:r w:rsidR="00462857" w:rsidRPr="00CA0AE3">
        <w:rPr>
          <w:lang w:eastAsia="ja-JP"/>
        </w:rPr>
        <w:t>are</w:t>
      </w:r>
      <w:r w:rsidRPr="00CA0AE3">
        <w:rPr>
          <w:lang w:eastAsia="ja-JP"/>
        </w:rPr>
        <w:t xml:space="preserve"> </w:t>
      </w:r>
      <w:r w:rsidR="008D3CB4" w:rsidRPr="00CA0AE3">
        <w:rPr>
          <w:lang w:eastAsia="ja-JP"/>
        </w:rPr>
        <w:t>emergency department utilization rates and reducing the proportion of out-of-network referrals</w:t>
      </w:r>
      <w:r w:rsidR="00462857" w:rsidRPr="00CA0AE3">
        <w:rPr>
          <w:lang w:eastAsia="ja-JP"/>
        </w:rPr>
        <w:t>, thereby improving patient continuity of care</w:t>
      </w:r>
      <w:r w:rsidR="00B76DA6" w:rsidRPr="00CA0AE3">
        <w:rPr>
          <w:lang w:eastAsia="ja-JP"/>
        </w:rPr>
        <w:t xml:space="preserve">. </w:t>
      </w:r>
      <w:r w:rsidRPr="00CA0AE3">
        <w:rPr>
          <w:lang w:eastAsia="ja-JP"/>
        </w:rPr>
        <w:t>These measures are influenced by many factors (which may include patient case mix, multiple processe</w:t>
      </w:r>
      <w:r w:rsidR="00B76DA6" w:rsidRPr="00CA0AE3">
        <w:rPr>
          <w:lang w:eastAsia="ja-JP"/>
        </w:rPr>
        <w:t xml:space="preserve">s, and environmental factors). </w:t>
      </w:r>
      <w:r w:rsidRPr="00CA0AE3">
        <w:rPr>
          <w:lang w:eastAsia="ja-JP"/>
        </w:rPr>
        <w:t>Given that these measures are not risk-adjusted approach, the use of the Public Hospital’s historical performance is a pragmatic approach to</w:t>
      </w:r>
      <w:r w:rsidR="00B76DA6" w:rsidRPr="00CA0AE3">
        <w:rPr>
          <w:lang w:eastAsia="ja-JP"/>
        </w:rPr>
        <w:t xml:space="preserve"> PHTII.</w:t>
      </w:r>
      <w:r w:rsidRPr="00CA0AE3">
        <w:rPr>
          <w:lang w:eastAsia="ja-JP"/>
        </w:rPr>
        <w:t xml:space="preserve"> </w:t>
      </w:r>
      <w:r w:rsidR="00462857" w:rsidRPr="00CA0AE3">
        <w:rPr>
          <w:lang w:eastAsia="ja-JP"/>
        </w:rPr>
        <w:t>Other</w:t>
      </w:r>
      <w:r w:rsidR="00B65BA0" w:rsidRPr="00CA0AE3">
        <w:rPr>
          <w:lang w:eastAsia="ja-JP"/>
        </w:rPr>
        <w:t xml:space="preserve"> </w:t>
      </w:r>
      <w:r w:rsidRPr="00CA0AE3">
        <w:rPr>
          <w:lang w:eastAsia="ja-JP"/>
        </w:rPr>
        <w:t>example</w:t>
      </w:r>
      <w:r w:rsidR="00462857" w:rsidRPr="00CA0AE3">
        <w:rPr>
          <w:lang w:eastAsia="ja-JP"/>
        </w:rPr>
        <w:t>s</w:t>
      </w:r>
      <w:r w:rsidRPr="00CA0AE3">
        <w:rPr>
          <w:lang w:eastAsia="ja-JP"/>
        </w:rPr>
        <w:t xml:space="preserve"> of</w:t>
      </w:r>
      <w:r w:rsidR="00F953AC" w:rsidRPr="00CA0AE3">
        <w:rPr>
          <w:lang w:eastAsia="ja-JP"/>
        </w:rPr>
        <w:t xml:space="preserve"> </w:t>
      </w:r>
      <w:r w:rsidRPr="00CA0AE3">
        <w:rPr>
          <w:lang w:eastAsia="ja-JP"/>
        </w:rPr>
        <w:t>a non-standardized benchmark delivery/outcomes measure</w:t>
      </w:r>
      <w:r w:rsidR="00462857" w:rsidRPr="00CA0AE3">
        <w:rPr>
          <w:lang w:eastAsia="ja-JP"/>
        </w:rPr>
        <w:t>s</w:t>
      </w:r>
      <w:r w:rsidRPr="00CA0AE3">
        <w:rPr>
          <w:lang w:eastAsia="ja-JP"/>
        </w:rPr>
        <w:t xml:space="preserve"> </w:t>
      </w:r>
      <w:r w:rsidR="00462857" w:rsidRPr="00CA0AE3">
        <w:rPr>
          <w:lang w:eastAsia="ja-JP"/>
        </w:rPr>
        <w:t>are</w:t>
      </w:r>
      <w:r w:rsidRPr="00CA0AE3">
        <w:rPr>
          <w:lang w:eastAsia="ja-JP"/>
        </w:rPr>
        <w:t xml:space="preserve"> the </w:t>
      </w:r>
      <w:r w:rsidR="00F619B4" w:rsidRPr="00CA0AE3">
        <w:rPr>
          <w:lang w:eastAsia="ja-JP"/>
        </w:rPr>
        <w:t>CMS I</w:t>
      </w:r>
      <w:r w:rsidR="00D77BEF" w:rsidRPr="00CA0AE3">
        <w:rPr>
          <w:lang w:eastAsia="ja-JP"/>
        </w:rPr>
        <w:t>npatient Psychiatric Facility Quality Reporting</w:t>
      </w:r>
      <w:r w:rsidR="00F619B4" w:rsidRPr="00CA0AE3">
        <w:rPr>
          <w:lang w:eastAsia="ja-JP"/>
        </w:rPr>
        <w:t xml:space="preserve"> Screening for Metabolic Disorders in Inpatient Psychiatric Care, which is a new measure for which a </w:t>
      </w:r>
      <w:r w:rsidRPr="00CA0AE3">
        <w:rPr>
          <w:lang w:eastAsia="ja-JP"/>
        </w:rPr>
        <w:t>benchmark is unavailable.</w:t>
      </w:r>
    </w:p>
    <w:p w:rsidR="00741B79" w:rsidRPr="00CA0AE3" w:rsidRDefault="00741B79" w:rsidP="0074511A">
      <w:pPr>
        <w:autoSpaceDE w:val="0"/>
        <w:autoSpaceDN w:val="0"/>
        <w:adjustRightInd w:val="0"/>
        <w:spacing w:after="0" w:line="240" w:lineRule="auto"/>
        <w:jc w:val="both"/>
      </w:pPr>
    </w:p>
    <w:p w:rsidR="002463A7" w:rsidRPr="00CA0AE3" w:rsidRDefault="003A345D" w:rsidP="00D37ADE">
      <w:pPr>
        <w:pStyle w:val="ListParagraph"/>
        <w:numPr>
          <w:ilvl w:val="2"/>
          <w:numId w:val="30"/>
        </w:numPr>
        <w:spacing w:after="0" w:line="240" w:lineRule="auto"/>
        <w:jc w:val="both"/>
        <w:rPr>
          <w:u w:val="single"/>
          <w:lang w:eastAsia="ja-JP"/>
        </w:rPr>
      </w:pPr>
      <w:r w:rsidRPr="00CA0AE3">
        <w:rPr>
          <w:u w:val="single"/>
          <w:lang w:eastAsia="ja-JP"/>
        </w:rPr>
        <w:t>M</w:t>
      </w:r>
      <w:r w:rsidR="000B2899" w:rsidRPr="00CA0AE3">
        <w:rPr>
          <w:u w:val="single"/>
          <w:lang w:eastAsia="ja-JP"/>
        </w:rPr>
        <w:t>assHealth</w:t>
      </w:r>
      <w:r w:rsidRPr="00CA0AE3">
        <w:rPr>
          <w:u w:val="single"/>
          <w:lang w:eastAsia="ja-JP"/>
        </w:rPr>
        <w:t xml:space="preserve"> </w:t>
      </w:r>
      <w:r w:rsidR="00A65753" w:rsidRPr="00CA0AE3">
        <w:rPr>
          <w:u w:val="single"/>
          <w:lang w:eastAsia="ja-JP"/>
        </w:rPr>
        <w:t xml:space="preserve">DSRIP </w:t>
      </w:r>
      <w:r w:rsidRPr="00CA0AE3">
        <w:rPr>
          <w:u w:val="single"/>
          <w:lang w:eastAsia="ja-JP"/>
        </w:rPr>
        <w:t xml:space="preserve">Performance Accountability </w:t>
      </w:r>
      <w:r w:rsidR="002463A7" w:rsidRPr="00CA0AE3">
        <w:rPr>
          <w:u w:val="single"/>
          <w:lang w:eastAsia="ja-JP"/>
        </w:rPr>
        <w:t>Funds Incorporated into PHTII Funding Stream</w:t>
      </w:r>
    </w:p>
    <w:p w:rsidR="002463A7" w:rsidRPr="00CA0AE3" w:rsidRDefault="000B2899" w:rsidP="00BD4DEA">
      <w:pPr>
        <w:spacing w:after="0" w:line="240" w:lineRule="auto"/>
        <w:ind w:left="1080"/>
        <w:jc w:val="both"/>
        <w:rPr>
          <w:lang w:eastAsia="ja-JP"/>
        </w:rPr>
      </w:pPr>
      <w:r w:rsidRPr="00CA0AE3">
        <w:rPr>
          <w:lang w:eastAsia="ja-JP"/>
        </w:rPr>
        <w:t xml:space="preserve">The Public Hospital will follow the reporting process established for </w:t>
      </w:r>
      <w:r w:rsidR="00C346B3" w:rsidRPr="00CA0AE3">
        <w:rPr>
          <w:lang w:eastAsia="ja-JP"/>
        </w:rPr>
        <w:t>the MassHealth DSRIP</w:t>
      </w:r>
      <w:r w:rsidR="00A65753" w:rsidRPr="00CA0AE3">
        <w:rPr>
          <w:lang w:eastAsia="ja-JP"/>
        </w:rPr>
        <w:t xml:space="preserve"> </w:t>
      </w:r>
      <w:r w:rsidR="00FE3E96" w:rsidRPr="00CA0AE3">
        <w:rPr>
          <w:lang w:eastAsia="ja-JP"/>
        </w:rPr>
        <w:t xml:space="preserve">accountability </w:t>
      </w:r>
      <w:r w:rsidR="00C346B3" w:rsidRPr="00CA0AE3">
        <w:rPr>
          <w:lang w:eastAsia="ja-JP"/>
        </w:rPr>
        <w:t>measures.</w:t>
      </w:r>
      <w:r w:rsidR="00FE3E96" w:rsidRPr="00CA0AE3">
        <w:rPr>
          <w:lang w:eastAsia="ja-JP"/>
        </w:rPr>
        <w:t xml:space="preserve"> A DSRIP Accountability Score will be calculated for the Public Hospital using the methodology as described in the DSRIP Protocol</w:t>
      </w:r>
      <w:r w:rsidR="002C2F85" w:rsidRPr="00CA0AE3">
        <w:rPr>
          <w:lang w:eastAsia="ja-JP"/>
        </w:rPr>
        <w:t xml:space="preserve">, except that the Accountability Score will be calculated based specifically on performance for MassHealth members </w:t>
      </w:r>
      <w:r w:rsidR="00192341" w:rsidRPr="00CA0AE3">
        <w:rPr>
          <w:lang w:eastAsia="ja-JP"/>
        </w:rPr>
        <w:t>related</w:t>
      </w:r>
      <w:r w:rsidR="002C2F85" w:rsidRPr="00CA0AE3">
        <w:rPr>
          <w:lang w:eastAsia="ja-JP"/>
        </w:rPr>
        <w:t xml:space="preserve"> to the Public Hospital’s primary care panel (versus the whole ACO’s primary care panel, if the ACO includes other primary care providers in addition to the Public Hospital)</w:t>
      </w:r>
      <w:r w:rsidR="00FE3E96" w:rsidRPr="00CA0AE3">
        <w:rPr>
          <w:lang w:eastAsia="ja-JP"/>
        </w:rPr>
        <w:t xml:space="preserve">. The amount of </w:t>
      </w:r>
      <w:r w:rsidR="00A65753" w:rsidRPr="00CA0AE3">
        <w:rPr>
          <w:lang w:eastAsia="ja-JP"/>
        </w:rPr>
        <w:t xml:space="preserve">these </w:t>
      </w:r>
      <w:r w:rsidR="00FE3E96" w:rsidRPr="00CA0AE3">
        <w:rPr>
          <w:lang w:eastAsia="ja-JP"/>
        </w:rPr>
        <w:t xml:space="preserve">at-risk funds the Public Hospital earns will be determined </w:t>
      </w:r>
      <w:r w:rsidR="00192341" w:rsidRPr="00CA0AE3">
        <w:rPr>
          <w:lang w:eastAsia="ja-JP"/>
        </w:rPr>
        <w:t xml:space="preserve">as outlined in the </w:t>
      </w:r>
      <w:r w:rsidR="00FE3E96" w:rsidRPr="00CA0AE3">
        <w:rPr>
          <w:lang w:eastAsia="ja-JP"/>
        </w:rPr>
        <w:t xml:space="preserve">DSRIP </w:t>
      </w:r>
      <w:r w:rsidR="00192341" w:rsidRPr="00CA0AE3">
        <w:rPr>
          <w:lang w:eastAsia="ja-JP"/>
        </w:rPr>
        <w:t>Protocol</w:t>
      </w:r>
      <w:r w:rsidR="00FE3E96" w:rsidRPr="00CA0AE3">
        <w:rPr>
          <w:lang w:eastAsia="ja-JP"/>
        </w:rPr>
        <w:t xml:space="preserve">. </w:t>
      </w:r>
      <w:r w:rsidR="00D858E8" w:rsidRPr="00CA0AE3">
        <w:rPr>
          <w:lang w:eastAsia="ja-JP"/>
        </w:rPr>
        <w:t>The DSRIP</w:t>
      </w:r>
      <w:r w:rsidR="00FE3E96" w:rsidRPr="00CA0AE3">
        <w:rPr>
          <w:lang w:eastAsia="ja-JP"/>
        </w:rPr>
        <w:t xml:space="preserve"> domains and measures, and the methodology for calculating accountability scores, are further defined in the DSRIP Protocol.</w:t>
      </w:r>
      <w:r w:rsidR="00C346B3" w:rsidRPr="00CA0AE3">
        <w:rPr>
          <w:lang w:eastAsia="ja-JP"/>
        </w:rPr>
        <w:t xml:space="preserve"> </w:t>
      </w:r>
    </w:p>
    <w:p w:rsidR="00C346B3" w:rsidRPr="00CA0AE3" w:rsidRDefault="00C346B3" w:rsidP="0074511A">
      <w:pPr>
        <w:autoSpaceDE w:val="0"/>
        <w:autoSpaceDN w:val="0"/>
        <w:adjustRightInd w:val="0"/>
        <w:spacing w:after="0" w:line="240" w:lineRule="auto"/>
        <w:jc w:val="both"/>
      </w:pPr>
    </w:p>
    <w:p w:rsidR="002463A7" w:rsidRPr="00CA0AE3" w:rsidRDefault="002463A7" w:rsidP="0074511A">
      <w:pPr>
        <w:autoSpaceDE w:val="0"/>
        <w:autoSpaceDN w:val="0"/>
        <w:adjustRightInd w:val="0"/>
        <w:spacing w:after="0" w:line="240" w:lineRule="auto"/>
        <w:jc w:val="both"/>
      </w:pPr>
    </w:p>
    <w:p w:rsidR="005F46C3" w:rsidRPr="00CA0AE3" w:rsidRDefault="00B3286B" w:rsidP="007851F9">
      <w:pPr>
        <w:pStyle w:val="ListParagraph"/>
        <w:numPr>
          <w:ilvl w:val="0"/>
          <w:numId w:val="100"/>
        </w:numPr>
        <w:suppressAutoHyphens/>
        <w:spacing w:after="0" w:line="240" w:lineRule="auto"/>
        <w:ind w:left="720" w:hanging="720"/>
        <w:jc w:val="both"/>
        <w:outlineLvl w:val="1"/>
        <w:rPr>
          <w:b/>
          <w:bCs/>
        </w:rPr>
      </w:pPr>
      <w:r w:rsidRPr="00CA0AE3">
        <w:rPr>
          <w:b/>
          <w:bCs/>
        </w:rPr>
        <w:t xml:space="preserve">INITIATIVE </w:t>
      </w:r>
      <w:r w:rsidR="00E15D9F" w:rsidRPr="00CA0AE3">
        <w:rPr>
          <w:b/>
          <w:bCs/>
        </w:rPr>
        <w:t>MODIFICATION, GRACE PERIODS, AND CARRY</w:t>
      </w:r>
      <w:r w:rsidR="00D4312F" w:rsidRPr="00CA0AE3">
        <w:rPr>
          <w:b/>
          <w:bCs/>
        </w:rPr>
        <w:t xml:space="preserve"> </w:t>
      </w:r>
      <w:r w:rsidR="00E15D9F" w:rsidRPr="00CA0AE3">
        <w:rPr>
          <w:b/>
          <w:bCs/>
        </w:rPr>
        <w:t xml:space="preserve">FORWARD </w:t>
      </w:r>
      <w:r w:rsidR="00B94EE7" w:rsidRPr="00CA0AE3">
        <w:rPr>
          <w:b/>
          <w:bCs/>
        </w:rPr>
        <w:t>AND</w:t>
      </w:r>
      <w:r w:rsidR="00D4312F" w:rsidRPr="00CA0AE3">
        <w:rPr>
          <w:b/>
          <w:bCs/>
        </w:rPr>
        <w:t xml:space="preserve"> </w:t>
      </w:r>
    </w:p>
    <w:p w:rsidR="005F46C3" w:rsidRPr="00CA0AE3" w:rsidRDefault="008D3CB4">
      <w:pPr>
        <w:spacing w:after="0" w:line="240" w:lineRule="auto"/>
        <w:rPr>
          <w:b/>
        </w:rPr>
      </w:pPr>
      <w:r w:rsidRPr="00CA0AE3">
        <w:rPr>
          <w:b/>
        </w:rPr>
        <w:t xml:space="preserve">RECLAMATION </w:t>
      </w:r>
    </w:p>
    <w:p w:rsidR="00452ABC" w:rsidRPr="00CA0AE3" w:rsidRDefault="00452ABC">
      <w:pPr>
        <w:spacing w:after="0" w:line="240" w:lineRule="auto"/>
      </w:pPr>
    </w:p>
    <w:p w:rsidR="00AA5254" w:rsidRPr="00CA0AE3" w:rsidRDefault="008D3CB4" w:rsidP="00321A10">
      <w:pPr>
        <w:pStyle w:val="ListParagraph"/>
        <w:numPr>
          <w:ilvl w:val="1"/>
          <w:numId w:val="16"/>
        </w:numPr>
        <w:suppressAutoHyphens/>
        <w:spacing w:after="0" w:line="240" w:lineRule="auto"/>
        <w:jc w:val="both"/>
        <w:outlineLvl w:val="1"/>
        <w:rPr>
          <w:b/>
          <w:bCs/>
        </w:rPr>
      </w:pPr>
      <w:r w:rsidRPr="00CA0AE3">
        <w:rPr>
          <w:b/>
          <w:bCs/>
        </w:rPr>
        <w:t xml:space="preserve">Initiative </w:t>
      </w:r>
      <w:r w:rsidRPr="00CA0AE3">
        <w:rPr>
          <w:b/>
          <w:bCs/>
          <w:lang w:eastAsia="ja-JP"/>
        </w:rPr>
        <w:t>Modification</w:t>
      </w:r>
      <w:r w:rsidRPr="00CA0AE3">
        <w:rPr>
          <w:b/>
          <w:bCs/>
        </w:rPr>
        <w:t xml:space="preserve"> Process</w:t>
      </w:r>
    </w:p>
    <w:p w:rsidR="005A05D9" w:rsidRPr="00CA0AE3" w:rsidRDefault="005A05D9" w:rsidP="0074511A">
      <w:pPr>
        <w:pStyle w:val="ListParagraph"/>
        <w:suppressAutoHyphens/>
        <w:spacing w:after="0" w:line="240" w:lineRule="auto"/>
        <w:ind w:left="0"/>
        <w:jc w:val="both"/>
        <w:outlineLvl w:val="1"/>
        <w:rPr>
          <w:b/>
          <w:bCs/>
          <w:u w:val="single"/>
        </w:rPr>
      </w:pPr>
    </w:p>
    <w:p w:rsidR="004D1937" w:rsidRPr="00CA0AE3" w:rsidRDefault="008D3CB4">
      <w:pPr>
        <w:pStyle w:val="ListParagraph"/>
        <w:numPr>
          <w:ilvl w:val="2"/>
          <w:numId w:val="16"/>
        </w:numPr>
        <w:tabs>
          <w:tab w:val="left" w:pos="1080"/>
        </w:tabs>
        <w:autoSpaceDE w:val="0"/>
        <w:autoSpaceDN w:val="0"/>
        <w:adjustRightInd w:val="0"/>
        <w:spacing w:after="0" w:line="240" w:lineRule="auto"/>
        <w:jc w:val="both"/>
      </w:pPr>
      <w:r w:rsidRPr="00CA0AE3">
        <w:rPr>
          <w:bCs/>
        </w:rPr>
        <w:t>Consistent with the recogn</w:t>
      </w:r>
      <w:r w:rsidR="00AA5254" w:rsidRPr="00CA0AE3">
        <w:t>ized</w:t>
      </w:r>
      <w:r w:rsidR="00CF3B09" w:rsidRPr="00CA0AE3">
        <w:t xml:space="preserve"> need to provide the Public Hospital</w:t>
      </w:r>
      <w:r w:rsidR="00AA5254" w:rsidRPr="00CA0AE3">
        <w:t xml:space="preserve"> some flexibility to evolve </w:t>
      </w:r>
      <w:r w:rsidR="00807A68" w:rsidRPr="00CA0AE3">
        <w:t>its</w:t>
      </w:r>
      <w:r w:rsidR="00AA5254" w:rsidRPr="00CA0AE3">
        <w:t xml:space="preserve"> </w:t>
      </w:r>
      <w:r w:rsidR="00B3286B" w:rsidRPr="00CA0AE3">
        <w:t xml:space="preserve">initiatives </w:t>
      </w:r>
      <w:r w:rsidR="00AA5254" w:rsidRPr="00CA0AE3">
        <w:t xml:space="preserve">over time and take into account evidence and learning from experience and from the field, as well as for unforeseen circumstances or other good cause, </w:t>
      </w:r>
      <w:r w:rsidR="00CF3B09" w:rsidRPr="00CA0AE3">
        <w:t>the</w:t>
      </w:r>
      <w:r w:rsidR="00AA5254" w:rsidRPr="00CA0AE3">
        <w:t xml:space="preserve"> hospital may request modifications to </w:t>
      </w:r>
      <w:r w:rsidR="00B3286B" w:rsidRPr="00CA0AE3">
        <w:t>the PHTII Toolkit for an initiative</w:t>
      </w:r>
      <w:r w:rsidR="00D4009D" w:rsidRPr="00CA0AE3">
        <w:t xml:space="preserve"> or to its portfolio of selected PHTII initiatives</w:t>
      </w:r>
      <w:r w:rsidR="00EC3B3E" w:rsidRPr="00CA0AE3">
        <w:t>, with the exception of ACO performance accountability, which may not be modified</w:t>
      </w:r>
      <w:r w:rsidR="002C2F85" w:rsidRPr="00CA0AE3">
        <w:t xml:space="preserve"> except at EOHHS’ direction and as applicable to the broader DSRIP program</w:t>
      </w:r>
      <w:r w:rsidR="00B3286B" w:rsidRPr="00CA0AE3">
        <w:t>. T</w:t>
      </w:r>
      <w:r w:rsidR="00CF3B09" w:rsidRPr="00CA0AE3">
        <w:t>he</w:t>
      </w:r>
      <w:r w:rsidR="00AA5254" w:rsidRPr="00CA0AE3">
        <w:t xml:space="preserve"> hospital must submit a request for modification to EOHHS. Requests for </w:t>
      </w:r>
      <w:r w:rsidR="00B3286B" w:rsidRPr="00CA0AE3">
        <w:t xml:space="preserve">initiative </w:t>
      </w:r>
      <w:r w:rsidR="00AA5254" w:rsidRPr="00CA0AE3">
        <w:t xml:space="preserve">modification must be in writing and must describe the basis for the proposed modification. </w:t>
      </w:r>
      <w:r w:rsidR="00B43A2F" w:rsidRPr="00CA0AE3">
        <w:t>Updates to technical specifications of outcomes and improvement m</w:t>
      </w:r>
      <w:r w:rsidR="00C1796F" w:rsidRPr="00CA0AE3">
        <w:t xml:space="preserve">easures in the Measure Slates (1 </w:t>
      </w:r>
      <w:r w:rsidR="009D6AB3" w:rsidRPr="00CA0AE3">
        <w:t>–</w:t>
      </w:r>
      <w:r w:rsidR="00C1796F" w:rsidRPr="00CA0AE3">
        <w:t xml:space="preserve"> 6) </w:t>
      </w:r>
      <w:r w:rsidR="00B43A2F" w:rsidRPr="00CA0AE3">
        <w:t>shall not require a plan modification and can be implemented by the Commonwealth without further approval.</w:t>
      </w:r>
    </w:p>
    <w:p w:rsidR="00AA5254" w:rsidRPr="00CA0AE3" w:rsidRDefault="00AA5254" w:rsidP="0074511A">
      <w:pPr>
        <w:autoSpaceDE w:val="0"/>
        <w:autoSpaceDN w:val="0"/>
        <w:adjustRightInd w:val="0"/>
        <w:spacing w:after="0" w:line="240" w:lineRule="auto"/>
        <w:jc w:val="both"/>
      </w:pPr>
    </w:p>
    <w:p w:rsidR="00AA5254" w:rsidRPr="00CA0AE3" w:rsidRDefault="00B3286B" w:rsidP="004A0654">
      <w:pPr>
        <w:pStyle w:val="ListParagraph"/>
        <w:numPr>
          <w:ilvl w:val="2"/>
          <w:numId w:val="16"/>
        </w:numPr>
        <w:tabs>
          <w:tab w:val="left" w:pos="1080"/>
        </w:tabs>
        <w:autoSpaceDE w:val="0"/>
        <w:autoSpaceDN w:val="0"/>
        <w:adjustRightInd w:val="0"/>
        <w:spacing w:after="0" w:line="240" w:lineRule="auto"/>
        <w:jc w:val="both"/>
        <w:rPr>
          <w:lang w:eastAsia="ja-JP"/>
        </w:rPr>
      </w:pPr>
      <w:r w:rsidRPr="00CA0AE3">
        <w:t>Initiative</w:t>
      </w:r>
      <w:r w:rsidRPr="00CA0AE3">
        <w:rPr>
          <w:lang w:eastAsia="ja-JP"/>
        </w:rPr>
        <w:t xml:space="preserve"> </w:t>
      </w:r>
      <w:r w:rsidR="00AA5254" w:rsidRPr="00CA0AE3">
        <w:t>modifications</w:t>
      </w:r>
      <w:r w:rsidR="00AA5254" w:rsidRPr="00CA0AE3">
        <w:rPr>
          <w:lang w:eastAsia="ja-JP"/>
        </w:rPr>
        <w:t xml:space="preserve"> include proposed changes to </w:t>
      </w:r>
      <w:r w:rsidRPr="00CA0AE3">
        <w:rPr>
          <w:lang w:eastAsia="ja-JP"/>
        </w:rPr>
        <w:t>core components of the initiative</w:t>
      </w:r>
      <w:r w:rsidR="00D4009D" w:rsidRPr="00CA0AE3">
        <w:rPr>
          <w:lang w:eastAsia="ja-JP"/>
        </w:rPr>
        <w:t>,</w:t>
      </w:r>
      <w:r w:rsidR="00AA5254" w:rsidRPr="00CA0AE3">
        <w:rPr>
          <w:lang w:eastAsia="ja-JP"/>
        </w:rPr>
        <w:t xml:space="preserve"> replacement </w:t>
      </w:r>
      <w:r w:rsidR="007864FF" w:rsidRPr="00CA0AE3">
        <w:rPr>
          <w:lang w:eastAsia="ja-JP"/>
        </w:rPr>
        <w:t>metrics on the improvement and outcome measure slates</w:t>
      </w:r>
      <w:r w:rsidR="00D4009D" w:rsidRPr="00CA0AE3">
        <w:rPr>
          <w:lang w:eastAsia="ja-JP"/>
        </w:rPr>
        <w:t xml:space="preserve"> (Measure Slates 1 – 5</w:t>
      </w:r>
      <w:r w:rsidR="00F14C6D" w:rsidRPr="00CA0AE3">
        <w:rPr>
          <w:lang w:eastAsia="ja-JP"/>
        </w:rPr>
        <w:t>)</w:t>
      </w:r>
      <w:r w:rsidR="00D4009D" w:rsidRPr="00CA0AE3">
        <w:rPr>
          <w:lang w:eastAsia="ja-JP"/>
        </w:rPr>
        <w:t>, replacement measures to Measure Slate 6, or a change to the overall portfolio of selected PHTII initiatives</w:t>
      </w:r>
      <w:r w:rsidR="00AA5254" w:rsidRPr="00CA0AE3">
        <w:rPr>
          <w:lang w:eastAsia="ja-JP"/>
        </w:rPr>
        <w:t>. Acceptable reasons to approve a</w:t>
      </w:r>
      <w:r w:rsidRPr="00CA0AE3">
        <w:rPr>
          <w:lang w:eastAsia="ja-JP"/>
        </w:rPr>
        <w:t>n initiative</w:t>
      </w:r>
      <w:r w:rsidR="00AA5254" w:rsidRPr="00CA0AE3">
        <w:rPr>
          <w:lang w:eastAsia="ja-JP"/>
        </w:rPr>
        <w:t xml:space="preserve"> modification request are: </w:t>
      </w:r>
    </w:p>
    <w:p w:rsidR="00AA5254" w:rsidRPr="00CA0AE3" w:rsidRDefault="00AA5254" w:rsidP="0074511A">
      <w:pPr>
        <w:spacing w:after="0" w:line="240" w:lineRule="auto"/>
        <w:jc w:val="both"/>
        <w:rPr>
          <w:lang w:eastAsia="ja-JP"/>
        </w:rPr>
      </w:pPr>
    </w:p>
    <w:p w:rsidR="005F46C3" w:rsidRPr="00CA0AE3" w:rsidRDefault="00AA5254">
      <w:pPr>
        <w:pStyle w:val="ListParagraph"/>
        <w:numPr>
          <w:ilvl w:val="2"/>
          <w:numId w:val="29"/>
        </w:numPr>
        <w:autoSpaceDE w:val="0"/>
        <w:autoSpaceDN w:val="0"/>
        <w:adjustRightInd w:val="0"/>
        <w:spacing w:after="0" w:line="240" w:lineRule="auto"/>
        <w:ind w:left="1440"/>
        <w:jc w:val="both"/>
      </w:pPr>
      <w:r w:rsidRPr="00CA0AE3">
        <w:t xml:space="preserve">Learning and knowledge acquired from </w:t>
      </w:r>
      <w:r w:rsidR="00224FC8" w:rsidRPr="00CA0AE3">
        <w:t>initiative</w:t>
      </w:r>
      <w:r w:rsidRPr="00CA0AE3">
        <w:t xml:space="preserve"> experience and/or external sources indicate that revising or reorienting </w:t>
      </w:r>
      <w:r w:rsidR="00B3286B" w:rsidRPr="00CA0AE3">
        <w:t xml:space="preserve">initiative </w:t>
      </w:r>
      <w:r w:rsidRPr="00CA0AE3">
        <w:t xml:space="preserve">components or metrics would improve and/or enhance the </w:t>
      </w:r>
      <w:r w:rsidR="00224FC8" w:rsidRPr="00CA0AE3">
        <w:t>initiative</w:t>
      </w:r>
      <w:r w:rsidRPr="00CA0AE3">
        <w:t>;</w:t>
      </w:r>
    </w:p>
    <w:p w:rsidR="005F46C3" w:rsidRPr="00CA0AE3" w:rsidRDefault="00AA5254">
      <w:pPr>
        <w:pStyle w:val="ListParagraph"/>
        <w:numPr>
          <w:ilvl w:val="2"/>
          <w:numId w:val="29"/>
        </w:numPr>
        <w:autoSpaceDE w:val="0"/>
        <w:autoSpaceDN w:val="0"/>
        <w:adjustRightInd w:val="0"/>
        <w:spacing w:after="0" w:line="240" w:lineRule="auto"/>
        <w:ind w:left="1440"/>
        <w:jc w:val="both"/>
      </w:pPr>
      <w:r w:rsidRPr="00CA0AE3">
        <w:t xml:space="preserve">Information that was believed to be available to achieve </w:t>
      </w:r>
      <w:r w:rsidR="007B7172" w:rsidRPr="00CA0AE3">
        <w:t xml:space="preserve">or report on </w:t>
      </w:r>
      <w:r w:rsidRPr="00CA0AE3">
        <w:t xml:space="preserve">a metric or measure is unavailable or unusable, necessitating a modification to the hospital </w:t>
      </w:r>
      <w:r w:rsidR="00B3286B" w:rsidRPr="00CA0AE3">
        <w:t xml:space="preserve">initiative </w:t>
      </w:r>
      <w:r w:rsidRPr="00CA0AE3">
        <w:t>to revise or replace the metric</w:t>
      </w:r>
      <w:r w:rsidR="00B3286B" w:rsidRPr="00CA0AE3">
        <w:t xml:space="preserve"> or </w:t>
      </w:r>
      <w:r w:rsidRPr="00CA0AE3">
        <w:t>measure;</w:t>
      </w:r>
    </w:p>
    <w:p w:rsidR="005F46C3" w:rsidRPr="00CA0AE3" w:rsidRDefault="006E635C">
      <w:pPr>
        <w:pStyle w:val="ListParagraph"/>
        <w:numPr>
          <w:ilvl w:val="2"/>
          <w:numId w:val="29"/>
        </w:numPr>
        <w:autoSpaceDE w:val="0"/>
        <w:autoSpaceDN w:val="0"/>
        <w:adjustRightInd w:val="0"/>
        <w:spacing w:after="0" w:line="240" w:lineRule="auto"/>
        <w:ind w:left="1440"/>
        <w:jc w:val="both"/>
      </w:pPr>
      <w:r w:rsidRPr="00CA0AE3">
        <w:t>The</w:t>
      </w:r>
      <w:r w:rsidR="00AA5254" w:rsidRPr="00CA0AE3">
        <w:t xml:space="preserve"> hospital identifies superior information to demonstrate achievement of a metric and requests a modification to incorporate that data source;</w:t>
      </w:r>
    </w:p>
    <w:p w:rsidR="00BF57AC" w:rsidRPr="00CA0AE3" w:rsidRDefault="00AA5254">
      <w:pPr>
        <w:pStyle w:val="ListParagraph"/>
        <w:numPr>
          <w:ilvl w:val="2"/>
          <w:numId w:val="29"/>
        </w:numPr>
        <w:autoSpaceDE w:val="0"/>
        <w:autoSpaceDN w:val="0"/>
        <w:adjustRightInd w:val="0"/>
        <w:spacing w:after="0" w:line="240" w:lineRule="auto"/>
        <w:ind w:left="1440"/>
        <w:jc w:val="both"/>
      </w:pPr>
      <w:r w:rsidRPr="00CA0AE3">
        <w:t xml:space="preserve">External issues occur outside of the hospital’s control that require the hospital to modify or replace a metric, measure, or </w:t>
      </w:r>
      <w:r w:rsidR="00B3286B" w:rsidRPr="00CA0AE3">
        <w:t xml:space="preserve">core </w:t>
      </w:r>
      <w:r w:rsidRPr="00CA0AE3">
        <w:t>component of a</w:t>
      </w:r>
      <w:r w:rsidR="00B3286B" w:rsidRPr="00CA0AE3">
        <w:t>n initiative</w:t>
      </w:r>
      <w:r w:rsidRPr="00CA0AE3">
        <w:t>;</w:t>
      </w:r>
    </w:p>
    <w:p w:rsidR="005F46C3" w:rsidRPr="00CA0AE3" w:rsidRDefault="00AA5254">
      <w:pPr>
        <w:pStyle w:val="ListParagraph"/>
        <w:numPr>
          <w:ilvl w:val="2"/>
          <w:numId w:val="29"/>
        </w:numPr>
        <w:autoSpaceDE w:val="0"/>
        <w:autoSpaceDN w:val="0"/>
        <w:adjustRightInd w:val="0"/>
        <w:spacing w:after="0" w:line="240" w:lineRule="auto"/>
        <w:ind w:left="1440"/>
        <w:jc w:val="both"/>
      </w:pPr>
      <w:r w:rsidRPr="00CA0AE3">
        <w:t xml:space="preserve">New federal or state policies are implemented, or changes in Massachusetts market dynamics occur, that impact a </w:t>
      </w:r>
      <w:r w:rsidR="00A941CF" w:rsidRPr="00CA0AE3">
        <w:t>PHTII</w:t>
      </w:r>
      <w:r w:rsidRPr="00CA0AE3">
        <w:t xml:space="preserve"> </w:t>
      </w:r>
      <w:r w:rsidR="00B3286B" w:rsidRPr="00CA0AE3">
        <w:t xml:space="preserve">initiative </w:t>
      </w:r>
      <w:r w:rsidRPr="00CA0AE3">
        <w:t xml:space="preserve">and </w:t>
      </w:r>
      <w:r w:rsidR="00ED58D2" w:rsidRPr="00CA0AE3">
        <w:t>the</w:t>
      </w:r>
      <w:r w:rsidRPr="00CA0AE3">
        <w:t xml:space="preserve"> hospital seeks to update the affected </w:t>
      </w:r>
      <w:r w:rsidR="00B3286B" w:rsidRPr="00CA0AE3">
        <w:t xml:space="preserve">initiative </w:t>
      </w:r>
      <w:r w:rsidRPr="00CA0AE3">
        <w:t xml:space="preserve">to reflect the new environment; </w:t>
      </w:r>
    </w:p>
    <w:p w:rsidR="005F46C3" w:rsidRPr="00CA0AE3" w:rsidRDefault="00ED58D2">
      <w:pPr>
        <w:pStyle w:val="ListParagraph"/>
        <w:numPr>
          <w:ilvl w:val="2"/>
          <w:numId w:val="29"/>
        </w:numPr>
        <w:autoSpaceDE w:val="0"/>
        <w:autoSpaceDN w:val="0"/>
        <w:adjustRightInd w:val="0"/>
        <w:spacing w:after="0" w:line="240" w:lineRule="auto"/>
        <w:ind w:left="1440"/>
        <w:jc w:val="both"/>
        <w:rPr>
          <w:lang w:eastAsia="ja-JP"/>
        </w:rPr>
      </w:pPr>
      <w:r w:rsidRPr="00CA0AE3">
        <w:t>The</w:t>
      </w:r>
      <w:r w:rsidR="00AA5254" w:rsidRPr="00CA0AE3">
        <w:t xml:space="preserve"> hospital encounters an unforeseen operational or budgetary change in circumstances that impacts </w:t>
      </w:r>
      <w:r w:rsidR="00B3286B" w:rsidRPr="00CA0AE3">
        <w:t xml:space="preserve">initiative </w:t>
      </w:r>
      <w:r w:rsidR="00AA5254" w:rsidRPr="00CA0AE3">
        <w:t>components</w:t>
      </w:r>
      <w:r w:rsidR="00B3286B" w:rsidRPr="00CA0AE3">
        <w:t xml:space="preserve"> or </w:t>
      </w:r>
      <w:r w:rsidR="00AA5254" w:rsidRPr="00CA0AE3">
        <w:t xml:space="preserve">metrics; and </w:t>
      </w:r>
    </w:p>
    <w:p w:rsidR="00AA5254" w:rsidRPr="00CA0AE3" w:rsidRDefault="00AA5254" w:rsidP="00A0554D">
      <w:pPr>
        <w:pStyle w:val="ListParagraph"/>
        <w:numPr>
          <w:ilvl w:val="2"/>
          <w:numId w:val="29"/>
        </w:numPr>
        <w:autoSpaceDE w:val="0"/>
        <w:autoSpaceDN w:val="0"/>
        <w:adjustRightInd w:val="0"/>
        <w:spacing w:after="0" w:line="240" w:lineRule="auto"/>
        <w:ind w:left="1440"/>
        <w:jc w:val="both"/>
        <w:rPr>
          <w:lang w:eastAsia="ja-JP"/>
        </w:rPr>
      </w:pPr>
      <w:r w:rsidRPr="00CA0AE3">
        <w:t xml:space="preserve">Other acceptable reasons, subject to review and approval by EOHHS and </w:t>
      </w:r>
      <w:r w:rsidR="00FA01F6" w:rsidRPr="00CA0AE3">
        <w:t>CMS that</w:t>
      </w:r>
      <w:r w:rsidRPr="00CA0AE3">
        <w:t xml:space="preserve"> are reasonable and support</w:t>
      </w:r>
      <w:r w:rsidRPr="00CA0AE3">
        <w:rPr>
          <w:lang w:eastAsia="ja-JP"/>
        </w:rPr>
        <w:t xml:space="preserve"> the goals of the </w:t>
      </w:r>
      <w:r w:rsidR="00A941CF" w:rsidRPr="00CA0AE3">
        <w:rPr>
          <w:lang w:eastAsia="ja-JP"/>
        </w:rPr>
        <w:t>PHTII</w:t>
      </w:r>
      <w:r w:rsidRPr="00CA0AE3">
        <w:rPr>
          <w:lang w:eastAsia="ja-JP"/>
        </w:rPr>
        <w:t xml:space="preserve"> program.</w:t>
      </w:r>
    </w:p>
    <w:p w:rsidR="00AA5254" w:rsidRPr="00CA0AE3" w:rsidRDefault="00AA5254" w:rsidP="0074511A">
      <w:pPr>
        <w:spacing w:after="0" w:line="240" w:lineRule="auto"/>
        <w:jc w:val="both"/>
        <w:rPr>
          <w:lang w:eastAsia="ja-JP"/>
        </w:rPr>
      </w:pPr>
    </w:p>
    <w:p w:rsidR="00AA5254" w:rsidRPr="00CA0AE3" w:rsidRDefault="00B3286B" w:rsidP="00A0554D">
      <w:pPr>
        <w:pStyle w:val="ListParagraph"/>
        <w:numPr>
          <w:ilvl w:val="2"/>
          <w:numId w:val="16"/>
        </w:numPr>
        <w:tabs>
          <w:tab w:val="left" w:pos="1080"/>
        </w:tabs>
        <w:autoSpaceDE w:val="0"/>
        <w:autoSpaceDN w:val="0"/>
        <w:adjustRightInd w:val="0"/>
        <w:spacing w:after="0" w:line="240" w:lineRule="auto"/>
        <w:jc w:val="both"/>
      </w:pPr>
      <w:r w:rsidRPr="00CA0AE3">
        <w:t>T</w:t>
      </w:r>
      <w:r w:rsidR="00CF3B09" w:rsidRPr="00CA0AE3">
        <w:t>he Public H</w:t>
      </w:r>
      <w:r w:rsidR="00AA5254" w:rsidRPr="00CA0AE3">
        <w:t xml:space="preserve">ospital may request </w:t>
      </w:r>
      <w:r w:rsidRPr="00CA0AE3">
        <w:t xml:space="preserve">initiative </w:t>
      </w:r>
      <w:r w:rsidR="00AA5254" w:rsidRPr="00CA0AE3">
        <w:t xml:space="preserve">modifications during DYs </w:t>
      </w:r>
      <w:r w:rsidRPr="00CA0AE3">
        <w:t>21</w:t>
      </w:r>
      <w:r w:rsidR="00AA5254" w:rsidRPr="00CA0AE3">
        <w:t xml:space="preserve"> – 2</w:t>
      </w:r>
      <w:r w:rsidRPr="00CA0AE3">
        <w:t>5</w:t>
      </w:r>
      <w:r w:rsidR="00AA5254" w:rsidRPr="00CA0AE3">
        <w:t xml:space="preserve">. </w:t>
      </w:r>
      <w:r w:rsidRPr="00CA0AE3">
        <w:t xml:space="preserve">Initiative </w:t>
      </w:r>
      <w:r w:rsidR="00AA5254" w:rsidRPr="00CA0AE3">
        <w:t xml:space="preserve">modification requests must be submitted to EOHHS a minimum of 75 days prior to the end of the </w:t>
      </w:r>
      <w:r w:rsidRPr="00CA0AE3">
        <w:t>D</w:t>
      </w:r>
      <w:r w:rsidR="00AA5254" w:rsidRPr="00CA0AE3">
        <w:t xml:space="preserve">emonstration Year. EOHHS </w:t>
      </w:r>
      <w:r w:rsidR="008A4450" w:rsidRPr="00CA0AE3">
        <w:t>must</w:t>
      </w:r>
      <w:r w:rsidR="00AA5254" w:rsidRPr="00CA0AE3">
        <w:t xml:space="preserve"> take action on the </w:t>
      </w:r>
      <w:r w:rsidRPr="00CA0AE3">
        <w:t xml:space="preserve">initiative </w:t>
      </w:r>
      <w:r w:rsidR="00AA5254" w:rsidRPr="00CA0AE3">
        <w:t xml:space="preserve">modification request and submit recommended requests to CMS for approval within 15 days of receiving a modification request. CMS </w:t>
      </w:r>
      <w:r w:rsidR="008A4450" w:rsidRPr="00CA0AE3">
        <w:t>must</w:t>
      </w:r>
      <w:r w:rsidR="00AA5254" w:rsidRPr="00CA0AE3">
        <w:t xml:space="preserve"> take action on the </w:t>
      </w:r>
      <w:r w:rsidRPr="00CA0AE3">
        <w:t xml:space="preserve">initiative </w:t>
      </w:r>
      <w:r w:rsidR="00AA5254" w:rsidRPr="00CA0AE3">
        <w:t xml:space="preserve">modification request within 30 days of receipt from EOHHS. </w:t>
      </w:r>
      <w:r w:rsidR="00154DD3" w:rsidRPr="00CA0AE3">
        <w:t xml:space="preserve">Any CMS approved </w:t>
      </w:r>
      <w:r w:rsidRPr="00CA0AE3">
        <w:t xml:space="preserve">initiative </w:t>
      </w:r>
      <w:r w:rsidR="00154DD3" w:rsidRPr="00CA0AE3">
        <w:t xml:space="preserve">modification </w:t>
      </w:r>
      <w:r w:rsidR="007F4B71" w:rsidRPr="00CA0AE3">
        <w:t>must</w:t>
      </w:r>
      <w:r w:rsidR="00154DD3" w:rsidRPr="00CA0AE3">
        <w:t xml:space="preserve"> be considered an approved modification to the </w:t>
      </w:r>
      <w:r w:rsidR="00A941CF" w:rsidRPr="00CA0AE3">
        <w:t>PHTII</w:t>
      </w:r>
      <w:r w:rsidR="00154DD3" w:rsidRPr="00CA0AE3">
        <w:t xml:space="preserve"> protocol.</w:t>
      </w:r>
    </w:p>
    <w:p w:rsidR="00AA5254" w:rsidRPr="00CA0AE3" w:rsidRDefault="00AA5254" w:rsidP="0074511A">
      <w:pPr>
        <w:autoSpaceDE w:val="0"/>
        <w:autoSpaceDN w:val="0"/>
        <w:adjustRightInd w:val="0"/>
        <w:spacing w:after="0" w:line="240" w:lineRule="auto"/>
        <w:jc w:val="both"/>
      </w:pPr>
    </w:p>
    <w:p w:rsidR="00AA5254" w:rsidRPr="00CA0AE3" w:rsidRDefault="00AA5254" w:rsidP="00A0554D">
      <w:pPr>
        <w:pStyle w:val="ListParagraph"/>
        <w:numPr>
          <w:ilvl w:val="2"/>
          <w:numId w:val="16"/>
        </w:numPr>
        <w:tabs>
          <w:tab w:val="left" w:pos="1080"/>
        </w:tabs>
        <w:autoSpaceDE w:val="0"/>
        <w:autoSpaceDN w:val="0"/>
        <w:adjustRightInd w:val="0"/>
        <w:spacing w:after="0" w:line="240" w:lineRule="auto"/>
        <w:jc w:val="both"/>
        <w:rPr>
          <w:lang w:eastAsia="ja-JP"/>
        </w:rPr>
      </w:pPr>
      <w:r w:rsidRPr="00CA0AE3">
        <w:rPr>
          <w:lang w:eastAsia="ja-JP"/>
        </w:rPr>
        <w:t xml:space="preserve">Plan </w:t>
      </w:r>
      <w:r w:rsidRPr="00CA0AE3">
        <w:t>modifications</w:t>
      </w:r>
      <w:r w:rsidRPr="00CA0AE3">
        <w:rPr>
          <w:lang w:eastAsia="ja-JP"/>
        </w:rPr>
        <w:t xml:space="preserve"> associated with grace period requests, including EOHHS and CMS review timeframes, are further addressed in </w:t>
      </w:r>
      <w:r w:rsidR="00301447" w:rsidRPr="00CA0AE3">
        <w:rPr>
          <w:lang w:eastAsia="ja-JP"/>
        </w:rPr>
        <w:t xml:space="preserve">paragraph </w:t>
      </w:r>
      <w:r w:rsidRPr="00CA0AE3">
        <w:rPr>
          <w:lang w:eastAsia="ja-JP"/>
        </w:rPr>
        <w:t>below.</w:t>
      </w:r>
    </w:p>
    <w:p w:rsidR="00C10B35" w:rsidRPr="00CA0AE3" w:rsidRDefault="00C10B35" w:rsidP="0074511A">
      <w:pPr>
        <w:pStyle w:val="ListParagraph"/>
        <w:suppressAutoHyphens/>
        <w:spacing w:after="0" w:line="240" w:lineRule="auto"/>
        <w:ind w:left="0"/>
        <w:jc w:val="both"/>
        <w:outlineLvl w:val="1"/>
        <w:rPr>
          <w:lang w:eastAsia="ja-JP"/>
        </w:rPr>
      </w:pPr>
    </w:p>
    <w:p w:rsidR="003A79E8" w:rsidRPr="00CA0AE3" w:rsidRDefault="003A79E8" w:rsidP="004A0654">
      <w:pPr>
        <w:pStyle w:val="ListParagraph"/>
        <w:numPr>
          <w:ilvl w:val="1"/>
          <w:numId w:val="16"/>
        </w:numPr>
        <w:suppressAutoHyphens/>
        <w:spacing w:after="0" w:line="240" w:lineRule="auto"/>
        <w:jc w:val="both"/>
        <w:outlineLvl w:val="1"/>
        <w:rPr>
          <w:b/>
        </w:rPr>
      </w:pPr>
      <w:r w:rsidRPr="00CA0AE3">
        <w:rPr>
          <w:b/>
          <w:lang w:eastAsia="ja-JP"/>
        </w:rPr>
        <w:lastRenderedPageBreak/>
        <w:t>Grace</w:t>
      </w:r>
      <w:r w:rsidRPr="00CA0AE3">
        <w:rPr>
          <w:b/>
          <w:bCs/>
        </w:rPr>
        <w:t xml:space="preserve"> Periods </w:t>
      </w:r>
    </w:p>
    <w:p w:rsidR="00F512A7" w:rsidRPr="00CA0AE3" w:rsidRDefault="00F512A7" w:rsidP="0074511A">
      <w:pPr>
        <w:pStyle w:val="ListParagraph"/>
        <w:suppressAutoHyphens/>
        <w:spacing w:after="0" w:line="240" w:lineRule="auto"/>
        <w:ind w:left="0"/>
        <w:jc w:val="both"/>
        <w:outlineLvl w:val="1"/>
        <w:rPr>
          <w:u w:val="single"/>
        </w:rPr>
      </w:pPr>
    </w:p>
    <w:p w:rsidR="003A79E8" w:rsidRPr="00CA0AE3" w:rsidRDefault="00807A68" w:rsidP="004A0654">
      <w:pPr>
        <w:pStyle w:val="ListParagraph"/>
        <w:numPr>
          <w:ilvl w:val="2"/>
          <w:numId w:val="16"/>
        </w:numPr>
        <w:autoSpaceDE w:val="0"/>
        <w:autoSpaceDN w:val="0"/>
        <w:adjustRightInd w:val="0"/>
        <w:spacing w:after="0" w:line="240" w:lineRule="auto"/>
        <w:jc w:val="both"/>
      </w:pPr>
      <w:r w:rsidRPr="00CA0AE3">
        <w:t>I</w:t>
      </w:r>
      <w:r w:rsidR="003A79E8" w:rsidRPr="00CA0AE3">
        <w:t xml:space="preserve">f the Public Hospital needs additional time to achieve a metric beyond the </w:t>
      </w:r>
      <w:r w:rsidR="003170EE" w:rsidRPr="00CA0AE3">
        <w:t>d</w:t>
      </w:r>
      <w:r w:rsidR="003A79E8" w:rsidRPr="00CA0AE3">
        <w:t xml:space="preserve">emonstration year, a grace period may be granted for up to 180 days from the end of the </w:t>
      </w:r>
      <w:r w:rsidR="003170EE" w:rsidRPr="00CA0AE3">
        <w:t>d</w:t>
      </w:r>
      <w:r w:rsidR="003A79E8" w:rsidRPr="00CA0AE3">
        <w:t>emonstration year if it requests. However, no grace period is available for DY 2</w:t>
      </w:r>
      <w:r w:rsidR="00E1092C" w:rsidRPr="00CA0AE3">
        <w:t>5</w:t>
      </w:r>
      <w:r w:rsidR="003A79E8" w:rsidRPr="00CA0AE3">
        <w:t xml:space="preserve"> beyond June 30, 20</w:t>
      </w:r>
      <w:r w:rsidR="00E1092C" w:rsidRPr="00CA0AE3">
        <w:t>22</w:t>
      </w:r>
      <w:r w:rsidR="007B7172" w:rsidRPr="00CA0AE3">
        <w:t xml:space="preserve">, with the exception of specified outcomes and improvement measures where </w:t>
      </w:r>
      <w:r w:rsidR="00C1796F" w:rsidRPr="00CA0AE3">
        <w:t xml:space="preserve">there is </w:t>
      </w:r>
      <w:r w:rsidR="007B7172" w:rsidRPr="00CA0AE3">
        <w:t>state and federal approval for a later reporting date in recognition that the data will be not be available for reporting until after the July 31, 20</w:t>
      </w:r>
      <w:r w:rsidR="00D71E2A" w:rsidRPr="00CA0AE3">
        <w:t>22</w:t>
      </w:r>
      <w:r w:rsidR="007B7172" w:rsidRPr="00CA0AE3">
        <w:t xml:space="preserve"> report for payment</w:t>
      </w:r>
      <w:r w:rsidR="003A79E8" w:rsidRPr="00CA0AE3">
        <w:t xml:space="preserve">. The hospital must have a valid reason, as determined by the Commonwealth and CMS, why it should be granted a grace period and demonstrate that the hospital is able to achieve the metric within the timeframe specified in the request. </w:t>
      </w:r>
      <w:r w:rsidR="00EC3B3E" w:rsidRPr="00CA0AE3">
        <w:t xml:space="preserve">Grace periods will not be granted for ACO performance accountability. </w:t>
      </w:r>
      <w:r w:rsidR="003A79E8" w:rsidRPr="00CA0AE3">
        <w:t xml:space="preserve">Acceptable reasons to approve a grace period request include: </w:t>
      </w:r>
    </w:p>
    <w:p w:rsidR="003A79E8" w:rsidRPr="00CA0AE3" w:rsidRDefault="003A79E8" w:rsidP="0074511A">
      <w:pPr>
        <w:autoSpaceDE w:val="0"/>
        <w:autoSpaceDN w:val="0"/>
        <w:adjustRightInd w:val="0"/>
        <w:spacing w:after="0" w:line="240" w:lineRule="auto"/>
        <w:jc w:val="both"/>
      </w:pPr>
    </w:p>
    <w:p w:rsidR="003A79E8" w:rsidRPr="00CA0AE3" w:rsidRDefault="003A79E8" w:rsidP="004A0654">
      <w:pPr>
        <w:pStyle w:val="ListParagraph"/>
        <w:numPr>
          <w:ilvl w:val="3"/>
          <w:numId w:val="16"/>
        </w:numPr>
        <w:autoSpaceDE w:val="0"/>
        <w:autoSpaceDN w:val="0"/>
        <w:adjustRightInd w:val="0"/>
        <w:spacing w:after="0" w:line="240" w:lineRule="auto"/>
        <w:jc w:val="both"/>
      </w:pPr>
      <w:r w:rsidRPr="00CA0AE3">
        <w:t xml:space="preserve">Additional time is needed to collect and prepare data necessary to report on a metric; </w:t>
      </w:r>
    </w:p>
    <w:p w:rsidR="005F46C3" w:rsidRPr="00CA0AE3" w:rsidRDefault="003A79E8">
      <w:pPr>
        <w:pStyle w:val="ListParagraph"/>
        <w:numPr>
          <w:ilvl w:val="3"/>
          <w:numId w:val="16"/>
        </w:numPr>
        <w:autoSpaceDE w:val="0"/>
        <w:autoSpaceDN w:val="0"/>
        <w:adjustRightInd w:val="0"/>
        <w:spacing w:after="0" w:line="240" w:lineRule="auto"/>
        <w:jc w:val="both"/>
      </w:pPr>
      <w:r w:rsidRPr="00CA0AE3">
        <w:t xml:space="preserve">Unexpected delays by third parties outside of hospital’s control (e.g., vendors) impact the timing of a metric achievement date; </w:t>
      </w:r>
    </w:p>
    <w:p w:rsidR="003A79E8" w:rsidRPr="00CA0AE3" w:rsidRDefault="003A79E8" w:rsidP="004A0654">
      <w:pPr>
        <w:pStyle w:val="ListParagraph"/>
        <w:numPr>
          <w:ilvl w:val="3"/>
          <w:numId w:val="16"/>
        </w:numPr>
        <w:autoSpaceDE w:val="0"/>
        <w:autoSpaceDN w:val="0"/>
        <w:adjustRightInd w:val="0"/>
        <w:spacing w:after="0" w:line="240" w:lineRule="auto"/>
        <w:jc w:val="both"/>
      </w:pPr>
      <w:r w:rsidRPr="00CA0AE3">
        <w:t xml:space="preserve">An approved plan modification delays the timing for completing an approved metric; </w:t>
      </w:r>
      <w:r w:rsidR="006A1475" w:rsidRPr="00CA0AE3">
        <w:t>and</w:t>
      </w:r>
    </w:p>
    <w:p w:rsidR="003A79E8" w:rsidRPr="00CA0AE3" w:rsidRDefault="003A79E8" w:rsidP="004A0654">
      <w:pPr>
        <w:pStyle w:val="ListParagraph"/>
        <w:numPr>
          <w:ilvl w:val="3"/>
          <w:numId w:val="16"/>
        </w:numPr>
        <w:autoSpaceDE w:val="0"/>
        <w:autoSpaceDN w:val="0"/>
        <w:adjustRightInd w:val="0"/>
        <w:spacing w:after="0" w:line="240" w:lineRule="auto"/>
        <w:jc w:val="both"/>
      </w:pPr>
      <w:r w:rsidRPr="00CA0AE3">
        <w:t xml:space="preserve">Other acceptable reasons, subject to review and approval by EOHHS and CMS that are reasonable and support the goals of the </w:t>
      </w:r>
      <w:r w:rsidR="00A941CF" w:rsidRPr="00CA0AE3">
        <w:t>PHTII</w:t>
      </w:r>
      <w:r w:rsidRPr="00CA0AE3">
        <w:t xml:space="preserve"> program. </w:t>
      </w:r>
    </w:p>
    <w:p w:rsidR="003A79E8" w:rsidRPr="00CA0AE3" w:rsidRDefault="003A79E8" w:rsidP="0074511A">
      <w:pPr>
        <w:autoSpaceDE w:val="0"/>
        <w:autoSpaceDN w:val="0"/>
        <w:adjustRightInd w:val="0"/>
        <w:spacing w:after="0" w:line="240" w:lineRule="auto"/>
        <w:jc w:val="both"/>
      </w:pPr>
    </w:p>
    <w:p w:rsidR="003A79E8" w:rsidRPr="00CA0AE3" w:rsidRDefault="003A79E8" w:rsidP="004A0654">
      <w:pPr>
        <w:pStyle w:val="ListParagraph"/>
        <w:numPr>
          <w:ilvl w:val="2"/>
          <w:numId w:val="16"/>
        </w:numPr>
        <w:autoSpaceDE w:val="0"/>
        <w:autoSpaceDN w:val="0"/>
        <w:adjustRightInd w:val="0"/>
        <w:spacing w:after="0" w:line="240" w:lineRule="auto"/>
        <w:jc w:val="both"/>
      </w:pPr>
      <w:r w:rsidRPr="00CA0AE3">
        <w:t xml:space="preserve">The Public Hospital </w:t>
      </w:r>
      <w:r w:rsidR="00D71E2A" w:rsidRPr="00CA0AE3">
        <w:t>may</w:t>
      </w:r>
      <w:r w:rsidRPr="00CA0AE3">
        <w:t xml:space="preserve"> submit a grace period request in writing to EOHHS accompanied by a proposed </w:t>
      </w:r>
      <w:r w:rsidR="00E43D7C" w:rsidRPr="00CA0AE3">
        <w:t xml:space="preserve">initiative </w:t>
      </w:r>
      <w:r w:rsidRPr="00CA0AE3">
        <w:t>modification</w:t>
      </w:r>
      <w:r w:rsidR="00C4453A" w:rsidRPr="00CA0AE3">
        <w:t xml:space="preserve"> if the initiative modification is deemed necessary by the Public Hospital</w:t>
      </w:r>
      <w:r w:rsidRPr="00CA0AE3">
        <w:t xml:space="preserve">, pursuant to </w:t>
      </w:r>
      <w:r w:rsidR="008D3CB4" w:rsidRPr="00CA0AE3">
        <w:t xml:space="preserve">paragraph </w:t>
      </w:r>
      <w:r w:rsidR="005805C6" w:rsidRPr="00CA0AE3">
        <w:t>21</w:t>
      </w:r>
      <w:r w:rsidR="00E43D7C" w:rsidRPr="00CA0AE3">
        <w:t xml:space="preserve"> </w:t>
      </w:r>
      <w:r w:rsidRPr="00CA0AE3">
        <w:t xml:space="preserve">above. The hospital must submit the request 75 days prior to the end of the Demonstration year for which the grace period is being sought. EOHHS </w:t>
      </w:r>
      <w:r w:rsidR="001C2ECF" w:rsidRPr="00CA0AE3">
        <w:t>must</w:t>
      </w:r>
      <w:r w:rsidRPr="00CA0AE3">
        <w:t xml:space="preserve"> determine its recommended action on a grace period request and </w:t>
      </w:r>
      <w:r w:rsidR="00C4453A" w:rsidRPr="00CA0AE3">
        <w:t>initiative</w:t>
      </w:r>
      <w:r w:rsidRPr="00CA0AE3">
        <w:t xml:space="preserve"> modification</w:t>
      </w:r>
      <w:r w:rsidR="00D71E2A" w:rsidRPr="00CA0AE3">
        <w:t>, if the grace period request is accompanied by an initiative modification,</w:t>
      </w:r>
      <w:r w:rsidRPr="00CA0AE3">
        <w:t xml:space="preserve"> and submit the request to CMS, with its recommendation, within 15 days. CMS </w:t>
      </w:r>
      <w:r w:rsidR="001C2ECF" w:rsidRPr="00CA0AE3">
        <w:t>must</w:t>
      </w:r>
      <w:r w:rsidRPr="00CA0AE3">
        <w:t xml:space="preserve"> take action on the request within 30 days of receipt from EOHHS. </w:t>
      </w:r>
      <w:r w:rsidR="00807A68" w:rsidRPr="00CA0AE3">
        <w:t>T</w:t>
      </w:r>
      <w:r w:rsidRPr="00CA0AE3">
        <w:t xml:space="preserve">he grace period request and </w:t>
      </w:r>
      <w:r w:rsidR="00D71E2A" w:rsidRPr="00CA0AE3">
        <w:t>any associated initiative</w:t>
      </w:r>
      <w:r w:rsidRPr="00CA0AE3">
        <w:t xml:space="preserve"> modification must be decided by the Commonwealth and CMS 30 days prior to the end of the Demonstration year. </w:t>
      </w:r>
    </w:p>
    <w:p w:rsidR="003A79E8" w:rsidRPr="00CA0AE3" w:rsidRDefault="003A79E8" w:rsidP="0074511A">
      <w:pPr>
        <w:autoSpaceDE w:val="0"/>
        <w:autoSpaceDN w:val="0"/>
        <w:adjustRightInd w:val="0"/>
        <w:spacing w:after="0" w:line="240" w:lineRule="auto"/>
        <w:jc w:val="both"/>
      </w:pPr>
    </w:p>
    <w:p w:rsidR="003A79E8" w:rsidRPr="00CA0AE3" w:rsidRDefault="003A79E8" w:rsidP="004A0654">
      <w:pPr>
        <w:pStyle w:val="ListParagraph"/>
        <w:numPr>
          <w:ilvl w:val="2"/>
          <w:numId w:val="16"/>
        </w:numPr>
        <w:autoSpaceDE w:val="0"/>
        <w:autoSpaceDN w:val="0"/>
        <w:adjustRightInd w:val="0"/>
        <w:spacing w:after="0" w:line="240" w:lineRule="auto"/>
        <w:jc w:val="both"/>
      </w:pPr>
      <w:r w:rsidRPr="00CA0AE3">
        <w:t>The Public Hospital that requests a grace period related to a metric is not precluded from alternatively claiming the incentive payment associated with the same metric under the carry-forward</w:t>
      </w:r>
      <w:r w:rsidR="00301447" w:rsidRPr="00CA0AE3">
        <w:t xml:space="preserve"> policy described in </w:t>
      </w:r>
      <w:r w:rsidR="008D3CB4" w:rsidRPr="00CA0AE3">
        <w:t xml:space="preserve">paragraph </w:t>
      </w:r>
      <w:r w:rsidR="00007792" w:rsidRPr="00CA0AE3">
        <w:t>2</w:t>
      </w:r>
      <w:r w:rsidR="007D48A9" w:rsidRPr="00CA0AE3">
        <w:t>2</w:t>
      </w:r>
      <w:r w:rsidR="001514C2" w:rsidRPr="00CA0AE3">
        <w:t xml:space="preserve"> </w:t>
      </w:r>
      <w:r w:rsidR="00301447" w:rsidRPr="00CA0AE3">
        <w:t>below</w:t>
      </w:r>
      <w:r w:rsidRPr="00CA0AE3">
        <w:t xml:space="preserve">. </w:t>
      </w:r>
    </w:p>
    <w:p w:rsidR="003A79E8" w:rsidRPr="00CA0AE3" w:rsidRDefault="003A79E8" w:rsidP="0074511A">
      <w:pPr>
        <w:autoSpaceDE w:val="0"/>
        <w:autoSpaceDN w:val="0"/>
        <w:adjustRightInd w:val="0"/>
        <w:spacing w:after="0" w:line="240" w:lineRule="auto"/>
        <w:jc w:val="both"/>
      </w:pPr>
    </w:p>
    <w:p w:rsidR="003A79E8" w:rsidRPr="00CA0AE3" w:rsidRDefault="003A79E8" w:rsidP="0074511A">
      <w:pPr>
        <w:pStyle w:val="ListParagraph"/>
        <w:numPr>
          <w:ilvl w:val="2"/>
          <w:numId w:val="16"/>
        </w:numPr>
        <w:autoSpaceDE w:val="0"/>
        <w:autoSpaceDN w:val="0"/>
        <w:adjustRightInd w:val="0"/>
        <w:spacing w:after="0" w:line="240" w:lineRule="auto"/>
        <w:jc w:val="both"/>
      </w:pPr>
      <w:r w:rsidRPr="00CA0AE3">
        <w:t xml:space="preserve">If after submitting the grace period request, a hospital achieves the metric before June 30, the hospital may withdraw the grace period request and claim the incentive payment associated with the metric under the regular </w:t>
      </w:r>
      <w:r w:rsidR="00A941CF" w:rsidRPr="00CA0AE3">
        <w:t>PHTII</w:t>
      </w:r>
      <w:r w:rsidRPr="00CA0AE3">
        <w:t xml:space="preserve"> reportin</w:t>
      </w:r>
      <w:r w:rsidR="00301447" w:rsidRPr="00CA0AE3">
        <w:t xml:space="preserve">g process described in </w:t>
      </w:r>
      <w:r w:rsidR="008D3CB4" w:rsidRPr="00CA0AE3">
        <w:t>Section V</w:t>
      </w:r>
      <w:r w:rsidR="00301447" w:rsidRPr="00CA0AE3">
        <w:t>.</w:t>
      </w:r>
      <w:r w:rsidRPr="00CA0AE3">
        <w:t xml:space="preserve"> </w:t>
      </w:r>
    </w:p>
    <w:p w:rsidR="009329F6" w:rsidRPr="00CA0AE3" w:rsidRDefault="009329F6" w:rsidP="009329F6">
      <w:pPr>
        <w:autoSpaceDE w:val="0"/>
        <w:autoSpaceDN w:val="0"/>
        <w:adjustRightInd w:val="0"/>
        <w:spacing w:after="0" w:line="240" w:lineRule="auto"/>
        <w:jc w:val="both"/>
      </w:pPr>
    </w:p>
    <w:p w:rsidR="003A79E8" w:rsidRPr="00CA0AE3" w:rsidRDefault="003A79E8" w:rsidP="004A0654">
      <w:pPr>
        <w:pStyle w:val="ListParagraph"/>
        <w:numPr>
          <w:ilvl w:val="2"/>
          <w:numId w:val="16"/>
        </w:numPr>
        <w:autoSpaceDE w:val="0"/>
        <w:autoSpaceDN w:val="0"/>
        <w:adjustRightInd w:val="0"/>
        <w:spacing w:after="0" w:line="240" w:lineRule="auto"/>
        <w:jc w:val="both"/>
      </w:pPr>
      <w:r w:rsidRPr="00CA0AE3">
        <w:t>Allowable Time Periods for Grace Period Requests</w:t>
      </w:r>
      <w:r w:rsidR="00E9385C" w:rsidRPr="00CA0AE3">
        <w:t>: t</w:t>
      </w:r>
      <w:r w:rsidRPr="00CA0AE3">
        <w:t>he allowable time period for a grace period is 1</w:t>
      </w:r>
      <w:r w:rsidR="00A46BD7" w:rsidRPr="00CA0AE3">
        <w:t>8</w:t>
      </w:r>
      <w:r w:rsidRPr="00CA0AE3">
        <w:t>0 days from June 30 for DY</w:t>
      </w:r>
      <w:r w:rsidR="0067157C" w:rsidRPr="00CA0AE3">
        <w:t>s</w:t>
      </w:r>
      <w:r w:rsidRPr="00CA0AE3">
        <w:t xml:space="preserve"> </w:t>
      </w:r>
      <w:r w:rsidR="00E1092C" w:rsidRPr="00CA0AE3">
        <w:t>21</w:t>
      </w:r>
      <w:r w:rsidRPr="00CA0AE3">
        <w:t xml:space="preserve"> – </w:t>
      </w:r>
      <w:r w:rsidR="00E1092C" w:rsidRPr="00CA0AE3">
        <w:t>24</w:t>
      </w:r>
      <w:r w:rsidRPr="00CA0AE3">
        <w:t>. No grace period is available for DY 2</w:t>
      </w:r>
      <w:r w:rsidR="00E1092C" w:rsidRPr="00CA0AE3">
        <w:t>5</w:t>
      </w:r>
      <w:r w:rsidRPr="00CA0AE3">
        <w:t xml:space="preserve"> beyond June 30, 20</w:t>
      </w:r>
      <w:r w:rsidR="00E1092C" w:rsidRPr="00CA0AE3">
        <w:t>22</w:t>
      </w:r>
      <w:r w:rsidR="007B7172" w:rsidRPr="00CA0AE3">
        <w:t xml:space="preserve"> except as expressly described in </w:t>
      </w:r>
      <w:r w:rsidR="008D3CB4" w:rsidRPr="00CA0AE3">
        <w:t xml:space="preserve">paragraph </w:t>
      </w:r>
      <w:r w:rsidR="005805C6" w:rsidRPr="00CA0AE3">
        <w:t>2</w:t>
      </w:r>
      <w:r w:rsidR="007D48A9" w:rsidRPr="00CA0AE3">
        <w:t>1</w:t>
      </w:r>
      <w:r w:rsidR="008D3CB4" w:rsidRPr="00CA0AE3">
        <w:t>(a)</w:t>
      </w:r>
      <w:r w:rsidR="007B7172" w:rsidRPr="00CA0AE3">
        <w:t xml:space="preserve"> above</w:t>
      </w:r>
      <w:r w:rsidRPr="00CA0AE3">
        <w:t xml:space="preserve">. </w:t>
      </w:r>
    </w:p>
    <w:p w:rsidR="003A79E8" w:rsidRPr="00CA0AE3" w:rsidRDefault="003A79E8" w:rsidP="0074511A">
      <w:pPr>
        <w:autoSpaceDE w:val="0"/>
        <w:autoSpaceDN w:val="0"/>
        <w:adjustRightInd w:val="0"/>
        <w:spacing w:after="0" w:line="240" w:lineRule="auto"/>
        <w:jc w:val="both"/>
      </w:pPr>
    </w:p>
    <w:p w:rsidR="005D66FC" w:rsidRPr="00CA0AE3" w:rsidRDefault="003A79E8" w:rsidP="00321A10">
      <w:pPr>
        <w:pStyle w:val="ListParagraph"/>
        <w:numPr>
          <w:ilvl w:val="1"/>
          <w:numId w:val="16"/>
        </w:numPr>
        <w:autoSpaceDE w:val="0"/>
        <w:autoSpaceDN w:val="0"/>
        <w:adjustRightInd w:val="0"/>
        <w:spacing w:after="0" w:line="240" w:lineRule="auto"/>
        <w:jc w:val="both"/>
        <w:rPr>
          <w:b/>
          <w:bCs/>
        </w:rPr>
      </w:pPr>
      <w:r w:rsidRPr="00CA0AE3">
        <w:rPr>
          <w:b/>
          <w:bCs/>
        </w:rPr>
        <w:t>Carry Forw</w:t>
      </w:r>
      <w:r w:rsidR="008042C6" w:rsidRPr="00CA0AE3">
        <w:rPr>
          <w:b/>
          <w:bCs/>
        </w:rPr>
        <w:t>ard and Reclamation</w:t>
      </w:r>
    </w:p>
    <w:p w:rsidR="004D1937" w:rsidRPr="00CA0AE3" w:rsidRDefault="003A79E8">
      <w:pPr>
        <w:pStyle w:val="ListParagraph"/>
        <w:autoSpaceDE w:val="0"/>
        <w:autoSpaceDN w:val="0"/>
        <w:adjustRightInd w:val="0"/>
        <w:spacing w:after="0" w:line="240" w:lineRule="auto"/>
        <w:jc w:val="both"/>
      </w:pPr>
      <w:r w:rsidRPr="00CA0AE3">
        <w:t>The Public Hospital may carry forward unclaimed incentive payments</w:t>
      </w:r>
      <w:r w:rsidR="004C4BDF" w:rsidRPr="00CA0AE3">
        <w:t xml:space="preserve"> applicable to </w:t>
      </w:r>
      <w:r w:rsidR="00A803F9" w:rsidRPr="00CA0AE3">
        <w:t>PHTII</w:t>
      </w:r>
      <w:r w:rsidR="009D6AB3" w:rsidRPr="00CA0AE3">
        <w:t xml:space="preserve"> initiative reports </w:t>
      </w:r>
      <w:r w:rsidR="00EC3B3E" w:rsidRPr="00CA0AE3">
        <w:t xml:space="preserve">and </w:t>
      </w:r>
      <w:r w:rsidR="00A803F9" w:rsidRPr="00CA0AE3">
        <w:t xml:space="preserve">PHTII </w:t>
      </w:r>
      <w:r w:rsidR="009D6AB3" w:rsidRPr="00CA0AE3">
        <w:t>Measure Slates 1 – 6</w:t>
      </w:r>
      <w:r w:rsidR="002C2F85" w:rsidRPr="00CA0AE3">
        <w:t xml:space="preserve"> </w:t>
      </w:r>
      <w:r w:rsidRPr="00CA0AE3">
        <w:t xml:space="preserve">for up to 12 months from the end of the </w:t>
      </w:r>
      <w:r w:rsidR="004C4BDF" w:rsidRPr="00CA0AE3">
        <w:t>d</w:t>
      </w:r>
      <w:r w:rsidRPr="00CA0AE3">
        <w:t xml:space="preserve">emonstration year and be eligible to claim reimbursement for the incentive payment according to the rules below. No carry-forward is available for DY </w:t>
      </w:r>
      <w:r w:rsidR="00B3286B" w:rsidRPr="00CA0AE3">
        <w:t>25</w:t>
      </w:r>
      <w:r w:rsidR="00EC3B3E" w:rsidRPr="00CA0AE3">
        <w:t xml:space="preserve"> or for </w:t>
      </w:r>
      <w:r w:rsidR="00D858E8" w:rsidRPr="00CA0AE3">
        <w:t>DSRIP</w:t>
      </w:r>
      <w:r w:rsidR="00EC3B3E" w:rsidRPr="00CA0AE3">
        <w:t xml:space="preserve"> performance accountability</w:t>
      </w:r>
      <w:r w:rsidRPr="00CA0AE3">
        <w:t xml:space="preserve">. </w:t>
      </w:r>
    </w:p>
    <w:p w:rsidR="003A79E8" w:rsidRPr="00CA0AE3" w:rsidRDefault="003A79E8" w:rsidP="0074511A">
      <w:pPr>
        <w:autoSpaceDE w:val="0"/>
        <w:autoSpaceDN w:val="0"/>
        <w:adjustRightInd w:val="0"/>
        <w:spacing w:after="0" w:line="240" w:lineRule="auto"/>
        <w:jc w:val="both"/>
      </w:pPr>
    </w:p>
    <w:p w:rsidR="003A79E8" w:rsidRPr="00CA0AE3" w:rsidRDefault="00C53640" w:rsidP="004A0654">
      <w:pPr>
        <w:pStyle w:val="ListParagraph"/>
        <w:numPr>
          <w:ilvl w:val="2"/>
          <w:numId w:val="16"/>
        </w:numPr>
        <w:autoSpaceDE w:val="0"/>
        <w:autoSpaceDN w:val="0"/>
        <w:adjustRightInd w:val="0"/>
        <w:spacing w:after="0" w:line="240" w:lineRule="auto"/>
        <w:jc w:val="both"/>
      </w:pPr>
      <w:r w:rsidRPr="00CA0AE3">
        <w:t>If the Public H</w:t>
      </w:r>
      <w:r w:rsidR="003A79E8" w:rsidRPr="00CA0AE3">
        <w:t>ospital does not achieve</w:t>
      </w:r>
      <w:r w:rsidR="00B3286B" w:rsidRPr="00CA0AE3">
        <w:t xml:space="preserve"> improvement on a measure </w:t>
      </w:r>
      <w:r w:rsidR="003A79E8" w:rsidRPr="00CA0AE3">
        <w:t xml:space="preserve">that was specified </w:t>
      </w:r>
      <w:r w:rsidR="00B3286B" w:rsidRPr="00CA0AE3">
        <w:t xml:space="preserve">for achievement in </w:t>
      </w:r>
      <w:r w:rsidR="003A79E8" w:rsidRPr="00CA0AE3">
        <w:t xml:space="preserve">a particular year, it will be able to carry forward the available incentive funding associated with that </w:t>
      </w:r>
      <w:r w:rsidR="00B3286B" w:rsidRPr="00CA0AE3">
        <w:t xml:space="preserve">measure </w:t>
      </w:r>
      <w:r w:rsidR="003A79E8" w:rsidRPr="00CA0AE3">
        <w:t xml:space="preserve">for up to 12 months and receive full payment if EOHHS determines, based on documentation provided by the hospital, that the hospital meets the corresponding </w:t>
      </w:r>
      <w:r w:rsidR="00B3286B" w:rsidRPr="00CA0AE3">
        <w:lastRenderedPageBreak/>
        <w:t xml:space="preserve">measure </w:t>
      </w:r>
      <w:r w:rsidR="003A79E8" w:rsidRPr="00CA0AE3">
        <w:t xml:space="preserve">associated with the year in which the payment is made. For purposes of carry-forward in this paragraph, a corresponding </w:t>
      </w:r>
      <w:r w:rsidR="00B3286B" w:rsidRPr="00CA0AE3">
        <w:t xml:space="preserve">measure </w:t>
      </w:r>
      <w:r w:rsidR="003A79E8" w:rsidRPr="00CA0AE3">
        <w:t xml:space="preserve">is a </w:t>
      </w:r>
      <w:r w:rsidR="00B3286B" w:rsidRPr="00CA0AE3">
        <w:t xml:space="preserve">measure </w:t>
      </w:r>
      <w:r w:rsidR="003A79E8" w:rsidRPr="00CA0AE3">
        <w:t xml:space="preserve">that is a continuation of a prior year </w:t>
      </w:r>
      <w:r w:rsidR="00B3286B" w:rsidRPr="00CA0AE3">
        <w:t xml:space="preserve">measure </w:t>
      </w:r>
      <w:r w:rsidR="003A79E8" w:rsidRPr="00CA0AE3">
        <w:t xml:space="preserve">and is readily quantifiable. </w:t>
      </w:r>
      <w:r w:rsidR="00FA01F6" w:rsidRPr="00CA0AE3">
        <w:t xml:space="preserve">An example of corresponding </w:t>
      </w:r>
      <w:r w:rsidR="00B3286B" w:rsidRPr="00CA0AE3">
        <w:t xml:space="preserve">measures </w:t>
      </w:r>
      <w:r w:rsidR="00FA01F6" w:rsidRPr="00CA0AE3">
        <w:t>includes</w:t>
      </w:r>
      <w:r w:rsidR="003A79E8" w:rsidRPr="00CA0AE3">
        <w:t xml:space="preserve"> </w:t>
      </w:r>
      <w:r w:rsidRPr="00CA0AE3">
        <w:t>a</w:t>
      </w:r>
      <w:r w:rsidR="003A79E8" w:rsidRPr="00CA0AE3">
        <w:t xml:space="preserve"> metric that shows a number or percentage increase in the same specific </w:t>
      </w:r>
      <w:r w:rsidR="00D343C8" w:rsidRPr="00CA0AE3">
        <w:t>activity from the previous year.</w:t>
      </w:r>
      <w:r w:rsidR="003A79E8" w:rsidRPr="00CA0AE3">
        <w:t xml:space="preserve"> </w:t>
      </w:r>
    </w:p>
    <w:p w:rsidR="00C53640" w:rsidRPr="00CA0AE3" w:rsidRDefault="00C53640" w:rsidP="0074511A">
      <w:pPr>
        <w:autoSpaceDE w:val="0"/>
        <w:autoSpaceDN w:val="0"/>
        <w:adjustRightInd w:val="0"/>
        <w:spacing w:after="0" w:line="240" w:lineRule="auto"/>
        <w:jc w:val="both"/>
      </w:pPr>
    </w:p>
    <w:p w:rsidR="00E37119" w:rsidRPr="00CA0AE3" w:rsidRDefault="003A79E8" w:rsidP="009123BD">
      <w:pPr>
        <w:pStyle w:val="ListParagraph"/>
        <w:numPr>
          <w:ilvl w:val="2"/>
          <w:numId w:val="16"/>
        </w:numPr>
        <w:autoSpaceDE w:val="0"/>
        <w:autoSpaceDN w:val="0"/>
        <w:adjustRightInd w:val="0"/>
        <w:spacing w:after="0" w:line="240" w:lineRule="auto"/>
        <w:jc w:val="both"/>
      </w:pPr>
      <w:r w:rsidRPr="00CA0AE3">
        <w:t xml:space="preserve">If there is no corresponding </w:t>
      </w:r>
      <w:r w:rsidR="00B3286B" w:rsidRPr="00CA0AE3">
        <w:t xml:space="preserve">measure </w:t>
      </w:r>
      <w:r w:rsidRPr="00CA0AE3">
        <w:t xml:space="preserve">associated with the year in which the payment is made, the hospital will be able to carry forward the available incentive funding associated with the missed </w:t>
      </w:r>
      <w:r w:rsidR="00B3286B" w:rsidRPr="00CA0AE3">
        <w:t xml:space="preserve">measure </w:t>
      </w:r>
      <w:r w:rsidRPr="00CA0AE3">
        <w:t xml:space="preserve">for up to 12 months and receive full payment if EOHHS determines, based on documentation provided by the hospital, that the hospital meets the missed </w:t>
      </w:r>
      <w:r w:rsidR="00B3286B" w:rsidRPr="00CA0AE3">
        <w:t xml:space="preserve">measure </w:t>
      </w:r>
      <w:r w:rsidRPr="00CA0AE3">
        <w:t xml:space="preserve">in addition to at least 25 percent of </w:t>
      </w:r>
      <w:r w:rsidR="00B3286B" w:rsidRPr="00CA0AE3">
        <w:t xml:space="preserve">measures </w:t>
      </w:r>
      <w:r w:rsidRPr="00CA0AE3">
        <w:t xml:space="preserve">associated with that </w:t>
      </w:r>
      <w:r w:rsidR="00224FC8" w:rsidRPr="00CA0AE3">
        <w:t>initiative</w:t>
      </w:r>
      <w:r w:rsidRPr="00CA0AE3">
        <w:t xml:space="preserve"> in the year in which the payment is made. If at the end of that subsequent </w:t>
      </w:r>
      <w:r w:rsidR="004C4BDF" w:rsidRPr="00CA0AE3">
        <w:t>d</w:t>
      </w:r>
      <w:r w:rsidRPr="00CA0AE3">
        <w:t xml:space="preserve">emonstration year, an eligible safety net hospital has not fully achieved a </w:t>
      </w:r>
      <w:r w:rsidR="00B3286B" w:rsidRPr="00CA0AE3">
        <w:t>measure</w:t>
      </w:r>
      <w:r w:rsidRPr="00CA0AE3">
        <w:t xml:space="preserve">, it will no longer be able to claim that funding related to its completion of that </w:t>
      </w:r>
      <w:r w:rsidR="00B3286B" w:rsidRPr="00CA0AE3">
        <w:t>measure</w:t>
      </w:r>
      <w:r w:rsidRPr="00CA0AE3">
        <w:t>.</w:t>
      </w:r>
    </w:p>
    <w:p w:rsidR="00916803" w:rsidRPr="00CA0AE3" w:rsidRDefault="00916803">
      <w:pPr>
        <w:spacing w:after="0" w:line="240" w:lineRule="auto"/>
      </w:pPr>
    </w:p>
    <w:p w:rsidR="00916803" w:rsidRPr="00CA0AE3" w:rsidRDefault="00B7192A" w:rsidP="007851F9">
      <w:pPr>
        <w:pStyle w:val="ListParagraph"/>
        <w:numPr>
          <w:ilvl w:val="0"/>
          <w:numId w:val="100"/>
        </w:numPr>
        <w:suppressAutoHyphens/>
        <w:spacing w:after="0" w:line="240" w:lineRule="auto"/>
        <w:ind w:left="720" w:hanging="720"/>
        <w:jc w:val="both"/>
        <w:outlineLvl w:val="1"/>
        <w:rPr>
          <w:b/>
          <w:bCs/>
        </w:rPr>
      </w:pPr>
      <w:r w:rsidRPr="00CA0AE3">
        <w:rPr>
          <w:b/>
          <w:bCs/>
        </w:rPr>
        <w:t>MENU OF PHTII INITIATIVES AND CORRESPONDING OUTCOMES AND IMPROVEMENT MEASURE SLATES</w:t>
      </w:r>
    </w:p>
    <w:p w:rsidR="00916803" w:rsidRPr="00CA0AE3" w:rsidRDefault="00916803">
      <w:pPr>
        <w:spacing w:after="0" w:line="240" w:lineRule="auto"/>
      </w:pPr>
    </w:p>
    <w:p w:rsidR="00321A10" w:rsidRPr="00CA0AE3" w:rsidRDefault="00321A10" w:rsidP="000C0F95">
      <w:pPr>
        <w:pStyle w:val="ListParagraph"/>
        <w:numPr>
          <w:ilvl w:val="1"/>
          <w:numId w:val="16"/>
        </w:numPr>
        <w:autoSpaceDE w:val="0"/>
        <w:autoSpaceDN w:val="0"/>
        <w:adjustRightInd w:val="0"/>
        <w:spacing w:after="0" w:line="240" w:lineRule="auto"/>
        <w:jc w:val="both"/>
        <w:rPr>
          <w:b/>
        </w:rPr>
      </w:pPr>
      <w:r w:rsidRPr="00CA0AE3">
        <w:rPr>
          <w:b/>
        </w:rPr>
        <w:t>PHTII Initiatives and Measure Slates</w:t>
      </w:r>
    </w:p>
    <w:p w:rsidR="00E37119" w:rsidRPr="00CA0AE3" w:rsidRDefault="00916803" w:rsidP="00321A10">
      <w:pPr>
        <w:pStyle w:val="ListParagraph"/>
        <w:autoSpaceDE w:val="0"/>
        <w:autoSpaceDN w:val="0"/>
        <w:adjustRightInd w:val="0"/>
        <w:spacing w:after="0" w:line="240" w:lineRule="auto"/>
        <w:jc w:val="both"/>
      </w:pPr>
      <w:r w:rsidRPr="00CA0AE3">
        <w:rPr>
          <w:sz w:val="23"/>
          <w:szCs w:val="23"/>
        </w:rPr>
        <w:t xml:space="preserve">This section presents a menu of PHTII Initiatives and corresponding outcomes and improvement Measure Slates from which an eligible public hospital may select. </w:t>
      </w:r>
      <w:r w:rsidR="003A0523" w:rsidRPr="00CA0AE3">
        <w:rPr>
          <w:sz w:val="23"/>
          <w:szCs w:val="23"/>
        </w:rPr>
        <w:t>Cambridge Health Alliance has selected PHTII Initiatives 1 – 4 and corresponding Measure Slates 1 – 4 and 6.</w:t>
      </w:r>
      <w:r w:rsidR="00E37119" w:rsidRPr="00CA0AE3">
        <w:br w:type="page"/>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1728"/>
        <w:gridCol w:w="7073"/>
      </w:tblGrid>
      <w:tr w:rsidR="000838EB" w:rsidRPr="00CA0AE3" w:rsidTr="000838EB">
        <w:trPr>
          <w:trHeight w:val="159"/>
          <w:tblHeader/>
        </w:trPr>
        <w:tc>
          <w:tcPr>
            <w:tcW w:w="1728" w:type="dxa"/>
            <w:tcBorders>
              <w:top w:val="single" w:sz="4" w:space="0" w:color="auto"/>
              <w:bottom w:val="single" w:sz="6" w:space="0" w:color="auto"/>
            </w:tcBorders>
            <w:shd w:val="clear" w:color="auto" w:fill="C6D9F1" w:themeFill="text2" w:themeFillTint="33"/>
          </w:tcPr>
          <w:p w:rsidR="000838EB" w:rsidRPr="00CA0AE3" w:rsidRDefault="000838EB" w:rsidP="00CD2D19">
            <w:pPr>
              <w:pStyle w:val="Default"/>
              <w:rPr>
                <w:sz w:val="22"/>
                <w:szCs w:val="22"/>
              </w:rPr>
            </w:pPr>
            <w:r w:rsidRPr="00CA0AE3">
              <w:rPr>
                <w:b/>
                <w:bCs/>
                <w:sz w:val="22"/>
                <w:szCs w:val="22"/>
                <w:shd w:val="clear" w:color="auto" w:fill="C6D9F1" w:themeFill="text2" w:themeFillTint="33"/>
              </w:rPr>
              <w:lastRenderedPageBreak/>
              <w:t>Initiative Title</w:t>
            </w:r>
            <w:r w:rsidRPr="00CA0AE3">
              <w:rPr>
                <w:b/>
                <w:bCs/>
                <w:sz w:val="22"/>
                <w:szCs w:val="22"/>
              </w:rPr>
              <w:t xml:space="preserve"> </w:t>
            </w:r>
          </w:p>
        </w:tc>
        <w:tc>
          <w:tcPr>
            <w:tcW w:w="7073" w:type="dxa"/>
          </w:tcPr>
          <w:p w:rsidR="000838EB" w:rsidRPr="00CA0AE3" w:rsidRDefault="000838EB" w:rsidP="00CD2D19">
            <w:pPr>
              <w:pStyle w:val="Default"/>
              <w:rPr>
                <w:sz w:val="22"/>
                <w:szCs w:val="22"/>
              </w:rPr>
            </w:pPr>
            <w:r w:rsidRPr="00CA0AE3">
              <w:rPr>
                <w:sz w:val="22"/>
                <w:szCs w:val="22"/>
              </w:rPr>
              <w:t>1. Integration of Behavioral Health and Primary Care</w:t>
            </w:r>
          </w:p>
        </w:tc>
      </w:tr>
      <w:tr w:rsidR="000838EB" w:rsidRPr="00CA0AE3" w:rsidTr="00CD2D19">
        <w:trPr>
          <w:trHeight w:val="159"/>
        </w:trPr>
        <w:tc>
          <w:tcPr>
            <w:tcW w:w="8801" w:type="dxa"/>
            <w:gridSpan w:val="2"/>
            <w:shd w:val="clear" w:color="auto" w:fill="C6D9F1" w:themeFill="text2" w:themeFillTint="33"/>
          </w:tcPr>
          <w:p w:rsidR="000838EB" w:rsidRPr="00CA0AE3" w:rsidRDefault="000838EB" w:rsidP="00CD2D19">
            <w:pPr>
              <w:pStyle w:val="Default"/>
              <w:rPr>
                <w:sz w:val="22"/>
                <w:szCs w:val="22"/>
              </w:rPr>
            </w:pPr>
            <w:r w:rsidRPr="00CA0AE3">
              <w:rPr>
                <w:b/>
                <w:bCs/>
                <w:sz w:val="22"/>
                <w:szCs w:val="22"/>
              </w:rPr>
              <w:t xml:space="preserve">Description/Rationale </w:t>
            </w:r>
          </w:p>
        </w:tc>
      </w:tr>
      <w:tr w:rsidR="000838EB" w:rsidRPr="00CA0AE3" w:rsidTr="000838EB">
        <w:trPr>
          <w:trHeight w:val="5124"/>
        </w:trPr>
        <w:tc>
          <w:tcPr>
            <w:tcW w:w="8801" w:type="dxa"/>
            <w:gridSpan w:val="2"/>
          </w:tcPr>
          <w:p w:rsidR="000838EB" w:rsidRPr="00CA0AE3" w:rsidRDefault="000838EB" w:rsidP="00967218">
            <w:pPr>
              <w:pStyle w:val="Default"/>
              <w:rPr>
                <w:sz w:val="22"/>
                <w:szCs w:val="22"/>
              </w:rPr>
            </w:pPr>
            <w:r w:rsidRPr="00CA0AE3">
              <w:rPr>
                <w:sz w:val="22"/>
                <w:szCs w:val="22"/>
              </w:rPr>
              <w:t xml:space="preserve">To continue the advancement in integrated medical and behavioral health care in the context of population health management and alternative payment models, this initiative will leverage evidence-based practices to advance screening, treatment and improved access to behavioral health care based in the primary care setting for adults, children and adolescents. </w:t>
            </w:r>
          </w:p>
          <w:p w:rsidR="000838EB" w:rsidRPr="00CA0AE3" w:rsidRDefault="000838EB" w:rsidP="00967218">
            <w:pPr>
              <w:pStyle w:val="Default"/>
              <w:rPr>
                <w:sz w:val="22"/>
                <w:szCs w:val="22"/>
              </w:rPr>
            </w:pPr>
          </w:p>
          <w:p w:rsidR="000838EB" w:rsidRPr="00CA0AE3" w:rsidRDefault="000838EB" w:rsidP="00967218">
            <w:pPr>
              <w:pStyle w:val="Default"/>
              <w:rPr>
                <w:sz w:val="22"/>
                <w:szCs w:val="22"/>
              </w:rPr>
            </w:pPr>
            <w:r w:rsidRPr="00CA0AE3">
              <w:rPr>
                <w:sz w:val="22"/>
                <w:szCs w:val="22"/>
              </w:rPr>
              <w:t>This suite of initiatives will include a focus on population health, quality outcomes, patient engagement and experience of care improvements, coordinated, cross continuum care, and effective care management and follow-up on targeted conditions including depression, anxiety, and substance use disorders.   This will be enabled through the optimization of screening and follow-up workflows, expansion of evidence-based treatment options, provider and staff training and engagement, building relationships among staff and providers across the system, and building community connections to support patient care.</w:t>
            </w:r>
          </w:p>
          <w:p w:rsidR="000838EB" w:rsidRPr="00CA0AE3" w:rsidRDefault="000838EB" w:rsidP="00967218">
            <w:pPr>
              <w:pStyle w:val="Default"/>
              <w:rPr>
                <w:sz w:val="22"/>
                <w:szCs w:val="22"/>
              </w:rPr>
            </w:pPr>
          </w:p>
          <w:p w:rsidR="000838EB" w:rsidRPr="00CA0AE3" w:rsidRDefault="000838EB" w:rsidP="00967218">
            <w:pPr>
              <w:spacing w:after="0" w:line="240" w:lineRule="auto"/>
              <w:rPr>
                <w:color w:val="000000"/>
              </w:rPr>
            </w:pPr>
            <w:r w:rsidRPr="00CA0AE3">
              <w:rPr>
                <w:color w:val="000000"/>
              </w:rPr>
              <w:t xml:space="preserve">Collaborative care, an evidence based delivery model, has been shown to support the Triple Aim among patients with depression, the most prevalent mental disorder. </w:t>
            </w:r>
            <w:r w:rsidRPr="00CA0AE3">
              <w:rPr>
                <w:rStyle w:val="FootnoteReference"/>
                <w:color w:val="000000"/>
              </w:rPr>
              <w:footnoteReference w:id="39"/>
            </w:r>
            <w:r w:rsidRPr="00CA0AE3">
              <w:rPr>
                <w:color w:val="000000"/>
              </w:rPr>
              <w:t xml:space="preserve"> </w:t>
            </w:r>
            <w:r w:rsidRPr="00CA0AE3">
              <w:rPr>
                <w:rStyle w:val="FootnoteReference"/>
                <w:color w:val="000000"/>
              </w:rPr>
              <w:footnoteReference w:id="40"/>
            </w:r>
            <w:r w:rsidRPr="00CA0AE3">
              <w:rPr>
                <w:color w:val="000000"/>
              </w:rPr>
              <w:t xml:space="preserve"> The key elements of collaborative care models include:  the use of a mental health registry, stepped care approach to depression management (i.e. intensifying treatments when needed), use of validated instruments (such as the Patient Health Questionnaire (PHQ-2 or PHQ-9) for depression, Generalized Anxiety Disorder scale (GAD-7) for anxiety, </w:t>
            </w:r>
            <w:r w:rsidRPr="00CA0AE3">
              <w:t>National Institute on Alcohol Abuse and Alcoholism single item screening tool (</w:t>
            </w:r>
            <w:r w:rsidRPr="00CA0AE3">
              <w:rPr>
                <w:color w:val="000000"/>
              </w:rPr>
              <w:t>NIAAA-1), Alcohol Use Disorders Test (AUDIT), National Institute on Drug Abuse quick screen test (NIDA-1) and the Drug Abuse Screening Test (DAST), and regular caseload consultations by the psychiatrist and the behavioral care manager.  Additional elements of integration include the co-location of   behavioral health staff (such as therapists and psychiatrists) into primary care settings, meetings held by primary care and behavioral health team members to discuss cases, training of primary care and behavioral health staff on effective screening and collaborative care, and strategies to address substance use disorder (such as SBIRT) in primary care.</w:t>
            </w:r>
            <w:r w:rsidRPr="00CA0AE3">
              <w:rPr>
                <w:rStyle w:val="FootnoteReference"/>
                <w:color w:val="000000"/>
              </w:rPr>
              <w:footnoteReference w:id="41"/>
            </w:r>
          </w:p>
          <w:p w:rsidR="000838EB" w:rsidRPr="00CA0AE3" w:rsidRDefault="000838EB" w:rsidP="00967218">
            <w:pPr>
              <w:spacing w:after="0" w:line="240" w:lineRule="auto"/>
              <w:ind w:left="360"/>
              <w:rPr>
                <w:color w:val="000000"/>
              </w:rPr>
            </w:pPr>
          </w:p>
          <w:p w:rsidR="000838EB" w:rsidRPr="00CA0AE3" w:rsidRDefault="000838EB" w:rsidP="00967218">
            <w:pPr>
              <w:spacing w:after="0" w:line="240" w:lineRule="auto"/>
            </w:pPr>
            <w:r w:rsidRPr="00CA0AE3">
              <w:rPr>
                <w:color w:val="000000"/>
              </w:rPr>
              <w:t xml:space="preserve">Collaborative care models, structured care involving a greater role of non-medical specialists to augment primary care and provide care management, have been shown to be more effective than standard care in improving depression outcomes in the short- and long-term. </w:t>
            </w:r>
            <w:r w:rsidRPr="00CA0AE3">
              <w:rPr>
                <w:rStyle w:val="FootnoteReference"/>
                <w:color w:val="000000"/>
              </w:rPr>
              <w:footnoteReference w:id="42"/>
            </w:r>
            <w:r w:rsidRPr="00CA0AE3">
              <w:rPr>
                <w:color w:val="000000"/>
              </w:rPr>
              <w:t xml:space="preserve"> There is strong evidence supporting benefits of care management for depression.</w:t>
            </w:r>
            <w:r w:rsidRPr="00CA0AE3">
              <w:rPr>
                <w:rStyle w:val="FootnoteReference"/>
                <w:color w:val="000000"/>
              </w:rPr>
              <w:footnoteReference w:id="43"/>
            </w:r>
            <w:r w:rsidRPr="00CA0AE3">
              <w:rPr>
                <w:color w:val="000000"/>
              </w:rPr>
              <w:t xml:space="preserve"> Findings from more than 80 studies demonstrated that collaborative care increased adherence to evidence-based depression treatment by twofold and improved outcomes, including in low-income populations.</w:t>
            </w:r>
            <w:r w:rsidRPr="00CA0AE3">
              <w:rPr>
                <w:rStyle w:val="FootnoteReference"/>
                <w:color w:val="000000"/>
              </w:rPr>
              <w:footnoteReference w:id="44"/>
            </w:r>
            <w:r w:rsidRPr="00CA0AE3">
              <w:rPr>
                <w:color w:val="000000"/>
              </w:rPr>
              <w:t xml:space="preserve"> Studies have also revealed value in terms of cost-effectiveness, cost-benefit analysis, and improved patient satisfaction with care.</w:t>
            </w:r>
            <w:r w:rsidRPr="00CA0AE3">
              <w:rPr>
                <w:rStyle w:val="FootnoteReference"/>
                <w:color w:val="000000"/>
              </w:rPr>
              <w:footnoteReference w:id="45"/>
            </w:r>
            <w:r w:rsidRPr="00CA0AE3">
              <w:rPr>
                <w:color w:val="000000"/>
              </w:rPr>
              <w:t xml:space="preserve"> </w:t>
            </w:r>
            <w:r w:rsidRPr="00CA0AE3">
              <w:t>The Agency for Healthcare Research and Quality has found in their research that the</w:t>
            </w:r>
            <w:r w:rsidRPr="00CA0AE3">
              <w:rPr>
                <w:color w:val="333333"/>
              </w:rPr>
              <w:t xml:space="preserve"> </w:t>
            </w:r>
            <w:r w:rsidRPr="00CA0AE3">
              <w:t xml:space="preserve">integration of mental health/substance abuse and primary care has </w:t>
            </w:r>
            <w:r w:rsidRPr="00CA0AE3">
              <w:lastRenderedPageBreak/>
              <w:t>achieved positive outcomes.</w:t>
            </w:r>
            <w:r w:rsidRPr="00CA0AE3">
              <w:rPr>
                <w:rStyle w:val="FootnoteReference"/>
              </w:rPr>
              <w:footnoteReference w:id="46"/>
            </w:r>
            <w:r w:rsidRPr="00CA0AE3">
              <w:t xml:space="preserve">  Furthermore, the Center for Integrated Health Solutions sponsored by the Substance Abuse and Mental Health Services Administration (SAMHSA) and Health Resources and Services Administration (HRSA) include evidence-based practices in integrated primary care and behavioral health services to better address the needs of individuals with mental health and substance use concerns and that have demonstrated positive impacts, including on health care costs, for integration in many environments.</w:t>
            </w:r>
            <w:r w:rsidRPr="00CA0AE3">
              <w:rPr>
                <w:rStyle w:val="FootnoteReference"/>
              </w:rPr>
              <w:footnoteReference w:id="47"/>
            </w:r>
          </w:p>
          <w:p w:rsidR="000838EB" w:rsidRPr="00CA0AE3" w:rsidRDefault="000838EB" w:rsidP="00967218">
            <w:pPr>
              <w:spacing w:after="0" w:line="240" w:lineRule="auto"/>
            </w:pPr>
          </w:p>
          <w:p w:rsidR="000838EB" w:rsidRPr="00CA0AE3" w:rsidRDefault="000838EB" w:rsidP="00967218">
            <w:pPr>
              <w:spacing w:after="0" w:line="240" w:lineRule="auto"/>
              <w:rPr>
                <w:rFonts w:eastAsia="Times New Roman"/>
                <w:color w:val="000000" w:themeColor="text1"/>
              </w:rPr>
            </w:pPr>
            <w:r w:rsidRPr="00CA0AE3">
              <w:rPr>
                <w:rFonts w:eastAsia="Times New Roman"/>
                <w:color w:val="000000" w:themeColor="text1"/>
              </w:rPr>
              <w:t>Substance use and addiction are significant challenges for society and for public payer populations. Unidentified mental health and substance use treatment needs contribute to higher costs and poor health outcomes. Alcohol and substance use disorders are frequently co-occurring with other mental health and physical health conditions. A recent publication released by the Substance Abuse and Mental Health Services Administration (SAMHSA) reported that in Massachusetts, only 53.8 % of adults with any mental illness (approximately 522,000 individuals per year in 2010-2014) actually received mental health treatment within the</w:t>
            </w:r>
            <w:r w:rsidRPr="00CA0AE3">
              <w:rPr>
                <w:rFonts w:eastAsia="Times New Roman"/>
              </w:rPr>
              <w:t xml:space="preserve"> year prior to being surveyed, and only 7.5% of those with alcohol abuse or dependence received treatment in the prior year</w:t>
            </w:r>
            <w:r w:rsidRPr="00CA0AE3">
              <w:rPr>
                <w:rFonts w:eastAsia="Times New Roman"/>
                <w:iCs/>
                <w:color w:val="000000" w:themeColor="text1"/>
              </w:rPr>
              <w:t>.</w:t>
            </w:r>
            <w:r w:rsidRPr="00CA0AE3">
              <w:rPr>
                <w:rFonts w:eastAsia="Times New Roman"/>
                <w:color w:val="000000" w:themeColor="text1"/>
                <w:vertAlign w:val="superscript"/>
              </w:rPr>
              <w:footnoteReference w:id="48"/>
            </w:r>
            <w:r w:rsidRPr="00CA0AE3">
              <w:rPr>
                <w:rFonts w:eastAsia="Times New Roman"/>
                <w:iCs/>
                <w:color w:val="000000" w:themeColor="text1"/>
              </w:rPr>
              <w:t xml:space="preserve"> Furthermore, the national problem of death related to opioid use disorder and overdose is increasing year by year in Massachusetts.</w:t>
            </w:r>
            <w:r w:rsidRPr="00CA0AE3">
              <w:rPr>
                <w:rFonts w:eastAsia="Times New Roman"/>
                <w:iCs/>
                <w:color w:val="000000" w:themeColor="text1"/>
                <w:vertAlign w:val="superscript"/>
              </w:rPr>
              <w:footnoteReference w:id="49"/>
            </w:r>
            <w:r w:rsidRPr="00CA0AE3">
              <w:rPr>
                <w:rFonts w:eastAsia="Times New Roman"/>
                <w:iCs/>
                <w:color w:val="000000" w:themeColor="text1"/>
              </w:rPr>
              <w:t>.</w:t>
            </w:r>
          </w:p>
          <w:p w:rsidR="000838EB" w:rsidRPr="00CA0AE3" w:rsidRDefault="000838EB" w:rsidP="00967218">
            <w:pPr>
              <w:spacing w:after="0" w:line="240" w:lineRule="auto"/>
              <w:rPr>
                <w:rFonts w:eastAsia="Times New Roman"/>
                <w:color w:val="000000" w:themeColor="text1"/>
              </w:rPr>
            </w:pPr>
          </w:p>
          <w:p w:rsidR="000838EB" w:rsidRPr="00CA0AE3" w:rsidRDefault="000838EB" w:rsidP="00967218">
            <w:pPr>
              <w:spacing w:after="0" w:line="240" w:lineRule="auto"/>
              <w:rPr>
                <w:rFonts w:eastAsia="Times New Roman"/>
                <w:color w:val="000000" w:themeColor="text1"/>
              </w:rPr>
            </w:pPr>
            <w:r w:rsidRPr="00CA0AE3">
              <w:rPr>
                <w:rFonts w:eastAsia="Times New Roman"/>
                <w:color w:val="000000" w:themeColor="text1"/>
              </w:rPr>
              <w:t xml:space="preserve">Utilization of necessary treatments has been shown to have a return on investment with impacts in health care and other public programs. According to the National Institute on Drug Abuse, for every dollar spent on addiction treatment programs there is an estimated $4 to $7 reduction in the criminal-justice-related </w:t>
            </w:r>
            <w:r w:rsidR="00561DD5" w:rsidRPr="00CA0AE3">
              <w:rPr>
                <w:rFonts w:eastAsia="Times New Roman"/>
                <w:color w:val="000000" w:themeColor="text1"/>
              </w:rPr>
              <w:t>costs</w:t>
            </w:r>
            <w:r w:rsidRPr="00CA0AE3">
              <w:rPr>
                <w:rFonts w:eastAsia="Times New Roman"/>
                <w:color w:val="000000" w:themeColor="text1"/>
              </w:rPr>
              <w:t xml:space="preserve"> and a $12 reduction in costs if health-care costs are included.</w:t>
            </w:r>
            <w:r w:rsidRPr="00CA0AE3">
              <w:rPr>
                <w:rFonts w:eastAsia="Times New Roman"/>
                <w:color w:val="000000" w:themeColor="text1"/>
                <w:vertAlign w:val="superscript"/>
              </w:rPr>
              <w:footnoteReference w:id="50"/>
            </w:r>
            <w:r w:rsidRPr="00CA0AE3">
              <w:rPr>
                <w:rFonts w:eastAsia="Times New Roman"/>
                <w:color w:val="000000" w:themeColor="text1"/>
              </w:rPr>
              <w:t xml:space="preserve"> Evidence-based approaches are available to support population health strategies and address such conditions in primary care. The United States Preventive Services Task Force has given a rating of ‘B’ to alcohol misuse screening for adults, indicating strong recommendation of this service and high certainty of moderate to substantial net benefit.</w:t>
            </w:r>
            <w:r w:rsidRPr="00CA0AE3">
              <w:rPr>
                <w:rFonts w:eastAsia="Times New Roman"/>
                <w:color w:val="000000" w:themeColor="text1"/>
                <w:vertAlign w:val="superscript"/>
              </w:rPr>
              <w:footnoteReference w:id="51"/>
            </w:r>
            <w:r w:rsidRPr="00CA0AE3">
              <w:rPr>
                <w:rFonts w:eastAsia="Times New Roman"/>
                <w:color w:val="000000" w:themeColor="text1"/>
              </w:rPr>
              <w:t xml:space="preserve"> </w:t>
            </w:r>
          </w:p>
          <w:p w:rsidR="000838EB" w:rsidRPr="00CA0AE3" w:rsidRDefault="000838EB" w:rsidP="00967218">
            <w:pPr>
              <w:spacing w:after="0" w:line="240" w:lineRule="auto"/>
              <w:ind w:left="-360"/>
              <w:rPr>
                <w:rFonts w:eastAsia="Times New Roman"/>
                <w:color w:val="000000" w:themeColor="text1"/>
              </w:rPr>
            </w:pPr>
          </w:p>
          <w:p w:rsidR="000838EB" w:rsidRPr="00CA0AE3" w:rsidRDefault="000838EB" w:rsidP="00967218">
            <w:pPr>
              <w:spacing w:after="0" w:line="240" w:lineRule="auto"/>
              <w:rPr>
                <w:rFonts w:eastAsia="Times New Roman"/>
                <w:color w:val="000000" w:themeColor="text1"/>
              </w:rPr>
            </w:pPr>
            <w:r w:rsidRPr="00CA0AE3">
              <w:rPr>
                <w:rFonts w:eastAsia="Times New Roman"/>
                <w:color w:val="000000" w:themeColor="text1"/>
              </w:rPr>
              <w:t>Over the past few years, efforts have been initiated to build a system for screening for high risk alcohol use and substance use disorder in primary care, and interventions as appropriate. With this initiative, future work may entail: a) increasing the percentage of the primary care patient population who receives these screenings; b) improving the quality of the interventions provided for those who screen ‘positive’; c) expanding the range of treatment offerings provided in primary care, and d) optimizing primary-care-based pain management offerings including alternatives to chronic opioid therapy, as providers increasingly optimize the use of opioid-based regimens for patient that require this modality of treatment.</w:t>
            </w:r>
          </w:p>
          <w:p w:rsidR="000838EB" w:rsidRPr="00CA0AE3" w:rsidRDefault="000838EB" w:rsidP="00967218">
            <w:pPr>
              <w:spacing w:after="0" w:line="240" w:lineRule="auto"/>
              <w:rPr>
                <w:rFonts w:ascii="Arial" w:hAnsi="Arial" w:cs="Arial"/>
                <w:color w:val="365F91"/>
                <w:sz w:val="20"/>
                <w:szCs w:val="20"/>
              </w:rPr>
            </w:pPr>
          </w:p>
          <w:p w:rsidR="000838EB" w:rsidRPr="00CA0AE3" w:rsidRDefault="000838EB" w:rsidP="00967218">
            <w:pPr>
              <w:autoSpaceDE w:val="0"/>
              <w:autoSpaceDN w:val="0"/>
              <w:adjustRightInd w:val="0"/>
              <w:spacing w:after="0" w:line="240" w:lineRule="auto"/>
              <w:rPr>
                <w:rFonts w:eastAsia="Times New Roman"/>
                <w:vertAlign w:val="superscript"/>
              </w:rPr>
            </w:pPr>
            <w:r w:rsidRPr="00CA0AE3">
              <w:rPr>
                <w:rFonts w:eastAsia="Times New Roman"/>
              </w:rPr>
              <w:t xml:space="preserve">According to the American Academy of Pediatrics, behavioral and emotional problems during childhood are common, often undetected, and frequently untreated despite primary role in significant morbidity and mortality. According to current estimates, approximately 11% to 20% </w:t>
            </w:r>
            <w:r w:rsidRPr="00CA0AE3">
              <w:rPr>
                <w:rFonts w:eastAsia="Times New Roman"/>
              </w:rPr>
              <w:lastRenderedPageBreak/>
              <w:t>of children in the United States have a behavioral or emotional disorder at any given time.</w:t>
            </w:r>
            <w:r w:rsidRPr="00CA0AE3">
              <w:rPr>
                <w:rStyle w:val="FootnoteReference"/>
                <w:rFonts w:eastAsia="Times New Roman"/>
              </w:rPr>
              <w:footnoteReference w:id="52"/>
            </w:r>
            <w:r w:rsidRPr="00CA0AE3">
              <w:rPr>
                <w:rFonts w:eastAsia="Times New Roman"/>
              </w:rPr>
              <w:t xml:space="preserve"> </w:t>
            </w:r>
            <w:r w:rsidRPr="00CA0AE3">
              <w:rPr>
                <w:rStyle w:val="FootnoteReference"/>
                <w:rFonts w:eastAsia="Times New Roman"/>
              </w:rPr>
              <w:footnoteReference w:id="53"/>
            </w:r>
            <w:r w:rsidRPr="00CA0AE3">
              <w:rPr>
                <w:rFonts w:eastAsia="Times New Roman"/>
              </w:rPr>
              <w:t xml:space="preserve"> Estimated prevalence rates are similar in young 2- to 5-year-old children. Developmental and behavioral health disorders are now the top 5 chronic pediatric conditions causing functional impairment.</w:t>
            </w:r>
            <w:r w:rsidRPr="00CA0AE3">
              <w:rPr>
                <w:rStyle w:val="FootnoteReference"/>
                <w:rFonts w:eastAsia="Times New Roman"/>
              </w:rPr>
              <w:footnoteReference w:id="54"/>
            </w:r>
            <w:r w:rsidRPr="00CA0AE3">
              <w:rPr>
                <w:rFonts w:eastAsia="Times New Roman"/>
              </w:rPr>
              <w:t xml:space="preserve"> </w:t>
            </w:r>
            <w:r w:rsidRPr="00CA0AE3">
              <w:rPr>
                <w:rStyle w:val="FootnoteReference"/>
                <w:rFonts w:eastAsia="Times New Roman"/>
              </w:rPr>
              <w:footnoteReference w:id="55"/>
            </w:r>
            <w:r w:rsidRPr="00CA0AE3">
              <w:rPr>
                <w:rFonts w:eastAsia="Times New Roman"/>
              </w:rPr>
              <w:t xml:space="preserve"> </w:t>
            </w:r>
            <w:r w:rsidRPr="00CA0AE3">
              <w:rPr>
                <w:rStyle w:val="FootnoteReference"/>
                <w:rFonts w:eastAsia="Times New Roman"/>
              </w:rPr>
              <w:footnoteReference w:id="56"/>
            </w:r>
            <w:r w:rsidRPr="00CA0AE3">
              <w:rPr>
                <w:rFonts w:eastAsia="Times New Roman"/>
              </w:rPr>
              <w:t xml:space="preserve"> </w:t>
            </w:r>
            <w:r w:rsidRPr="00CA0AE3">
              <w:rPr>
                <w:rFonts w:eastAsia="Times New Roman"/>
                <w:vertAlign w:val="superscript"/>
              </w:rPr>
              <w:t xml:space="preserve"> </w:t>
            </w:r>
            <w:r w:rsidRPr="00CA0AE3">
              <w:rPr>
                <w:rFonts w:eastAsia="MyriadPro-Regular"/>
              </w:rPr>
              <w:t>The American Academy of Pediatrics (AAP) urges clinicians to screen for developmental and behavioral problems at all health supervision visits using quality tools.</w:t>
            </w:r>
            <w:r w:rsidRPr="00CA0AE3">
              <w:rPr>
                <w:rStyle w:val="FootnoteReference"/>
                <w:rFonts w:eastAsia="MyriadPro-Regular"/>
              </w:rPr>
              <w:footnoteReference w:id="57"/>
            </w:r>
            <w:r w:rsidRPr="00CA0AE3">
              <w:rPr>
                <w:rFonts w:eastAsia="MyriadPro-Regular"/>
                <w:vertAlign w:val="superscript"/>
              </w:rPr>
              <w:t xml:space="preserve"> </w:t>
            </w:r>
            <w:r w:rsidRPr="00CA0AE3">
              <w:t>Indeed, population health starts with population screening.</w:t>
            </w:r>
          </w:p>
          <w:p w:rsidR="000838EB" w:rsidRPr="00CA0AE3" w:rsidRDefault="000838EB" w:rsidP="00967218">
            <w:pPr>
              <w:autoSpaceDE w:val="0"/>
              <w:autoSpaceDN w:val="0"/>
              <w:adjustRightInd w:val="0"/>
              <w:spacing w:after="0" w:line="240" w:lineRule="auto"/>
              <w:rPr>
                <w:rFonts w:eastAsia="MyriadPro-Regular"/>
              </w:rPr>
            </w:pPr>
          </w:p>
          <w:p w:rsidR="000838EB" w:rsidRPr="00CA0AE3" w:rsidRDefault="000838EB" w:rsidP="00967218">
            <w:pPr>
              <w:spacing w:after="0" w:line="240" w:lineRule="auto"/>
            </w:pPr>
            <w:r w:rsidRPr="00CA0AE3">
              <w:t xml:space="preserve">Children and adolescents comprise a significant portion of the patient panel or public providers and Medicaid populations.  Primary care providers caring for children and adolescents in the Commonwealth are required to use routine screening for developmental, behavioral and mental health </w:t>
            </w:r>
            <w:r w:rsidR="00561DD5" w:rsidRPr="00CA0AE3">
              <w:t>disorders</w:t>
            </w:r>
            <w:r w:rsidRPr="00CA0AE3">
              <w:t xml:space="preserve"> and the evidence and practice standards around screening in this population have evolved significantly in recent years. As such, there is an opportunity to update routine, comprehensive screening for behavioral and developmental conditions in the child and adolescent population, using validated screening instruments such as the Survey of Wellbeing of Young Children (SWYC) for developmental screening, the Pediatric Symptom Checklist (PSC) and PHQ-9 for depression, and CRAFFT (mnemonic acronym of first letters of key words in the six screening questions) short clinical assessment tool for substance related risks and problems, and to develop the associated registries and analyze utilization patterns and service gaps. In addition, the identification and deployment of key, evidence-based interventions intended to have a beneficial impact on the behavioral and developmental outcomes in the patient population of children and adolescents. In conjunction with implementation of the CRAFFT instrument for alcohol and substance use among adolescents, primary care providers will optimize follow-up workflows according to the evidence base for SBIRT among adolescents.</w:t>
            </w:r>
            <w:r w:rsidRPr="00CA0AE3">
              <w:rPr>
                <w:rStyle w:val="FootnoteReference"/>
              </w:rPr>
              <w:footnoteReference w:id="58"/>
            </w:r>
          </w:p>
        </w:tc>
      </w:tr>
      <w:tr w:rsidR="000838EB" w:rsidRPr="00CA0AE3" w:rsidTr="00CD2D19">
        <w:trPr>
          <w:trHeight w:val="297"/>
        </w:trPr>
        <w:tc>
          <w:tcPr>
            <w:tcW w:w="8801" w:type="dxa"/>
            <w:gridSpan w:val="2"/>
            <w:shd w:val="clear" w:color="auto" w:fill="C6D9F1" w:themeFill="text2" w:themeFillTint="33"/>
            <w:vAlign w:val="center"/>
          </w:tcPr>
          <w:p w:rsidR="000838EB" w:rsidRPr="00CA0AE3" w:rsidRDefault="000838EB" w:rsidP="00CD2D19">
            <w:pPr>
              <w:pStyle w:val="Default"/>
              <w:rPr>
                <w:b/>
                <w:sz w:val="22"/>
                <w:szCs w:val="22"/>
              </w:rPr>
            </w:pPr>
            <w:r w:rsidRPr="00CA0AE3">
              <w:rPr>
                <w:b/>
                <w:sz w:val="22"/>
                <w:szCs w:val="22"/>
              </w:rPr>
              <w:lastRenderedPageBreak/>
              <w:t>Goals/Objectives</w:t>
            </w:r>
          </w:p>
        </w:tc>
      </w:tr>
      <w:tr w:rsidR="000838EB" w:rsidRPr="00CA0AE3" w:rsidTr="000838EB">
        <w:trPr>
          <w:trHeight w:val="264"/>
        </w:trPr>
        <w:tc>
          <w:tcPr>
            <w:tcW w:w="8801" w:type="dxa"/>
            <w:gridSpan w:val="2"/>
            <w:shd w:val="clear" w:color="auto" w:fill="auto"/>
          </w:tcPr>
          <w:p w:rsidR="000838EB" w:rsidRPr="00CA0AE3" w:rsidRDefault="000838EB" w:rsidP="00CD2D19">
            <w:pPr>
              <w:pStyle w:val="Default"/>
              <w:rPr>
                <w:sz w:val="22"/>
                <w:szCs w:val="22"/>
              </w:rPr>
            </w:pPr>
            <w:r w:rsidRPr="00CA0AE3">
              <w:rPr>
                <w:sz w:val="22"/>
                <w:szCs w:val="22"/>
              </w:rPr>
              <w:t>Goals include leveraging the foundation for primary care-behavioral health (BH) integration to advance integrated approach for adults and pediatrics to improve key intermediate and outcomes measures for high-prevalence BH conditions (e.g. depression, anxiety, alcohol and substance use disorder (SUD)). Additional goals include optimizing primary care based treatment for pain and opioid addiction. Furthermore, aims include cardiovascular, metabolic, and diabetes monitoring for patients on antipsychotic medications, and cross-disciplinary care coordination improvements for mental illness.</w:t>
            </w:r>
          </w:p>
          <w:p w:rsidR="000838EB" w:rsidRPr="00CA0AE3" w:rsidRDefault="000838EB" w:rsidP="00CD2D19">
            <w:pPr>
              <w:pStyle w:val="Default"/>
              <w:rPr>
                <w:sz w:val="22"/>
                <w:szCs w:val="22"/>
              </w:rPr>
            </w:pPr>
          </w:p>
          <w:p w:rsidR="000838EB" w:rsidRPr="00CA0AE3" w:rsidRDefault="000838EB" w:rsidP="00CD2D19">
            <w:pPr>
              <w:pStyle w:val="Default"/>
              <w:rPr>
                <w:sz w:val="22"/>
                <w:szCs w:val="22"/>
              </w:rPr>
            </w:pPr>
            <w:r w:rsidRPr="00CA0AE3">
              <w:rPr>
                <w:sz w:val="22"/>
                <w:szCs w:val="22"/>
              </w:rPr>
              <w:t>Specific objectives include:</w:t>
            </w:r>
          </w:p>
          <w:p w:rsidR="000838EB" w:rsidRPr="00CA0AE3" w:rsidRDefault="000838EB" w:rsidP="000838EB">
            <w:pPr>
              <w:pStyle w:val="Default"/>
              <w:numPr>
                <w:ilvl w:val="0"/>
                <w:numId w:val="81"/>
              </w:numPr>
              <w:rPr>
                <w:sz w:val="22"/>
                <w:szCs w:val="22"/>
              </w:rPr>
            </w:pPr>
            <w:r w:rsidRPr="00CA0AE3">
              <w:rPr>
                <w:sz w:val="22"/>
                <w:szCs w:val="22"/>
              </w:rPr>
              <w:t>Increase screening and follow-up for high prevalence behavioral health conditions (depression, anxiety, SUD) among adults, adolescents and pediatric patients.</w:t>
            </w:r>
          </w:p>
          <w:p w:rsidR="000838EB" w:rsidRPr="00CA0AE3" w:rsidRDefault="000838EB" w:rsidP="000838EB">
            <w:pPr>
              <w:pStyle w:val="Default"/>
              <w:numPr>
                <w:ilvl w:val="0"/>
                <w:numId w:val="81"/>
              </w:numPr>
              <w:rPr>
                <w:sz w:val="22"/>
                <w:szCs w:val="22"/>
              </w:rPr>
            </w:pPr>
            <w:r w:rsidRPr="00CA0AE3">
              <w:rPr>
                <w:sz w:val="22"/>
                <w:szCs w:val="22"/>
              </w:rPr>
              <w:lastRenderedPageBreak/>
              <w:t xml:space="preserve">Improve depression response and remission. </w:t>
            </w:r>
          </w:p>
          <w:p w:rsidR="000838EB" w:rsidRPr="00CA0AE3" w:rsidRDefault="000838EB" w:rsidP="000838EB">
            <w:pPr>
              <w:pStyle w:val="Default"/>
              <w:numPr>
                <w:ilvl w:val="0"/>
                <w:numId w:val="81"/>
              </w:numPr>
              <w:rPr>
                <w:sz w:val="22"/>
                <w:szCs w:val="22"/>
              </w:rPr>
            </w:pPr>
            <w:r w:rsidRPr="00CA0AE3">
              <w:rPr>
                <w:sz w:val="22"/>
                <w:szCs w:val="22"/>
              </w:rPr>
              <w:t>Improve rates of screening, intervention, engagement for drug and alcohol use disorder</w:t>
            </w:r>
          </w:p>
          <w:p w:rsidR="000838EB" w:rsidRPr="00CA0AE3" w:rsidRDefault="000838EB" w:rsidP="000838EB">
            <w:pPr>
              <w:pStyle w:val="Default"/>
              <w:numPr>
                <w:ilvl w:val="0"/>
                <w:numId w:val="81"/>
              </w:numPr>
              <w:rPr>
                <w:sz w:val="22"/>
                <w:szCs w:val="22"/>
              </w:rPr>
            </w:pPr>
            <w:r w:rsidRPr="00CA0AE3">
              <w:rPr>
                <w:sz w:val="22"/>
                <w:szCs w:val="22"/>
              </w:rPr>
              <w:t>Improve training and competency among relevant providers.</w:t>
            </w:r>
          </w:p>
          <w:p w:rsidR="000838EB" w:rsidRPr="00CA0AE3" w:rsidRDefault="000838EB" w:rsidP="000838EB">
            <w:pPr>
              <w:pStyle w:val="Default"/>
              <w:numPr>
                <w:ilvl w:val="0"/>
                <w:numId w:val="81"/>
              </w:numPr>
              <w:rPr>
                <w:sz w:val="22"/>
                <w:szCs w:val="22"/>
              </w:rPr>
            </w:pPr>
            <w:r w:rsidRPr="00CA0AE3">
              <w:rPr>
                <w:sz w:val="22"/>
                <w:szCs w:val="22"/>
              </w:rPr>
              <w:t>Improve provider satisfaction and confidence in diagnosing and managing key conditions.</w:t>
            </w:r>
          </w:p>
          <w:p w:rsidR="000838EB" w:rsidRPr="00CA0AE3" w:rsidRDefault="000838EB" w:rsidP="000838EB">
            <w:pPr>
              <w:pStyle w:val="Default"/>
              <w:numPr>
                <w:ilvl w:val="0"/>
                <w:numId w:val="81"/>
              </w:numPr>
              <w:rPr>
                <w:sz w:val="22"/>
                <w:szCs w:val="22"/>
              </w:rPr>
            </w:pPr>
            <w:r w:rsidRPr="00CA0AE3">
              <w:rPr>
                <w:sz w:val="22"/>
                <w:szCs w:val="22"/>
              </w:rPr>
              <w:t>Improve management of opioid prescribing, as a means for preventing opioid dependence and promoting alternative treatments for chronic pain management.</w:t>
            </w:r>
          </w:p>
          <w:p w:rsidR="000838EB" w:rsidRPr="00CA0AE3" w:rsidRDefault="000838EB" w:rsidP="000838EB">
            <w:pPr>
              <w:pStyle w:val="Default"/>
              <w:numPr>
                <w:ilvl w:val="0"/>
                <w:numId w:val="81"/>
              </w:numPr>
              <w:rPr>
                <w:sz w:val="22"/>
                <w:szCs w:val="22"/>
              </w:rPr>
            </w:pPr>
            <w:r w:rsidRPr="00CA0AE3">
              <w:rPr>
                <w:sz w:val="22"/>
                <w:szCs w:val="22"/>
              </w:rPr>
              <w:t xml:space="preserve">Improve management and expand options for treatment of pain. </w:t>
            </w:r>
          </w:p>
          <w:p w:rsidR="000838EB" w:rsidRPr="00CA0AE3" w:rsidRDefault="000838EB" w:rsidP="000838EB">
            <w:pPr>
              <w:pStyle w:val="Default"/>
              <w:numPr>
                <w:ilvl w:val="0"/>
                <w:numId w:val="81"/>
              </w:numPr>
              <w:rPr>
                <w:sz w:val="22"/>
                <w:szCs w:val="22"/>
              </w:rPr>
            </w:pPr>
            <w:r w:rsidRPr="00CA0AE3">
              <w:rPr>
                <w:sz w:val="22"/>
                <w:szCs w:val="22"/>
              </w:rPr>
              <w:t>Improved collaboration related to the care continuum for mental health and substance use, including cardiovascular risk optimization for persons on antipsychotic medications</w:t>
            </w:r>
          </w:p>
          <w:p w:rsidR="000838EB" w:rsidRPr="00CA0AE3" w:rsidRDefault="000838EB" w:rsidP="000838EB">
            <w:pPr>
              <w:pStyle w:val="Default"/>
              <w:numPr>
                <w:ilvl w:val="0"/>
                <w:numId w:val="81"/>
              </w:numPr>
              <w:rPr>
                <w:sz w:val="22"/>
                <w:szCs w:val="22"/>
              </w:rPr>
            </w:pPr>
            <w:r w:rsidRPr="00CA0AE3">
              <w:rPr>
                <w:sz w:val="22"/>
                <w:szCs w:val="22"/>
              </w:rPr>
              <w:t>Improve transitions in care.</w:t>
            </w:r>
          </w:p>
          <w:p w:rsidR="000838EB" w:rsidRPr="00CA0AE3" w:rsidRDefault="000838EB" w:rsidP="000838EB">
            <w:pPr>
              <w:pStyle w:val="Default"/>
              <w:numPr>
                <w:ilvl w:val="0"/>
                <w:numId w:val="81"/>
              </w:numPr>
              <w:rPr>
                <w:sz w:val="22"/>
                <w:szCs w:val="22"/>
              </w:rPr>
            </w:pPr>
            <w:r w:rsidRPr="00CA0AE3">
              <w:rPr>
                <w:sz w:val="22"/>
                <w:szCs w:val="22"/>
              </w:rPr>
              <w:t>Ongoing evaluation of evidence-base supporting the expansion of treatment options for behavioral health and pain management in primary care.</w:t>
            </w:r>
          </w:p>
        </w:tc>
      </w:tr>
      <w:tr w:rsidR="000838EB" w:rsidRPr="00CA0AE3" w:rsidTr="000838EB">
        <w:trPr>
          <w:trHeight w:val="297"/>
        </w:trPr>
        <w:tc>
          <w:tcPr>
            <w:tcW w:w="8801" w:type="dxa"/>
            <w:gridSpan w:val="2"/>
            <w:shd w:val="clear" w:color="auto" w:fill="C6D9F1" w:themeFill="text2" w:themeFillTint="33"/>
            <w:vAlign w:val="center"/>
          </w:tcPr>
          <w:p w:rsidR="000838EB" w:rsidRPr="00CA0AE3" w:rsidRDefault="000838EB" w:rsidP="000838EB">
            <w:pPr>
              <w:pStyle w:val="Default"/>
              <w:rPr>
                <w:b/>
                <w:sz w:val="22"/>
                <w:szCs w:val="22"/>
              </w:rPr>
            </w:pPr>
            <w:r w:rsidRPr="00CA0AE3">
              <w:rPr>
                <w:b/>
                <w:sz w:val="22"/>
                <w:szCs w:val="22"/>
              </w:rPr>
              <w:lastRenderedPageBreak/>
              <w:t>Core Components</w:t>
            </w:r>
          </w:p>
        </w:tc>
      </w:tr>
      <w:tr w:rsidR="000838EB" w:rsidRPr="00CA0AE3" w:rsidTr="00CD2D19">
        <w:trPr>
          <w:trHeight w:val="1605"/>
        </w:trPr>
        <w:tc>
          <w:tcPr>
            <w:tcW w:w="8801" w:type="dxa"/>
            <w:gridSpan w:val="2"/>
          </w:tcPr>
          <w:p w:rsidR="000838EB" w:rsidRPr="00CA0AE3" w:rsidRDefault="000838EB" w:rsidP="00CD2D19">
            <w:pPr>
              <w:pStyle w:val="Default"/>
              <w:rPr>
                <w:sz w:val="22"/>
                <w:szCs w:val="22"/>
              </w:rPr>
            </w:pPr>
            <w:r w:rsidRPr="00CA0AE3">
              <w:rPr>
                <w:sz w:val="22"/>
                <w:szCs w:val="22"/>
              </w:rPr>
              <w:t>This initiative, if undertaken, may include the following components:</w:t>
            </w:r>
          </w:p>
          <w:p w:rsidR="000838EB" w:rsidRPr="00CA0AE3" w:rsidRDefault="000838EB" w:rsidP="00CD2D19">
            <w:pPr>
              <w:pStyle w:val="Default"/>
              <w:rPr>
                <w:sz w:val="22"/>
                <w:szCs w:val="22"/>
              </w:rPr>
            </w:pPr>
          </w:p>
          <w:p w:rsidR="000838EB" w:rsidRPr="00CA0AE3" w:rsidRDefault="000838EB" w:rsidP="000838EB">
            <w:pPr>
              <w:pStyle w:val="Default"/>
              <w:numPr>
                <w:ilvl w:val="0"/>
                <w:numId w:val="71"/>
              </w:numPr>
              <w:rPr>
                <w:b/>
                <w:sz w:val="22"/>
                <w:szCs w:val="22"/>
              </w:rPr>
            </w:pPr>
            <w:r w:rsidRPr="00CA0AE3">
              <w:rPr>
                <w:b/>
                <w:sz w:val="22"/>
                <w:szCs w:val="22"/>
              </w:rPr>
              <w:t xml:space="preserve">Improve screening, treatment, and outcomes for depression and anxiety </w:t>
            </w:r>
          </w:p>
          <w:p w:rsidR="000838EB" w:rsidRPr="00CA0AE3" w:rsidRDefault="000838EB" w:rsidP="000838EB">
            <w:pPr>
              <w:pStyle w:val="Default"/>
              <w:numPr>
                <w:ilvl w:val="0"/>
                <w:numId w:val="80"/>
              </w:numPr>
              <w:rPr>
                <w:sz w:val="22"/>
                <w:szCs w:val="22"/>
              </w:rPr>
            </w:pPr>
            <w:r w:rsidRPr="00CA0AE3">
              <w:rPr>
                <w:sz w:val="22"/>
                <w:szCs w:val="22"/>
              </w:rPr>
              <w:t>Build upon overall adult wellbeing screening using validated instruments including the PHQ-9, GAD-7, NIAAA-1, NIDA-1, AUDIT and DAST</w:t>
            </w:r>
          </w:p>
          <w:p w:rsidR="000838EB" w:rsidRPr="00CA0AE3" w:rsidRDefault="000838EB" w:rsidP="000838EB">
            <w:pPr>
              <w:pStyle w:val="Default"/>
              <w:numPr>
                <w:ilvl w:val="0"/>
                <w:numId w:val="80"/>
              </w:numPr>
              <w:rPr>
                <w:sz w:val="22"/>
                <w:szCs w:val="22"/>
              </w:rPr>
            </w:pPr>
            <w:r w:rsidRPr="00CA0AE3">
              <w:rPr>
                <w:sz w:val="22"/>
                <w:szCs w:val="22"/>
              </w:rPr>
              <w:t>Evaluate local and national protocols for suicide risk assessment and management; design and implement appropriate local practices.</w:t>
            </w:r>
          </w:p>
          <w:p w:rsidR="000838EB" w:rsidRPr="00CA0AE3" w:rsidRDefault="000838EB" w:rsidP="000838EB">
            <w:pPr>
              <w:pStyle w:val="Default"/>
              <w:numPr>
                <w:ilvl w:val="0"/>
                <w:numId w:val="80"/>
              </w:numPr>
              <w:rPr>
                <w:sz w:val="22"/>
                <w:szCs w:val="22"/>
              </w:rPr>
            </w:pPr>
            <w:r w:rsidRPr="00CA0AE3">
              <w:rPr>
                <w:sz w:val="22"/>
                <w:szCs w:val="22"/>
              </w:rPr>
              <w:t>Improve referral management across the care continuum according to the Stepped Model of Care, including ongoing assessment of patient severity and type seen by integrated behavioral health staff and those referred to specialty mental health.  Work to formalize tools to manage capacity and prioritization of patients as appropriate.</w:t>
            </w:r>
          </w:p>
          <w:p w:rsidR="000838EB" w:rsidRPr="00CA0AE3" w:rsidRDefault="000838EB" w:rsidP="000838EB">
            <w:pPr>
              <w:pStyle w:val="Default"/>
              <w:numPr>
                <w:ilvl w:val="0"/>
                <w:numId w:val="80"/>
              </w:numPr>
              <w:rPr>
                <w:sz w:val="22"/>
                <w:szCs w:val="22"/>
              </w:rPr>
            </w:pPr>
            <w:r w:rsidRPr="00CA0AE3">
              <w:rPr>
                <w:sz w:val="22"/>
                <w:szCs w:val="22"/>
              </w:rPr>
              <w:t>Promote patient engagement in care by expanding access to initiatives such as mindfulness-based stress reduction groups, self-help mobile technology, and peer-support groups.</w:t>
            </w:r>
          </w:p>
          <w:p w:rsidR="000838EB" w:rsidRPr="00CA0AE3" w:rsidRDefault="000838EB" w:rsidP="000838EB">
            <w:pPr>
              <w:pStyle w:val="Default"/>
              <w:numPr>
                <w:ilvl w:val="0"/>
                <w:numId w:val="80"/>
              </w:numPr>
              <w:rPr>
                <w:sz w:val="22"/>
                <w:szCs w:val="22"/>
              </w:rPr>
            </w:pPr>
            <w:r w:rsidRPr="00CA0AE3">
              <w:rPr>
                <w:sz w:val="22"/>
                <w:szCs w:val="22"/>
              </w:rPr>
              <w:t>Monitor and continuously improve primary care and behavioral health staff confidence in managing appropriate behavioral health conditions, satisfaction and skills with Primary Care Behavioral Health Integration.</w:t>
            </w:r>
          </w:p>
          <w:p w:rsidR="000838EB" w:rsidRPr="00CA0AE3" w:rsidRDefault="000838EB" w:rsidP="000838EB">
            <w:pPr>
              <w:pStyle w:val="Default"/>
              <w:numPr>
                <w:ilvl w:val="0"/>
                <w:numId w:val="80"/>
              </w:numPr>
              <w:rPr>
                <w:sz w:val="22"/>
                <w:szCs w:val="22"/>
              </w:rPr>
            </w:pPr>
            <w:r w:rsidRPr="00CA0AE3">
              <w:rPr>
                <w:sz w:val="22"/>
                <w:szCs w:val="22"/>
              </w:rPr>
              <w:t>Optimize care for moderate and severe mood disorder patients in primary care (i.e. those who require specialty mental health care for conditions like bi-polar and schizoaffective disorders, but do not connect there)</w:t>
            </w:r>
          </w:p>
          <w:p w:rsidR="000838EB" w:rsidRPr="00CA0AE3" w:rsidRDefault="000838EB" w:rsidP="000838EB">
            <w:pPr>
              <w:pStyle w:val="Default"/>
              <w:numPr>
                <w:ilvl w:val="0"/>
                <w:numId w:val="80"/>
              </w:numPr>
              <w:rPr>
                <w:sz w:val="22"/>
                <w:szCs w:val="22"/>
              </w:rPr>
            </w:pPr>
            <w:r w:rsidRPr="00CA0AE3">
              <w:rPr>
                <w:sz w:val="22"/>
                <w:szCs w:val="22"/>
              </w:rPr>
              <w:t>Improve rates of screening/follow-up/improvement /remission in depression/anxiety</w:t>
            </w:r>
          </w:p>
          <w:p w:rsidR="000838EB" w:rsidRPr="00CA0AE3" w:rsidRDefault="000838EB" w:rsidP="00CD2D19">
            <w:pPr>
              <w:pStyle w:val="Default"/>
              <w:ind w:left="360"/>
              <w:rPr>
                <w:sz w:val="22"/>
                <w:szCs w:val="22"/>
              </w:rPr>
            </w:pPr>
          </w:p>
          <w:p w:rsidR="000838EB" w:rsidRPr="00CA0AE3" w:rsidRDefault="000838EB" w:rsidP="000838EB">
            <w:pPr>
              <w:pStyle w:val="Default"/>
              <w:numPr>
                <w:ilvl w:val="0"/>
                <w:numId w:val="71"/>
              </w:numPr>
              <w:rPr>
                <w:b/>
                <w:sz w:val="22"/>
                <w:szCs w:val="22"/>
              </w:rPr>
            </w:pPr>
            <w:r w:rsidRPr="00CA0AE3">
              <w:rPr>
                <w:b/>
                <w:sz w:val="22"/>
                <w:szCs w:val="22"/>
              </w:rPr>
              <w:t>Optimize primary care screening, diagnosis, and treatment for substance use disorders (SUD)</w:t>
            </w:r>
          </w:p>
          <w:p w:rsidR="000838EB" w:rsidRPr="00CA0AE3" w:rsidRDefault="000838EB" w:rsidP="000838EB">
            <w:pPr>
              <w:pStyle w:val="Default"/>
              <w:numPr>
                <w:ilvl w:val="0"/>
                <w:numId w:val="79"/>
              </w:numPr>
              <w:rPr>
                <w:sz w:val="22"/>
                <w:szCs w:val="22"/>
              </w:rPr>
            </w:pPr>
            <w:r w:rsidRPr="00CA0AE3">
              <w:rPr>
                <w:sz w:val="22"/>
                <w:szCs w:val="22"/>
              </w:rPr>
              <w:t>Enhance offerings for patients with substance use disorders in primary care (e.g. medication treatment for severe alcohol use disorder). Medication-assisted treatment (MAT) in combination with counseling and behavioral therapies can provide a whole-person approach to treatment of substance use disorders.</w:t>
            </w:r>
          </w:p>
          <w:p w:rsidR="000838EB" w:rsidRPr="00CA0AE3" w:rsidRDefault="000838EB" w:rsidP="000838EB">
            <w:pPr>
              <w:pStyle w:val="Default"/>
              <w:numPr>
                <w:ilvl w:val="1"/>
                <w:numId w:val="79"/>
              </w:numPr>
              <w:rPr>
                <w:sz w:val="22"/>
                <w:szCs w:val="22"/>
              </w:rPr>
            </w:pPr>
            <w:r w:rsidRPr="00CA0AE3">
              <w:rPr>
                <w:sz w:val="22"/>
                <w:szCs w:val="22"/>
              </w:rPr>
              <w:t>Expand offerings in groups in primary care setting (peer support or staff-facilitated)</w:t>
            </w:r>
          </w:p>
          <w:p w:rsidR="000838EB" w:rsidRPr="00CA0AE3" w:rsidRDefault="000838EB" w:rsidP="000838EB">
            <w:pPr>
              <w:pStyle w:val="Default"/>
              <w:numPr>
                <w:ilvl w:val="1"/>
                <w:numId w:val="79"/>
              </w:numPr>
              <w:rPr>
                <w:sz w:val="22"/>
                <w:szCs w:val="22"/>
              </w:rPr>
            </w:pPr>
            <w:r w:rsidRPr="00CA0AE3">
              <w:rPr>
                <w:sz w:val="22"/>
                <w:szCs w:val="22"/>
              </w:rPr>
              <w:t>Enhanced training for primary care providers</w:t>
            </w:r>
          </w:p>
          <w:p w:rsidR="000838EB" w:rsidRPr="00CA0AE3" w:rsidRDefault="000838EB" w:rsidP="000838EB">
            <w:pPr>
              <w:pStyle w:val="Default"/>
              <w:numPr>
                <w:ilvl w:val="1"/>
                <w:numId w:val="79"/>
              </w:numPr>
              <w:rPr>
                <w:sz w:val="22"/>
                <w:szCs w:val="22"/>
              </w:rPr>
            </w:pPr>
            <w:r w:rsidRPr="00CA0AE3">
              <w:rPr>
                <w:sz w:val="22"/>
                <w:szCs w:val="22"/>
              </w:rPr>
              <w:t>Expand use of medication-assisted treatment (MAT) for opioid use disorders in primary care, including buprenorphine and naltrexone, which are medications currently approved by the Food and Drug Administration for the treatment of opioid dependence through medication-assisted treatment. Naltrexone may also be used in the treatment of alcohol use disorders.</w:t>
            </w:r>
            <w:r w:rsidRPr="00CA0AE3">
              <w:rPr>
                <w:rStyle w:val="FootnoteReference"/>
                <w:sz w:val="22"/>
                <w:szCs w:val="22"/>
              </w:rPr>
              <w:footnoteReference w:id="59"/>
            </w:r>
            <w:r w:rsidRPr="00CA0AE3">
              <w:rPr>
                <w:sz w:val="22"/>
                <w:szCs w:val="22"/>
              </w:rPr>
              <w:t xml:space="preserve">  </w:t>
            </w:r>
          </w:p>
          <w:p w:rsidR="000838EB" w:rsidRPr="00CA0AE3" w:rsidRDefault="000838EB" w:rsidP="000838EB">
            <w:pPr>
              <w:pStyle w:val="Default"/>
              <w:numPr>
                <w:ilvl w:val="0"/>
                <w:numId w:val="79"/>
              </w:numPr>
              <w:rPr>
                <w:sz w:val="22"/>
                <w:szCs w:val="22"/>
              </w:rPr>
            </w:pPr>
            <w:r w:rsidRPr="00CA0AE3">
              <w:rPr>
                <w:sz w:val="22"/>
                <w:szCs w:val="22"/>
              </w:rPr>
              <w:lastRenderedPageBreak/>
              <w:t>Conduct ongoing program evaluation and adaptation of protocols for Screening, Brief Intervention and Referral to Treatment (SBIRT) for treatment of less-severe disorders in primary care</w:t>
            </w:r>
          </w:p>
          <w:p w:rsidR="000838EB" w:rsidRPr="00CA0AE3" w:rsidRDefault="000838EB" w:rsidP="000838EB">
            <w:pPr>
              <w:pStyle w:val="Default"/>
              <w:numPr>
                <w:ilvl w:val="0"/>
                <w:numId w:val="79"/>
              </w:numPr>
              <w:rPr>
                <w:sz w:val="22"/>
                <w:szCs w:val="22"/>
              </w:rPr>
            </w:pPr>
            <w:r w:rsidRPr="00CA0AE3">
              <w:rPr>
                <w:sz w:val="22"/>
                <w:szCs w:val="22"/>
              </w:rPr>
              <w:t>Improve communication and shared decision-making among staff at points of transition in care, including inpatient/outpatient.</w:t>
            </w:r>
          </w:p>
          <w:p w:rsidR="000838EB" w:rsidRPr="00CA0AE3" w:rsidRDefault="000838EB" w:rsidP="000838EB">
            <w:pPr>
              <w:pStyle w:val="Default"/>
              <w:numPr>
                <w:ilvl w:val="0"/>
                <w:numId w:val="79"/>
              </w:numPr>
              <w:rPr>
                <w:sz w:val="22"/>
                <w:szCs w:val="22"/>
              </w:rPr>
            </w:pPr>
            <w:r w:rsidRPr="00CA0AE3">
              <w:rPr>
                <w:sz w:val="22"/>
                <w:szCs w:val="22"/>
              </w:rPr>
              <w:t>Develop peer support programming for SUD.</w:t>
            </w:r>
          </w:p>
          <w:p w:rsidR="000838EB" w:rsidRPr="00CA0AE3" w:rsidRDefault="000838EB" w:rsidP="00CD2D19">
            <w:pPr>
              <w:pStyle w:val="Default"/>
              <w:ind w:left="360"/>
              <w:rPr>
                <w:b/>
                <w:sz w:val="22"/>
                <w:szCs w:val="22"/>
              </w:rPr>
            </w:pPr>
          </w:p>
          <w:p w:rsidR="000838EB" w:rsidRPr="00CA0AE3" w:rsidRDefault="000838EB" w:rsidP="000838EB">
            <w:pPr>
              <w:pStyle w:val="Default"/>
              <w:numPr>
                <w:ilvl w:val="0"/>
                <w:numId w:val="71"/>
              </w:numPr>
              <w:rPr>
                <w:b/>
                <w:sz w:val="22"/>
                <w:szCs w:val="22"/>
              </w:rPr>
            </w:pPr>
            <w:r w:rsidRPr="00CA0AE3">
              <w:rPr>
                <w:b/>
                <w:sz w:val="22"/>
                <w:szCs w:val="22"/>
              </w:rPr>
              <w:t>Develop programming for chronic pain management in primary care</w:t>
            </w:r>
          </w:p>
          <w:p w:rsidR="005F46C3" w:rsidRPr="00CA0AE3" w:rsidRDefault="000838EB">
            <w:pPr>
              <w:pStyle w:val="Default"/>
              <w:numPr>
                <w:ilvl w:val="0"/>
                <w:numId w:val="78"/>
              </w:numPr>
              <w:rPr>
                <w:sz w:val="22"/>
                <w:szCs w:val="22"/>
              </w:rPr>
            </w:pPr>
            <w:r w:rsidRPr="00CA0AE3">
              <w:rPr>
                <w:sz w:val="22"/>
                <w:szCs w:val="22"/>
              </w:rPr>
              <w:t>Explore alternatives to chronic opioid therapy for pain management as warranted</w:t>
            </w:r>
          </w:p>
          <w:p w:rsidR="005F46C3" w:rsidRPr="00CA0AE3" w:rsidRDefault="000838EB">
            <w:pPr>
              <w:pStyle w:val="Default"/>
              <w:numPr>
                <w:ilvl w:val="0"/>
                <w:numId w:val="78"/>
              </w:numPr>
              <w:rPr>
                <w:sz w:val="22"/>
                <w:szCs w:val="22"/>
              </w:rPr>
            </w:pPr>
            <w:r w:rsidRPr="00CA0AE3">
              <w:rPr>
                <w:sz w:val="22"/>
                <w:szCs w:val="22"/>
              </w:rPr>
              <w:t>Evaluate evidence base, payor coverage, landscape of local services, feasibility, and patient needs for chronic pain management services (including psychotherapy, mindfulness, acupuncture, biofeedback, and tai chi /  yoga)</w:t>
            </w:r>
          </w:p>
          <w:p w:rsidR="005F46C3" w:rsidRPr="00CA0AE3" w:rsidRDefault="000838EB">
            <w:pPr>
              <w:pStyle w:val="Default"/>
              <w:numPr>
                <w:ilvl w:val="0"/>
                <w:numId w:val="78"/>
              </w:numPr>
              <w:rPr>
                <w:sz w:val="22"/>
                <w:szCs w:val="22"/>
              </w:rPr>
            </w:pPr>
            <w:r w:rsidRPr="00CA0AE3">
              <w:rPr>
                <w:sz w:val="22"/>
                <w:szCs w:val="22"/>
              </w:rPr>
              <w:t>Build and expand group- and individual-based Cognitive Behavioral Therapy and mindfulness treatment strategies, based on above-mentioned evaluation (including through training of integrated mental health staff)</w:t>
            </w:r>
          </w:p>
          <w:p w:rsidR="005F46C3" w:rsidRPr="00CA0AE3" w:rsidRDefault="000838EB">
            <w:pPr>
              <w:pStyle w:val="Default"/>
              <w:numPr>
                <w:ilvl w:val="0"/>
                <w:numId w:val="78"/>
              </w:numPr>
              <w:rPr>
                <w:sz w:val="22"/>
                <w:szCs w:val="22"/>
              </w:rPr>
            </w:pPr>
            <w:r w:rsidRPr="00CA0AE3">
              <w:rPr>
                <w:sz w:val="22"/>
                <w:szCs w:val="22"/>
              </w:rPr>
              <w:t>Develop expedited referral pathways to physical therapy to support effective chronic pain management.</w:t>
            </w:r>
          </w:p>
          <w:p w:rsidR="005F46C3" w:rsidRPr="00CA0AE3" w:rsidRDefault="000838EB">
            <w:pPr>
              <w:pStyle w:val="Default"/>
              <w:numPr>
                <w:ilvl w:val="0"/>
                <w:numId w:val="78"/>
              </w:numPr>
              <w:rPr>
                <w:sz w:val="22"/>
                <w:szCs w:val="22"/>
              </w:rPr>
            </w:pPr>
            <w:r w:rsidRPr="00CA0AE3">
              <w:rPr>
                <w:sz w:val="22"/>
                <w:szCs w:val="22"/>
              </w:rPr>
              <w:t>Establish a system-wide provider-to-provider peer committee for review of challenging cases</w:t>
            </w:r>
          </w:p>
          <w:p w:rsidR="005F46C3" w:rsidRPr="00CA0AE3" w:rsidRDefault="000838EB">
            <w:pPr>
              <w:pStyle w:val="Default"/>
              <w:numPr>
                <w:ilvl w:val="0"/>
                <w:numId w:val="78"/>
              </w:numPr>
              <w:rPr>
                <w:sz w:val="22"/>
                <w:szCs w:val="22"/>
              </w:rPr>
            </w:pPr>
            <w:r w:rsidRPr="00CA0AE3">
              <w:rPr>
                <w:sz w:val="22"/>
                <w:szCs w:val="22"/>
              </w:rPr>
              <w:t>Create a registry for chronic opioid and other high-risk prescriptions and develop a system for reviewing and optimizing care</w:t>
            </w:r>
          </w:p>
          <w:p w:rsidR="005F46C3" w:rsidRPr="00CA0AE3" w:rsidRDefault="000838EB">
            <w:pPr>
              <w:pStyle w:val="Default"/>
              <w:numPr>
                <w:ilvl w:val="0"/>
                <w:numId w:val="78"/>
              </w:numPr>
              <w:rPr>
                <w:sz w:val="22"/>
                <w:szCs w:val="22"/>
              </w:rPr>
            </w:pPr>
            <w:r w:rsidRPr="00CA0AE3">
              <w:rPr>
                <w:sz w:val="22"/>
                <w:szCs w:val="22"/>
              </w:rPr>
              <w:t>Ensure screening and monitoring of chronic pain co-morbidities.</w:t>
            </w:r>
          </w:p>
          <w:p w:rsidR="000838EB" w:rsidRPr="00CA0AE3" w:rsidRDefault="000838EB" w:rsidP="00CD2D19">
            <w:pPr>
              <w:pStyle w:val="Default"/>
              <w:rPr>
                <w:b/>
                <w:sz w:val="22"/>
                <w:szCs w:val="22"/>
              </w:rPr>
            </w:pPr>
          </w:p>
          <w:p w:rsidR="000838EB" w:rsidRPr="00CA0AE3" w:rsidRDefault="000838EB" w:rsidP="000838EB">
            <w:pPr>
              <w:pStyle w:val="Default"/>
              <w:numPr>
                <w:ilvl w:val="0"/>
                <w:numId w:val="71"/>
              </w:numPr>
              <w:rPr>
                <w:b/>
                <w:sz w:val="22"/>
                <w:szCs w:val="22"/>
              </w:rPr>
            </w:pPr>
            <w:r w:rsidRPr="00CA0AE3">
              <w:rPr>
                <w:b/>
                <w:sz w:val="22"/>
                <w:szCs w:val="22"/>
              </w:rPr>
              <w:t>Screen and follow-up for high prevalence BH conditions for children and adolescents</w:t>
            </w:r>
          </w:p>
          <w:p w:rsidR="005F46C3" w:rsidRPr="00CA0AE3" w:rsidRDefault="000838EB">
            <w:pPr>
              <w:pStyle w:val="Default"/>
              <w:numPr>
                <w:ilvl w:val="0"/>
                <w:numId w:val="77"/>
              </w:numPr>
              <w:rPr>
                <w:sz w:val="22"/>
                <w:szCs w:val="22"/>
              </w:rPr>
            </w:pPr>
            <w:r w:rsidRPr="00CA0AE3">
              <w:rPr>
                <w:sz w:val="22"/>
                <w:szCs w:val="22"/>
              </w:rPr>
              <w:t xml:space="preserve">Ensure routine behavioral health screening for the child and adolescent population using validated screeners, such as the SWYC, PSC, and </w:t>
            </w:r>
            <w:proofErr w:type="gramStart"/>
            <w:r w:rsidRPr="00CA0AE3">
              <w:rPr>
                <w:sz w:val="22"/>
                <w:szCs w:val="22"/>
              </w:rPr>
              <w:t>CRAFFT, that</w:t>
            </w:r>
            <w:proofErr w:type="gramEnd"/>
            <w:r w:rsidRPr="00CA0AE3">
              <w:rPr>
                <w:sz w:val="22"/>
                <w:szCs w:val="22"/>
              </w:rPr>
              <w:t xml:space="preserve"> comply with Massachusetts legal requirements and support the most current clinical practice guidelines.</w:t>
            </w:r>
          </w:p>
          <w:p w:rsidR="005F46C3" w:rsidRPr="00CA0AE3" w:rsidRDefault="000838EB">
            <w:pPr>
              <w:pStyle w:val="Default"/>
              <w:numPr>
                <w:ilvl w:val="0"/>
                <w:numId w:val="77"/>
              </w:numPr>
              <w:rPr>
                <w:sz w:val="22"/>
                <w:szCs w:val="22"/>
              </w:rPr>
            </w:pPr>
            <w:r w:rsidRPr="00CA0AE3">
              <w:rPr>
                <w:sz w:val="22"/>
                <w:szCs w:val="22"/>
              </w:rPr>
              <w:t>Standardize screening for developmental and behavioral health conditions, including depression and substance use.</w:t>
            </w:r>
          </w:p>
          <w:p w:rsidR="005F46C3" w:rsidRPr="00CA0AE3" w:rsidRDefault="000838EB">
            <w:pPr>
              <w:pStyle w:val="Default"/>
              <w:numPr>
                <w:ilvl w:val="0"/>
                <w:numId w:val="77"/>
              </w:numPr>
              <w:rPr>
                <w:sz w:val="22"/>
                <w:szCs w:val="22"/>
              </w:rPr>
            </w:pPr>
            <w:r w:rsidRPr="00CA0AE3">
              <w:rPr>
                <w:sz w:val="22"/>
                <w:szCs w:val="22"/>
              </w:rPr>
              <w:t xml:space="preserve">Incorporate routine screening for post-partum depression into pediatric primary care visits. </w:t>
            </w:r>
          </w:p>
          <w:p w:rsidR="005F46C3" w:rsidRPr="00CA0AE3" w:rsidRDefault="000838EB">
            <w:pPr>
              <w:pStyle w:val="Default"/>
              <w:numPr>
                <w:ilvl w:val="0"/>
                <w:numId w:val="77"/>
              </w:numPr>
              <w:rPr>
                <w:sz w:val="22"/>
                <w:szCs w:val="22"/>
              </w:rPr>
            </w:pPr>
            <w:r w:rsidRPr="00CA0AE3">
              <w:rPr>
                <w:sz w:val="22"/>
                <w:szCs w:val="22"/>
              </w:rPr>
              <w:t>Develop and deploy registries to facilitate and track appropriate referrals and care.</w:t>
            </w:r>
          </w:p>
          <w:p w:rsidR="005F46C3" w:rsidRPr="00CA0AE3" w:rsidRDefault="000838EB">
            <w:pPr>
              <w:pStyle w:val="Default"/>
              <w:numPr>
                <w:ilvl w:val="0"/>
                <w:numId w:val="77"/>
              </w:numPr>
              <w:rPr>
                <w:sz w:val="22"/>
                <w:szCs w:val="22"/>
              </w:rPr>
            </w:pPr>
            <w:r w:rsidRPr="00CA0AE3">
              <w:rPr>
                <w:sz w:val="22"/>
                <w:szCs w:val="22"/>
              </w:rPr>
              <w:t>Introduce SBIRT for adolescents with or at risk for substance use disorders</w:t>
            </w:r>
          </w:p>
          <w:p w:rsidR="005F46C3" w:rsidRPr="00CA0AE3" w:rsidRDefault="000838EB">
            <w:pPr>
              <w:pStyle w:val="Default"/>
              <w:numPr>
                <w:ilvl w:val="0"/>
                <w:numId w:val="77"/>
              </w:numPr>
              <w:rPr>
                <w:sz w:val="22"/>
                <w:szCs w:val="22"/>
              </w:rPr>
            </w:pPr>
            <w:r w:rsidRPr="00CA0AE3">
              <w:rPr>
                <w:sz w:val="22"/>
                <w:szCs w:val="22"/>
              </w:rPr>
              <w:t xml:space="preserve">Assess and analyze gaps in services and care for other childhood behavioral and developmental conditions, and improve care as warranted. </w:t>
            </w:r>
          </w:p>
          <w:p w:rsidR="000838EB" w:rsidRPr="00CA0AE3" w:rsidRDefault="000838EB" w:rsidP="00781BA6">
            <w:pPr>
              <w:pStyle w:val="Default"/>
              <w:numPr>
                <w:ilvl w:val="0"/>
                <w:numId w:val="77"/>
              </w:numPr>
              <w:rPr>
                <w:sz w:val="22"/>
                <w:szCs w:val="22"/>
              </w:rPr>
            </w:pPr>
            <w:r w:rsidRPr="00CA0AE3">
              <w:rPr>
                <w:sz w:val="22"/>
                <w:szCs w:val="22"/>
              </w:rPr>
              <w:t>Improve referral management across the care continuum, including ongoing assessment of patient severity and type seen by integrated behavioral health staff and those referred to specialty mental health.  Work to formalize tools to manage capacity and prioritization of patients as appropriate.</w:t>
            </w:r>
          </w:p>
        </w:tc>
      </w:tr>
    </w:tbl>
    <w:p w:rsidR="000838EB" w:rsidRPr="00CA0AE3" w:rsidRDefault="000838EB"/>
    <w:p w:rsidR="00E37119" w:rsidRPr="00CA0AE3" w:rsidRDefault="00E37119" w:rsidP="00E37119">
      <w:pPr>
        <w:pStyle w:val="ListParagraph"/>
        <w:autoSpaceDE w:val="0"/>
        <w:autoSpaceDN w:val="0"/>
        <w:adjustRightInd w:val="0"/>
        <w:spacing w:after="0" w:line="240" w:lineRule="auto"/>
        <w:ind w:left="1080"/>
        <w:jc w:val="both"/>
      </w:pPr>
    </w:p>
    <w:p w:rsidR="00ED4745" w:rsidRPr="00CA0AE3" w:rsidRDefault="00E37119">
      <w:pPr>
        <w:spacing w:after="0" w:line="240" w:lineRule="auto"/>
        <w:sectPr w:rsidR="00ED4745" w:rsidRPr="00CA0AE3" w:rsidSect="00147DA7">
          <w:headerReference w:type="even" r:id="rId8"/>
          <w:headerReference w:type="default" r:id="rId9"/>
          <w:footerReference w:type="even" r:id="rId10"/>
          <w:footerReference w:type="default" r:id="rId11"/>
          <w:headerReference w:type="first" r:id="rId12"/>
          <w:footerReference w:type="first" r:id="rId13"/>
          <w:pgSz w:w="12240" w:h="15840"/>
          <w:pgMar w:top="1260" w:right="1260" w:bottom="1260" w:left="1440" w:header="720" w:footer="720" w:gutter="0"/>
          <w:cols w:space="720"/>
          <w:docGrid w:linePitch="360"/>
        </w:sectPr>
      </w:pPr>
      <w:r w:rsidRPr="00CA0AE3">
        <w:br w:type="page"/>
      </w:r>
    </w:p>
    <w:tbl>
      <w:tblPr>
        <w:tblW w:w="0" w:type="auto"/>
        <w:jc w:val="center"/>
        <w:tblCellMar>
          <w:left w:w="0" w:type="dxa"/>
          <w:right w:w="0" w:type="dxa"/>
        </w:tblCellMar>
        <w:tblLook w:val="04A0" w:firstRow="1" w:lastRow="0" w:firstColumn="1" w:lastColumn="0" w:noHBand="0" w:noVBand="1"/>
      </w:tblPr>
      <w:tblGrid>
        <w:gridCol w:w="370"/>
        <w:gridCol w:w="1455"/>
        <w:gridCol w:w="1159"/>
        <w:gridCol w:w="1421"/>
        <w:gridCol w:w="1457"/>
        <w:gridCol w:w="1068"/>
        <w:gridCol w:w="1068"/>
        <w:gridCol w:w="1069"/>
        <w:gridCol w:w="1068"/>
        <w:gridCol w:w="1069"/>
        <w:gridCol w:w="2096"/>
      </w:tblGrid>
      <w:tr w:rsidR="00CD2D19" w:rsidRPr="00CA0AE3" w:rsidTr="00967218">
        <w:trPr>
          <w:cantSplit/>
          <w:tblHeader/>
          <w:jc w:val="center"/>
        </w:trPr>
        <w:tc>
          <w:tcPr>
            <w:tcW w:w="0" w:type="auto"/>
            <w:gridSpan w:val="11"/>
            <w:tcBorders>
              <w:top w:val="single" w:sz="8" w:space="0" w:color="000000"/>
              <w:left w:val="single" w:sz="8" w:space="0" w:color="000000"/>
              <w:bottom w:val="single" w:sz="8" w:space="0" w:color="000000"/>
              <w:right w:val="single" w:sz="8" w:space="0" w:color="000000"/>
            </w:tcBorders>
            <w:shd w:val="clear" w:color="auto" w:fill="C6D9F1" w:themeFill="text2" w:themeFillTint="33"/>
          </w:tcPr>
          <w:p w:rsidR="00CD2D19" w:rsidRPr="00CA0AE3" w:rsidRDefault="00CD2D19" w:rsidP="00967218">
            <w:pPr>
              <w:spacing w:after="0" w:line="240" w:lineRule="auto"/>
              <w:rPr>
                <w:rFonts w:eastAsia="Times New Roman"/>
                <w:b/>
                <w:bCs/>
                <w:color w:val="000000"/>
                <w:kern w:val="24"/>
                <w:sz w:val="20"/>
                <w:szCs w:val="20"/>
              </w:rPr>
            </w:pPr>
            <w:r w:rsidRPr="00CA0AE3">
              <w:rPr>
                <w:rFonts w:eastAsia="Times New Roman"/>
                <w:b/>
                <w:bCs/>
                <w:color w:val="000000"/>
                <w:kern w:val="24"/>
                <w:sz w:val="20"/>
                <w:szCs w:val="20"/>
              </w:rPr>
              <w:lastRenderedPageBreak/>
              <w:t>Required Measure Slate:  Improvement and Outcomes Measures</w:t>
            </w:r>
          </w:p>
          <w:p w:rsidR="00CD2D19" w:rsidRPr="00CA0AE3" w:rsidRDefault="00CD2D19" w:rsidP="00BD6AFA">
            <w:pPr>
              <w:spacing w:after="0" w:line="240" w:lineRule="auto"/>
              <w:rPr>
                <w:rFonts w:eastAsia="Times New Roman"/>
                <w:b/>
                <w:bCs/>
                <w:color w:val="000000"/>
                <w:kern w:val="24"/>
                <w:sz w:val="20"/>
                <w:szCs w:val="20"/>
              </w:rPr>
            </w:pPr>
            <w:r w:rsidRPr="00CA0AE3">
              <w:rPr>
                <w:b/>
                <w:i/>
                <w:sz w:val="20"/>
                <w:szCs w:val="20"/>
              </w:rPr>
              <w:t>(Achieve 2 out of 4 in Year 1, 4 of 1</w:t>
            </w:r>
            <w:r w:rsidR="00BD6AFA" w:rsidRPr="00CA0AE3">
              <w:rPr>
                <w:b/>
                <w:i/>
                <w:sz w:val="20"/>
                <w:szCs w:val="20"/>
              </w:rPr>
              <w:t>1</w:t>
            </w:r>
            <w:r w:rsidRPr="00CA0AE3">
              <w:rPr>
                <w:b/>
                <w:i/>
                <w:sz w:val="20"/>
                <w:szCs w:val="20"/>
              </w:rPr>
              <w:t xml:space="preserve"> Outcome Measures in Year 2, </w:t>
            </w:r>
            <w:r w:rsidR="00BD6AFA" w:rsidRPr="00CA0AE3">
              <w:rPr>
                <w:b/>
                <w:i/>
                <w:sz w:val="20"/>
                <w:szCs w:val="20"/>
              </w:rPr>
              <w:t>5</w:t>
            </w:r>
            <w:r w:rsidRPr="00CA0AE3">
              <w:rPr>
                <w:b/>
                <w:i/>
                <w:sz w:val="20"/>
                <w:szCs w:val="20"/>
              </w:rPr>
              <w:t xml:space="preserve"> out of </w:t>
            </w:r>
            <w:proofErr w:type="gramStart"/>
            <w:r w:rsidRPr="00CA0AE3">
              <w:rPr>
                <w:b/>
                <w:i/>
                <w:sz w:val="20"/>
                <w:szCs w:val="20"/>
              </w:rPr>
              <w:t>1</w:t>
            </w:r>
            <w:r w:rsidR="00BD6AFA" w:rsidRPr="00CA0AE3">
              <w:rPr>
                <w:b/>
                <w:i/>
                <w:sz w:val="20"/>
                <w:szCs w:val="20"/>
              </w:rPr>
              <w:t>1</w:t>
            </w:r>
            <w:r w:rsidRPr="00CA0AE3">
              <w:rPr>
                <w:b/>
                <w:i/>
                <w:sz w:val="20"/>
                <w:szCs w:val="20"/>
              </w:rPr>
              <w:t xml:space="preserve">  in</w:t>
            </w:r>
            <w:proofErr w:type="gramEnd"/>
            <w:r w:rsidRPr="00CA0AE3">
              <w:rPr>
                <w:b/>
                <w:i/>
                <w:sz w:val="20"/>
                <w:szCs w:val="20"/>
              </w:rPr>
              <w:t xml:space="preserve"> Year 3, </w:t>
            </w:r>
            <w:r w:rsidR="00BD6AFA" w:rsidRPr="00CA0AE3">
              <w:rPr>
                <w:b/>
                <w:i/>
                <w:sz w:val="20"/>
                <w:szCs w:val="20"/>
              </w:rPr>
              <w:t>6</w:t>
            </w:r>
            <w:r w:rsidRPr="00CA0AE3">
              <w:rPr>
                <w:b/>
                <w:i/>
                <w:sz w:val="20"/>
                <w:szCs w:val="20"/>
              </w:rPr>
              <w:t xml:space="preserve"> out of 1</w:t>
            </w:r>
            <w:r w:rsidR="00BD6AFA" w:rsidRPr="00CA0AE3">
              <w:rPr>
                <w:b/>
                <w:i/>
                <w:sz w:val="20"/>
                <w:szCs w:val="20"/>
              </w:rPr>
              <w:t>1</w:t>
            </w:r>
            <w:r w:rsidRPr="00CA0AE3">
              <w:rPr>
                <w:b/>
                <w:i/>
                <w:sz w:val="20"/>
                <w:szCs w:val="20"/>
              </w:rPr>
              <w:t xml:space="preserve"> in Year 4, and </w:t>
            </w:r>
            <w:r w:rsidR="00BD6AFA" w:rsidRPr="00CA0AE3">
              <w:rPr>
                <w:b/>
                <w:i/>
                <w:sz w:val="20"/>
                <w:szCs w:val="20"/>
              </w:rPr>
              <w:t>7</w:t>
            </w:r>
            <w:r w:rsidR="00967218" w:rsidRPr="00CA0AE3">
              <w:rPr>
                <w:b/>
                <w:i/>
                <w:sz w:val="20"/>
                <w:szCs w:val="20"/>
              </w:rPr>
              <w:t xml:space="preserve"> </w:t>
            </w:r>
            <w:r w:rsidRPr="00CA0AE3">
              <w:rPr>
                <w:b/>
                <w:i/>
                <w:sz w:val="20"/>
                <w:szCs w:val="20"/>
              </w:rPr>
              <w:t>out of 1</w:t>
            </w:r>
            <w:r w:rsidR="00BD6AFA" w:rsidRPr="00CA0AE3">
              <w:rPr>
                <w:b/>
                <w:i/>
                <w:sz w:val="20"/>
                <w:szCs w:val="20"/>
              </w:rPr>
              <w:t>1</w:t>
            </w:r>
            <w:r w:rsidRPr="00CA0AE3">
              <w:rPr>
                <w:b/>
                <w:i/>
                <w:sz w:val="20"/>
                <w:szCs w:val="20"/>
              </w:rPr>
              <w:t xml:space="preserve"> in Year 5).</w:t>
            </w:r>
          </w:p>
        </w:tc>
      </w:tr>
      <w:tr w:rsidR="00CD2D19" w:rsidRPr="00CA0AE3" w:rsidTr="00967218">
        <w:trPr>
          <w:cantSplit/>
          <w:tblHeader/>
          <w:jc w:val="center"/>
        </w:trPr>
        <w:tc>
          <w:tcPr>
            <w:tcW w:w="0" w:type="auto"/>
            <w:gridSpan w:val="2"/>
            <w:tcBorders>
              <w:top w:val="single" w:sz="8" w:space="0" w:color="000000"/>
              <w:left w:val="single" w:sz="8" w:space="0" w:color="000000"/>
              <w:bottom w:val="single" w:sz="8" w:space="0" w:color="000000"/>
              <w:right w:val="single" w:sz="8" w:space="0" w:color="000000"/>
            </w:tcBorders>
            <w:shd w:val="clear" w:color="auto" w:fill="C6D9F1" w:themeFill="text2" w:themeFillTint="33"/>
            <w:vAlign w:val="center"/>
          </w:tcPr>
          <w:p w:rsidR="00CD2D19" w:rsidRPr="00CA0AE3" w:rsidRDefault="00CD2D19" w:rsidP="00967218">
            <w:pPr>
              <w:spacing w:after="0" w:line="240" w:lineRule="auto"/>
              <w:jc w:val="center"/>
              <w:rPr>
                <w:rFonts w:eastAsia="Times New Roman"/>
                <w:b/>
                <w:bCs/>
                <w:color w:val="000000"/>
                <w:kern w:val="24"/>
                <w:sz w:val="20"/>
                <w:szCs w:val="20"/>
              </w:rPr>
            </w:pPr>
            <w:r w:rsidRPr="00CA0AE3">
              <w:rPr>
                <w:rFonts w:eastAsia="Times New Roman"/>
                <w:b/>
                <w:bCs/>
                <w:color w:val="000000"/>
                <w:kern w:val="24"/>
                <w:sz w:val="20"/>
                <w:szCs w:val="20"/>
              </w:rPr>
              <w:t>Measure Slate 1</w:t>
            </w:r>
          </w:p>
        </w:tc>
        <w:tc>
          <w:tcPr>
            <w:tcW w:w="0" w:type="auto"/>
            <w:gridSpan w:val="3"/>
            <w:tcBorders>
              <w:top w:val="single" w:sz="8" w:space="0" w:color="000000"/>
              <w:left w:val="single" w:sz="8" w:space="0" w:color="000000"/>
              <w:bottom w:val="single" w:sz="8" w:space="0" w:color="000000"/>
              <w:right w:val="single" w:sz="8" w:space="0" w:color="000000"/>
            </w:tcBorders>
            <w:shd w:val="clear" w:color="auto" w:fill="C6D9F1" w:themeFill="text2" w:themeFillTint="33"/>
            <w:tcMar>
              <w:top w:w="13" w:type="dxa"/>
              <w:left w:w="93" w:type="dxa"/>
              <w:bottom w:w="0" w:type="dxa"/>
              <w:right w:w="93" w:type="dxa"/>
            </w:tcMar>
            <w:vAlign w:val="center"/>
            <w:hideMark/>
          </w:tcPr>
          <w:p w:rsidR="00CD2D19" w:rsidRPr="00CA0AE3" w:rsidRDefault="00CD2D19" w:rsidP="00967218">
            <w:pPr>
              <w:spacing w:after="0" w:line="240" w:lineRule="auto"/>
              <w:jc w:val="center"/>
              <w:rPr>
                <w:rFonts w:eastAsia="Times New Roman"/>
                <w:b/>
                <w:bCs/>
                <w:kern w:val="24"/>
                <w:sz w:val="20"/>
                <w:szCs w:val="20"/>
              </w:rPr>
            </w:pPr>
            <w:r w:rsidRPr="00CA0AE3">
              <w:rPr>
                <w:rFonts w:eastAsia="Times New Roman"/>
                <w:b/>
                <w:bCs/>
                <w:kern w:val="24"/>
                <w:sz w:val="20"/>
                <w:szCs w:val="20"/>
              </w:rPr>
              <w:t>1:  Behavioral Health and Primary Care Integration</w:t>
            </w:r>
          </w:p>
        </w:tc>
        <w:tc>
          <w:tcPr>
            <w:tcW w:w="1068" w:type="dxa"/>
            <w:tcBorders>
              <w:top w:val="single" w:sz="8" w:space="0" w:color="000000"/>
              <w:left w:val="single" w:sz="8" w:space="0" w:color="000000"/>
              <w:bottom w:val="single" w:sz="8" w:space="0" w:color="000000"/>
              <w:right w:val="single" w:sz="8" w:space="0" w:color="000000"/>
            </w:tcBorders>
            <w:shd w:val="clear" w:color="auto" w:fill="C6D9F1" w:themeFill="text2" w:themeFillTint="33"/>
            <w:vAlign w:val="center"/>
          </w:tcPr>
          <w:p w:rsidR="00967218" w:rsidRPr="00CA0AE3" w:rsidRDefault="00CD2D19" w:rsidP="00967218">
            <w:pPr>
              <w:spacing w:after="0" w:line="240" w:lineRule="auto"/>
              <w:jc w:val="center"/>
              <w:rPr>
                <w:rFonts w:eastAsia="Times New Roman"/>
                <w:b/>
                <w:bCs/>
                <w:kern w:val="24"/>
                <w:sz w:val="20"/>
                <w:szCs w:val="20"/>
              </w:rPr>
            </w:pPr>
            <w:r w:rsidRPr="00CA0AE3">
              <w:rPr>
                <w:rFonts w:eastAsia="Times New Roman"/>
                <w:b/>
                <w:bCs/>
                <w:kern w:val="24"/>
                <w:sz w:val="20"/>
                <w:szCs w:val="20"/>
              </w:rPr>
              <w:t xml:space="preserve">Achieve 2 </w:t>
            </w:r>
          </w:p>
          <w:p w:rsidR="00CD2D19" w:rsidRPr="00CA0AE3" w:rsidRDefault="00CD2D19" w:rsidP="00967218">
            <w:pPr>
              <w:spacing w:after="0" w:line="240" w:lineRule="auto"/>
              <w:jc w:val="center"/>
              <w:rPr>
                <w:rFonts w:eastAsia="Times New Roman"/>
                <w:b/>
                <w:bCs/>
                <w:kern w:val="24"/>
                <w:sz w:val="20"/>
                <w:szCs w:val="20"/>
              </w:rPr>
            </w:pPr>
            <w:r w:rsidRPr="00CA0AE3">
              <w:rPr>
                <w:rFonts w:eastAsia="Times New Roman"/>
                <w:b/>
                <w:bCs/>
                <w:kern w:val="24"/>
                <w:sz w:val="20"/>
                <w:szCs w:val="20"/>
              </w:rPr>
              <w:t>of 4 Measures</w:t>
            </w:r>
          </w:p>
        </w:tc>
        <w:tc>
          <w:tcPr>
            <w:tcW w:w="1068" w:type="dxa"/>
            <w:tcBorders>
              <w:top w:val="single" w:sz="8" w:space="0" w:color="000000"/>
              <w:left w:val="single" w:sz="8" w:space="0" w:color="000000"/>
              <w:bottom w:val="single" w:sz="8" w:space="0" w:color="000000"/>
              <w:right w:val="single" w:sz="8" w:space="0" w:color="000000"/>
            </w:tcBorders>
            <w:shd w:val="clear" w:color="auto" w:fill="C6D9F1" w:themeFill="text2" w:themeFillTint="33"/>
            <w:tcMar>
              <w:top w:w="13" w:type="dxa"/>
              <w:left w:w="93" w:type="dxa"/>
              <w:bottom w:w="0" w:type="dxa"/>
              <w:right w:w="93" w:type="dxa"/>
            </w:tcMar>
            <w:vAlign w:val="center"/>
            <w:hideMark/>
          </w:tcPr>
          <w:p w:rsidR="00CD2D19" w:rsidRPr="00CA0AE3" w:rsidRDefault="00CD2D19" w:rsidP="00E651A8">
            <w:pPr>
              <w:spacing w:after="0" w:line="240" w:lineRule="auto"/>
              <w:jc w:val="center"/>
              <w:rPr>
                <w:rFonts w:eastAsia="Times New Roman"/>
                <w:b/>
                <w:bCs/>
                <w:kern w:val="24"/>
                <w:sz w:val="20"/>
                <w:szCs w:val="20"/>
              </w:rPr>
            </w:pPr>
            <w:r w:rsidRPr="00CA0AE3">
              <w:rPr>
                <w:rFonts w:eastAsia="Times New Roman"/>
                <w:b/>
                <w:bCs/>
                <w:kern w:val="24"/>
                <w:sz w:val="20"/>
                <w:szCs w:val="20"/>
              </w:rPr>
              <w:t>Achieve 4 of 1</w:t>
            </w:r>
            <w:r w:rsidR="00E651A8" w:rsidRPr="00CA0AE3">
              <w:rPr>
                <w:rFonts w:eastAsia="Times New Roman"/>
                <w:b/>
                <w:bCs/>
                <w:kern w:val="24"/>
                <w:sz w:val="20"/>
                <w:szCs w:val="20"/>
              </w:rPr>
              <w:t>1</w:t>
            </w:r>
            <w:r w:rsidRPr="00CA0AE3">
              <w:rPr>
                <w:rFonts w:eastAsia="Times New Roman"/>
                <w:b/>
                <w:bCs/>
                <w:kern w:val="24"/>
                <w:sz w:val="20"/>
                <w:szCs w:val="20"/>
              </w:rPr>
              <w:t xml:space="preserve"> Measures</w:t>
            </w:r>
          </w:p>
        </w:tc>
        <w:tc>
          <w:tcPr>
            <w:tcW w:w="1069" w:type="dxa"/>
            <w:tcBorders>
              <w:top w:val="single" w:sz="8" w:space="0" w:color="000000"/>
              <w:left w:val="single" w:sz="8" w:space="0" w:color="000000"/>
              <w:bottom w:val="single" w:sz="8" w:space="0" w:color="000000"/>
              <w:right w:val="single" w:sz="8" w:space="0" w:color="000000"/>
            </w:tcBorders>
            <w:shd w:val="clear" w:color="auto" w:fill="C6D9F1" w:themeFill="text2" w:themeFillTint="33"/>
            <w:tcMar>
              <w:top w:w="13" w:type="dxa"/>
              <w:left w:w="93" w:type="dxa"/>
              <w:bottom w:w="0" w:type="dxa"/>
              <w:right w:w="93" w:type="dxa"/>
            </w:tcMar>
            <w:vAlign w:val="center"/>
            <w:hideMark/>
          </w:tcPr>
          <w:p w:rsidR="00CD2D19" w:rsidRPr="00CA0AE3" w:rsidRDefault="00CD2D19" w:rsidP="00E651A8">
            <w:pPr>
              <w:spacing w:after="0" w:line="240" w:lineRule="auto"/>
              <w:jc w:val="center"/>
              <w:rPr>
                <w:rFonts w:eastAsia="Times New Roman"/>
                <w:b/>
                <w:bCs/>
                <w:kern w:val="24"/>
                <w:sz w:val="20"/>
                <w:szCs w:val="20"/>
              </w:rPr>
            </w:pPr>
            <w:r w:rsidRPr="00CA0AE3">
              <w:rPr>
                <w:rFonts w:eastAsia="Times New Roman"/>
                <w:b/>
                <w:bCs/>
                <w:kern w:val="24"/>
                <w:sz w:val="20"/>
                <w:szCs w:val="20"/>
              </w:rPr>
              <w:t xml:space="preserve">Achieve </w:t>
            </w:r>
            <w:r w:rsidR="00E651A8" w:rsidRPr="00CA0AE3">
              <w:rPr>
                <w:rFonts w:eastAsia="Times New Roman"/>
                <w:b/>
                <w:bCs/>
                <w:kern w:val="24"/>
                <w:sz w:val="20"/>
                <w:szCs w:val="20"/>
              </w:rPr>
              <w:t>5</w:t>
            </w:r>
            <w:r w:rsidRPr="00CA0AE3">
              <w:rPr>
                <w:rFonts w:eastAsia="Times New Roman"/>
                <w:b/>
                <w:bCs/>
                <w:kern w:val="24"/>
                <w:sz w:val="20"/>
                <w:szCs w:val="20"/>
              </w:rPr>
              <w:t xml:space="preserve"> of 1</w:t>
            </w:r>
            <w:r w:rsidR="00E651A8" w:rsidRPr="00CA0AE3">
              <w:rPr>
                <w:rFonts w:eastAsia="Times New Roman"/>
                <w:b/>
                <w:bCs/>
                <w:kern w:val="24"/>
                <w:sz w:val="20"/>
                <w:szCs w:val="20"/>
              </w:rPr>
              <w:t>1</w:t>
            </w:r>
            <w:r w:rsidRPr="00CA0AE3">
              <w:rPr>
                <w:rFonts w:eastAsia="Times New Roman"/>
                <w:b/>
                <w:bCs/>
                <w:kern w:val="24"/>
                <w:sz w:val="20"/>
                <w:szCs w:val="20"/>
              </w:rPr>
              <w:t xml:space="preserve"> Measures</w:t>
            </w:r>
          </w:p>
        </w:tc>
        <w:tc>
          <w:tcPr>
            <w:tcW w:w="1068" w:type="dxa"/>
            <w:tcBorders>
              <w:top w:val="single" w:sz="8" w:space="0" w:color="000000"/>
              <w:left w:val="single" w:sz="8" w:space="0" w:color="000000"/>
              <w:bottom w:val="single" w:sz="8" w:space="0" w:color="000000"/>
              <w:right w:val="single" w:sz="8" w:space="0" w:color="000000"/>
            </w:tcBorders>
            <w:shd w:val="clear" w:color="auto" w:fill="C6D9F1" w:themeFill="text2" w:themeFillTint="33"/>
            <w:tcMar>
              <w:top w:w="13" w:type="dxa"/>
              <w:left w:w="93" w:type="dxa"/>
              <w:bottom w:w="0" w:type="dxa"/>
              <w:right w:w="93" w:type="dxa"/>
            </w:tcMar>
            <w:vAlign w:val="center"/>
            <w:hideMark/>
          </w:tcPr>
          <w:p w:rsidR="00CD2D19" w:rsidRPr="00CA0AE3" w:rsidRDefault="00CD2D19" w:rsidP="00E651A8">
            <w:pPr>
              <w:spacing w:after="0" w:line="240" w:lineRule="auto"/>
              <w:jc w:val="center"/>
              <w:rPr>
                <w:rFonts w:eastAsia="Times New Roman"/>
                <w:b/>
                <w:bCs/>
                <w:kern w:val="24"/>
                <w:sz w:val="20"/>
                <w:szCs w:val="20"/>
              </w:rPr>
            </w:pPr>
            <w:r w:rsidRPr="00CA0AE3">
              <w:rPr>
                <w:rFonts w:eastAsia="Times New Roman"/>
                <w:b/>
                <w:bCs/>
                <w:kern w:val="24"/>
                <w:sz w:val="20"/>
                <w:szCs w:val="20"/>
              </w:rPr>
              <w:t xml:space="preserve">Achieve </w:t>
            </w:r>
            <w:r w:rsidR="00E651A8" w:rsidRPr="00CA0AE3">
              <w:rPr>
                <w:rFonts w:eastAsia="Times New Roman"/>
                <w:b/>
                <w:bCs/>
                <w:kern w:val="24"/>
                <w:sz w:val="20"/>
                <w:szCs w:val="20"/>
              </w:rPr>
              <w:t>6</w:t>
            </w:r>
            <w:r w:rsidRPr="00CA0AE3">
              <w:rPr>
                <w:rFonts w:eastAsia="Times New Roman"/>
                <w:b/>
                <w:bCs/>
                <w:kern w:val="24"/>
                <w:sz w:val="20"/>
                <w:szCs w:val="20"/>
              </w:rPr>
              <w:t xml:space="preserve"> of 1</w:t>
            </w:r>
            <w:r w:rsidR="00E651A8" w:rsidRPr="00CA0AE3">
              <w:rPr>
                <w:rFonts w:eastAsia="Times New Roman"/>
                <w:b/>
                <w:bCs/>
                <w:kern w:val="24"/>
                <w:sz w:val="20"/>
                <w:szCs w:val="20"/>
              </w:rPr>
              <w:t>1</w:t>
            </w:r>
            <w:r w:rsidRPr="00CA0AE3">
              <w:rPr>
                <w:rFonts w:eastAsia="Times New Roman"/>
                <w:b/>
                <w:bCs/>
                <w:kern w:val="24"/>
                <w:sz w:val="20"/>
                <w:szCs w:val="20"/>
              </w:rPr>
              <w:t xml:space="preserve"> Measures</w:t>
            </w:r>
          </w:p>
        </w:tc>
        <w:tc>
          <w:tcPr>
            <w:tcW w:w="1069" w:type="dxa"/>
            <w:tcBorders>
              <w:top w:val="single" w:sz="8" w:space="0" w:color="000000"/>
              <w:left w:val="single" w:sz="8" w:space="0" w:color="000000"/>
              <w:bottom w:val="single" w:sz="8" w:space="0" w:color="000000"/>
              <w:right w:val="single" w:sz="8" w:space="0" w:color="000000"/>
            </w:tcBorders>
            <w:shd w:val="clear" w:color="auto" w:fill="C6D9F1" w:themeFill="text2" w:themeFillTint="33"/>
            <w:tcMar>
              <w:top w:w="13" w:type="dxa"/>
              <w:left w:w="93" w:type="dxa"/>
              <w:bottom w:w="0" w:type="dxa"/>
              <w:right w:w="93" w:type="dxa"/>
            </w:tcMar>
            <w:vAlign w:val="center"/>
            <w:hideMark/>
          </w:tcPr>
          <w:p w:rsidR="00CD2D19" w:rsidRPr="00CA0AE3" w:rsidRDefault="00CD2D19" w:rsidP="00E651A8">
            <w:pPr>
              <w:spacing w:after="0" w:line="240" w:lineRule="auto"/>
              <w:jc w:val="center"/>
              <w:rPr>
                <w:rFonts w:eastAsia="Times New Roman"/>
                <w:b/>
                <w:bCs/>
                <w:kern w:val="24"/>
                <w:sz w:val="20"/>
                <w:szCs w:val="20"/>
              </w:rPr>
            </w:pPr>
            <w:r w:rsidRPr="00CA0AE3">
              <w:rPr>
                <w:rFonts w:eastAsia="Times New Roman"/>
                <w:b/>
                <w:bCs/>
                <w:kern w:val="24"/>
                <w:sz w:val="20"/>
                <w:szCs w:val="20"/>
              </w:rPr>
              <w:t xml:space="preserve">Achieve </w:t>
            </w:r>
            <w:r w:rsidR="00E651A8" w:rsidRPr="00CA0AE3">
              <w:rPr>
                <w:rFonts w:eastAsia="Times New Roman"/>
                <w:b/>
                <w:bCs/>
                <w:kern w:val="24"/>
                <w:sz w:val="20"/>
                <w:szCs w:val="20"/>
              </w:rPr>
              <w:t>7</w:t>
            </w:r>
            <w:r w:rsidRPr="00CA0AE3">
              <w:rPr>
                <w:rFonts w:eastAsia="Times New Roman"/>
                <w:b/>
                <w:bCs/>
                <w:kern w:val="24"/>
                <w:sz w:val="20"/>
                <w:szCs w:val="20"/>
              </w:rPr>
              <w:t xml:space="preserve"> of 1</w:t>
            </w:r>
            <w:r w:rsidR="00E651A8" w:rsidRPr="00CA0AE3">
              <w:rPr>
                <w:rFonts w:eastAsia="Times New Roman"/>
                <w:b/>
                <w:bCs/>
                <w:kern w:val="24"/>
                <w:sz w:val="20"/>
                <w:szCs w:val="20"/>
              </w:rPr>
              <w:t>1</w:t>
            </w:r>
            <w:r w:rsidRPr="00CA0AE3">
              <w:rPr>
                <w:rFonts w:eastAsia="Times New Roman"/>
                <w:b/>
                <w:bCs/>
                <w:kern w:val="24"/>
                <w:sz w:val="20"/>
                <w:szCs w:val="20"/>
              </w:rPr>
              <w:t xml:space="preserve"> Measures</w:t>
            </w:r>
          </w:p>
        </w:tc>
        <w:tc>
          <w:tcPr>
            <w:tcW w:w="0" w:type="auto"/>
            <w:tcBorders>
              <w:top w:val="single" w:sz="8" w:space="0" w:color="000000"/>
              <w:left w:val="single" w:sz="8" w:space="0" w:color="000000"/>
              <w:bottom w:val="single" w:sz="8" w:space="0" w:color="000000"/>
              <w:right w:val="single" w:sz="8" w:space="0" w:color="000000"/>
            </w:tcBorders>
            <w:shd w:val="clear" w:color="auto" w:fill="C6D9F1" w:themeFill="text2" w:themeFillTint="33"/>
            <w:vAlign w:val="center"/>
          </w:tcPr>
          <w:p w:rsidR="00CD2D19" w:rsidRPr="00CA0AE3" w:rsidRDefault="00CD2D19" w:rsidP="00967218">
            <w:pPr>
              <w:spacing w:after="0" w:line="240" w:lineRule="auto"/>
              <w:jc w:val="center"/>
              <w:rPr>
                <w:rFonts w:eastAsia="Times New Roman"/>
                <w:b/>
                <w:bCs/>
                <w:kern w:val="24"/>
                <w:sz w:val="20"/>
                <w:szCs w:val="20"/>
              </w:rPr>
            </w:pPr>
          </w:p>
        </w:tc>
      </w:tr>
      <w:tr w:rsidR="00CD2D19" w:rsidRPr="00CA0AE3" w:rsidTr="00967218">
        <w:trPr>
          <w:cantSplit/>
          <w:tblHeader/>
          <w:jc w:val="center"/>
        </w:trPr>
        <w:tc>
          <w:tcPr>
            <w:tcW w:w="370" w:type="dxa"/>
            <w:tcBorders>
              <w:top w:val="single" w:sz="8" w:space="0" w:color="000000"/>
              <w:left w:val="single" w:sz="8" w:space="0" w:color="000000"/>
              <w:bottom w:val="single" w:sz="8" w:space="0" w:color="000000"/>
              <w:right w:val="single" w:sz="8" w:space="0" w:color="000000"/>
            </w:tcBorders>
            <w:shd w:val="clear" w:color="auto" w:fill="C6D9F1" w:themeFill="text2" w:themeFillTint="33"/>
            <w:vAlign w:val="center"/>
          </w:tcPr>
          <w:p w:rsidR="00CD2D19" w:rsidRPr="00CA0AE3" w:rsidRDefault="00CD2D19" w:rsidP="00967218">
            <w:pPr>
              <w:spacing w:after="0" w:line="240" w:lineRule="auto"/>
              <w:jc w:val="center"/>
              <w:rPr>
                <w:rFonts w:eastAsia="Times New Roman"/>
                <w:b/>
                <w:bCs/>
                <w:color w:val="000000"/>
                <w:kern w:val="24"/>
                <w:sz w:val="20"/>
                <w:szCs w:val="20"/>
              </w:rPr>
            </w:pPr>
            <w:r w:rsidRPr="00CA0AE3">
              <w:rPr>
                <w:rFonts w:eastAsia="Times New Roman"/>
                <w:b/>
                <w:bCs/>
                <w:color w:val="000000"/>
                <w:kern w:val="24"/>
                <w:sz w:val="20"/>
                <w:szCs w:val="20"/>
              </w:rPr>
              <w:t>#</w:t>
            </w:r>
          </w:p>
        </w:tc>
        <w:tc>
          <w:tcPr>
            <w:tcW w:w="1455" w:type="dxa"/>
            <w:tcBorders>
              <w:top w:val="single" w:sz="8" w:space="0" w:color="000000"/>
              <w:left w:val="single" w:sz="8" w:space="0" w:color="000000"/>
              <w:bottom w:val="single" w:sz="8" w:space="0" w:color="000000"/>
              <w:right w:val="single" w:sz="8" w:space="0" w:color="000000"/>
            </w:tcBorders>
            <w:shd w:val="clear" w:color="auto" w:fill="C6D9F1" w:themeFill="text2" w:themeFillTint="33"/>
            <w:tcMar>
              <w:top w:w="13" w:type="dxa"/>
              <w:left w:w="93" w:type="dxa"/>
              <w:bottom w:w="0" w:type="dxa"/>
              <w:right w:w="93" w:type="dxa"/>
            </w:tcMar>
            <w:vAlign w:val="center"/>
            <w:hideMark/>
          </w:tcPr>
          <w:p w:rsidR="00CD2D19" w:rsidRPr="00CA0AE3" w:rsidRDefault="00CD2D19" w:rsidP="00967218">
            <w:pPr>
              <w:spacing w:after="0" w:line="240" w:lineRule="auto"/>
              <w:jc w:val="center"/>
              <w:rPr>
                <w:rFonts w:eastAsia="Times New Roman"/>
                <w:sz w:val="20"/>
                <w:szCs w:val="20"/>
              </w:rPr>
            </w:pPr>
            <w:r w:rsidRPr="00CA0AE3">
              <w:rPr>
                <w:rFonts w:eastAsia="Times New Roman"/>
                <w:b/>
                <w:bCs/>
                <w:color w:val="000000"/>
                <w:kern w:val="24"/>
                <w:sz w:val="20"/>
                <w:szCs w:val="20"/>
              </w:rPr>
              <w:t>Measure Description</w:t>
            </w:r>
          </w:p>
        </w:tc>
        <w:tc>
          <w:tcPr>
            <w:tcW w:w="0" w:type="auto"/>
            <w:tcBorders>
              <w:top w:val="single" w:sz="8" w:space="0" w:color="000000"/>
              <w:left w:val="single" w:sz="8" w:space="0" w:color="000000"/>
              <w:bottom w:val="single" w:sz="8" w:space="0" w:color="000000"/>
              <w:right w:val="single" w:sz="8" w:space="0" w:color="000000"/>
            </w:tcBorders>
            <w:shd w:val="clear" w:color="auto" w:fill="C6D9F1" w:themeFill="text2" w:themeFillTint="33"/>
            <w:tcMar>
              <w:top w:w="13" w:type="dxa"/>
              <w:left w:w="93" w:type="dxa"/>
              <w:bottom w:w="0" w:type="dxa"/>
              <w:right w:w="93" w:type="dxa"/>
            </w:tcMar>
            <w:vAlign w:val="center"/>
            <w:hideMark/>
          </w:tcPr>
          <w:p w:rsidR="00CD2D19" w:rsidRPr="00CA0AE3" w:rsidRDefault="00CD2D19" w:rsidP="00967218">
            <w:pPr>
              <w:spacing w:after="0" w:line="240" w:lineRule="auto"/>
              <w:jc w:val="center"/>
              <w:rPr>
                <w:rFonts w:eastAsia="Times New Roman"/>
                <w:color w:val="000000"/>
                <w:kern w:val="24"/>
                <w:sz w:val="20"/>
                <w:szCs w:val="20"/>
              </w:rPr>
            </w:pPr>
            <w:r w:rsidRPr="00CA0AE3">
              <w:rPr>
                <w:rFonts w:eastAsia="Times New Roman"/>
                <w:b/>
                <w:bCs/>
                <w:color w:val="000000"/>
                <w:kern w:val="24"/>
                <w:sz w:val="20"/>
                <w:szCs w:val="20"/>
              </w:rPr>
              <w:t>Measure Steward</w:t>
            </w:r>
          </w:p>
          <w:p w:rsidR="00CD2D19" w:rsidRPr="00CA0AE3" w:rsidRDefault="00CD2D19" w:rsidP="00967218">
            <w:pPr>
              <w:spacing w:after="0" w:line="240" w:lineRule="auto"/>
              <w:jc w:val="center"/>
              <w:rPr>
                <w:rFonts w:eastAsia="Times New Roman"/>
                <w:b/>
                <w:sz w:val="20"/>
                <w:szCs w:val="20"/>
              </w:rPr>
            </w:pPr>
            <w:r w:rsidRPr="00CA0AE3">
              <w:rPr>
                <w:rFonts w:eastAsia="Times New Roman"/>
                <w:b/>
                <w:color w:val="000000"/>
                <w:kern w:val="24"/>
                <w:sz w:val="20"/>
                <w:szCs w:val="20"/>
              </w:rPr>
              <w:t>NQF#</w:t>
            </w:r>
          </w:p>
        </w:tc>
        <w:tc>
          <w:tcPr>
            <w:tcW w:w="0" w:type="auto"/>
            <w:tcBorders>
              <w:top w:val="single" w:sz="8" w:space="0" w:color="000000"/>
              <w:left w:val="single" w:sz="8" w:space="0" w:color="000000"/>
              <w:bottom w:val="single" w:sz="8" w:space="0" w:color="000000"/>
              <w:right w:val="single" w:sz="8" w:space="0" w:color="000000"/>
            </w:tcBorders>
            <w:shd w:val="clear" w:color="auto" w:fill="C6D9F1" w:themeFill="text2" w:themeFillTint="33"/>
            <w:tcMar>
              <w:top w:w="13" w:type="dxa"/>
              <w:left w:w="93" w:type="dxa"/>
              <w:bottom w:w="0" w:type="dxa"/>
              <w:right w:w="93" w:type="dxa"/>
            </w:tcMar>
            <w:vAlign w:val="center"/>
            <w:hideMark/>
          </w:tcPr>
          <w:p w:rsidR="00CD2D19" w:rsidRPr="00CA0AE3" w:rsidRDefault="00CD2D19" w:rsidP="00967218">
            <w:pPr>
              <w:spacing w:after="0" w:line="240" w:lineRule="auto"/>
              <w:jc w:val="center"/>
              <w:rPr>
                <w:rFonts w:eastAsia="Times New Roman"/>
                <w:sz w:val="20"/>
                <w:szCs w:val="20"/>
              </w:rPr>
            </w:pPr>
            <w:r w:rsidRPr="00CA0AE3">
              <w:rPr>
                <w:rFonts w:eastAsia="Times New Roman"/>
                <w:b/>
                <w:bCs/>
                <w:color w:val="000000"/>
                <w:kern w:val="24"/>
                <w:sz w:val="20"/>
                <w:szCs w:val="20"/>
              </w:rPr>
              <w:t>Benchmark</w:t>
            </w:r>
          </w:p>
        </w:tc>
        <w:tc>
          <w:tcPr>
            <w:tcW w:w="0" w:type="auto"/>
            <w:tcBorders>
              <w:top w:val="single" w:sz="8" w:space="0" w:color="000000"/>
              <w:left w:val="single" w:sz="8" w:space="0" w:color="000000"/>
              <w:bottom w:val="single" w:sz="8" w:space="0" w:color="000000"/>
              <w:right w:val="single" w:sz="8" w:space="0" w:color="000000"/>
            </w:tcBorders>
            <w:shd w:val="clear" w:color="auto" w:fill="C6D9F1" w:themeFill="text2" w:themeFillTint="33"/>
            <w:tcMar>
              <w:top w:w="13" w:type="dxa"/>
              <w:left w:w="93" w:type="dxa"/>
              <w:bottom w:w="0" w:type="dxa"/>
              <w:right w:w="93" w:type="dxa"/>
            </w:tcMar>
            <w:vAlign w:val="center"/>
            <w:hideMark/>
          </w:tcPr>
          <w:p w:rsidR="00CD2D19" w:rsidRPr="00CA0AE3" w:rsidRDefault="00CD2D19" w:rsidP="00967218">
            <w:pPr>
              <w:spacing w:after="0" w:line="240" w:lineRule="auto"/>
              <w:jc w:val="center"/>
              <w:rPr>
                <w:rFonts w:eastAsia="Times New Roman"/>
                <w:sz w:val="20"/>
                <w:szCs w:val="20"/>
              </w:rPr>
            </w:pPr>
            <w:r w:rsidRPr="00CA0AE3">
              <w:rPr>
                <w:rFonts w:eastAsia="Times New Roman"/>
                <w:b/>
                <w:bCs/>
                <w:color w:val="000000"/>
                <w:kern w:val="24"/>
                <w:sz w:val="20"/>
                <w:szCs w:val="20"/>
              </w:rPr>
              <w:t>Improvement Methodology</w:t>
            </w:r>
          </w:p>
        </w:tc>
        <w:tc>
          <w:tcPr>
            <w:tcW w:w="1068" w:type="dxa"/>
            <w:tcBorders>
              <w:top w:val="single" w:sz="8" w:space="0" w:color="000000"/>
              <w:left w:val="single" w:sz="8" w:space="0" w:color="000000"/>
              <w:bottom w:val="single" w:sz="8" w:space="0" w:color="000000"/>
              <w:right w:val="single" w:sz="8" w:space="0" w:color="000000"/>
            </w:tcBorders>
            <w:shd w:val="clear" w:color="auto" w:fill="C6D9F1" w:themeFill="text2" w:themeFillTint="33"/>
            <w:tcMar>
              <w:top w:w="13" w:type="dxa"/>
              <w:left w:w="93" w:type="dxa"/>
              <w:bottom w:w="0" w:type="dxa"/>
              <w:right w:w="93" w:type="dxa"/>
            </w:tcMar>
            <w:vAlign w:val="center"/>
            <w:hideMark/>
          </w:tcPr>
          <w:p w:rsidR="00CD2D19" w:rsidRPr="00CA0AE3" w:rsidRDefault="00CD2D19" w:rsidP="00967218">
            <w:pPr>
              <w:spacing w:after="0" w:line="240" w:lineRule="auto"/>
              <w:jc w:val="center"/>
              <w:rPr>
                <w:rFonts w:eastAsia="Times New Roman"/>
                <w:color w:val="000000"/>
                <w:kern w:val="24"/>
                <w:sz w:val="20"/>
                <w:szCs w:val="20"/>
              </w:rPr>
            </w:pPr>
            <w:r w:rsidRPr="00CA0AE3">
              <w:rPr>
                <w:rFonts w:eastAsia="Times New Roman"/>
                <w:b/>
                <w:bCs/>
                <w:color w:val="000000"/>
                <w:kern w:val="24"/>
                <w:sz w:val="20"/>
                <w:szCs w:val="20"/>
              </w:rPr>
              <w:t>Year 1</w:t>
            </w:r>
          </w:p>
          <w:p w:rsidR="00CD2D19" w:rsidRPr="00CA0AE3" w:rsidRDefault="00CD2D19" w:rsidP="00967218">
            <w:pPr>
              <w:spacing w:after="0" w:line="240" w:lineRule="auto"/>
              <w:jc w:val="center"/>
              <w:rPr>
                <w:rFonts w:eastAsia="Times New Roman"/>
                <w:sz w:val="20"/>
                <w:szCs w:val="20"/>
              </w:rPr>
            </w:pPr>
            <w:r w:rsidRPr="00CA0AE3">
              <w:rPr>
                <w:rFonts w:eastAsia="Times New Roman"/>
                <w:color w:val="000000"/>
                <w:kern w:val="24"/>
                <w:sz w:val="20"/>
                <w:szCs w:val="20"/>
              </w:rPr>
              <w:t>SFY 2018</w:t>
            </w:r>
          </w:p>
        </w:tc>
        <w:tc>
          <w:tcPr>
            <w:tcW w:w="1068" w:type="dxa"/>
            <w:tcBorders>
              <w:top w:val="single" w:sz="8" w:space="0" w:color="000000"/>
              <w:left w:val="single" w:sz="8" w:space="0" w:color="000000"/>
              <w:bottom w:val="single" w:sz="8" w:space="0" w:color="000000"/>
              <w:right w:val="single" w:sz="8" w:space="0" w:color="000000"/>
            </w:tcBorders>
            <w:shd w:val="clear" w:color="auto" w:fill="C6D9F1" w:themeFill="text2" w:themeFillTint="33"/>
            <w:tcMar>
              <w:top w:w="13" w:type="dxa"/>
              <w:left w:w="93" w:type="dxa"/>
              <w:bottom w:w="0" w:type="dxa"/>
              <w:right w:w="93" w:type="dxa"/>
            </w:tcMar>
            <w:vAlign w:val="center"/>
            <w:hideMark/>
          </w:tcPr>
          <w:p w:rsidR="00CD2D19" w:rsidRPr="00CA0AE3" w:rsidRDefault="00CD2D19" w:rsidP="00967218">
            <w:pPr>
              <w:spacing w:after="0" w:line="240" w:lineRule="auto"/>
              <w:jc w:val="center"/>
              <w:rPr>
                <w:rFonts w:eastAsia="Times New Roman"/>
                <w:color w:val="000000"/>
                <w:kern w:val="24"/>
                <w:sz w:val="20"/>
                <w:szCs w:val="20"/>
              </w:rPr>
            </w:pPr>
            <w:r w:rsidRPr="00CA0AE3">
              <w:rPr>
                <w:rFonts w:eastAsia="Times New Roman"/>
                <w:b/>
                <w:bCs/>
                <w:color w:val="000000"/>
                <w:kern w:val="24"/>
                <w:sz w:val="20"/>
                <w:szCs w:val="20"/>
              </w:rPr>
              <w:t>Year 2</w:t>
            </w:r>
          </w:p>
          <w:p w:rsidR="00967218" w:rsidRPr="00CA0AE3" w:rsidRDefault="00CD2D19" w:rsidP="00967218">
            <w:pPr>
              <w:spacing w:after="0" w:line="240" w:lineRule="auto"/>
              <w:jc w:val="center"/>
              <w:rPr>
                <w:rFonts w:eastAsia="Times New Roman"/>
                <w:color w:val="000000"/>
                <w:kern w:val="24"/>
                <w:sz w:val="20"/>
                <w:szCs w:val="20"/>
              </w:rPr>
            </w:pPr>
            <w:r w:rsidRPr="00CA0AE3">
              <w:rPr>
                <w:rFonts w:eastAsia="Times New Roman"/>
                <w:color w:val="000000"/>
                <w:kern w:val="24"/>
                <w:sz w:val="20"/>
                <w:szCs w:val="20"/>
              </w:rPr>
              <w:t xml:space="preserve">SFY </w:t>
            </w:r>
          </w:p>
          <w:p w:rsidR="00CD2D19" w:rsidRPr="00CA0AE3" w:rsidRDefault="00CD2D19" w:rsidP="00967218">
            <w:pPr>
              <w:spacing w:after="0" w:line="240" w:lineRule="auto"/>
              <w:jc w:val="center"/>
              <w:rPr>
                <w:rFonts w:eastAsia="Times New Roman"/>
                <w:sz w:val="20"/>
                <w:szCs w:val="20"/>
              </w:rPr>
            </w:pPr>
            <w:r w:rsidRPr="00CA0AE3">
              <w:rPr>
                <w:rFonts w:eastAsia="Times New Roman"/>
                <w:color w:val="000000"/>
                <w:kern w:val="24"/>
                <w:sz w:val="20"/>
                <w:szCs w:val="20"/>
              </w:rPr>
              <w:t>2019</w:t>
            </w:r>
          </w:p>
        </w:tc>
        <w:tc>
          <w:tcPr>
            <w:tcW w:w="1069" w:type="dxa"/>
            <w:tcBorders>
              <w:top w:val="single" w:sz="8" w:space="0" w:color="000000"/>
              <w:left w:val="single" w:sz="8" w:space="0" w:color="000000"/>
              <w:bottom w:val="single" w:sz="8" w:space="0" w:color="000000"/>
              <w:right w:val="single" w:sz="8" w:space="0" w:color="000000"/>
            </w:tcBorders>
            <w:shd w:val="clear" w:color="auto" w:fill="C6D9F1" w:themeFill="text2" w:themeFillTint="33"/>
            <w:tcMar>
              <w:top w:w="13" w:type="dxa"/>
              <w:left w:w="93" w:type="dxa"/>
              <w:bottom w:w="0" w:type="dxa"/>
              <w:right w:w="93" w:type="dxa"/>
            </w:tcMar>
            <w:vAlign w:val="center"/>
            <w:hideMark/>
          </w:tcPr>
          <w:p w:rsidR="00CD2D19" w:rsidRPr="00CA0AE3" w:rsidRDefault="00CD2D19" w:rsidP="00967218">
            <w:pPr>
              <w:spacing w:after="0" w:line="240" w:lineRule="auto"/>
              <w:jc w:val="center"/>
              <w:rPr>
                <w:rFonts w:eastAsia="Times New Roman"/>
                <w:color w:val="000000"/>
                <w:kern w:val="24"/>
                <w:sz w:val="20"/>
                <w:szCs w:val="20"/>
              </w:rPr>
            </w:pPr>
            <w:r w:rsidRPr="00CA0AE3">
              <w:rPr>
                <w:rFonts w:eastAsia="Times New Roman"/>
                <w:b/>
                <w:bCs/>
                <w:color w:val="000000"/>
                <w:kern w:val="24"/>
                <w:sz w:val="20"/>
                <w:szCs w:val="20"/>
              </w:rPr>
              <w:t>Year 3</w:t>
            </w:r>
          </w:p>
          <w:p w:rsidR="00967218" w:rsidRPr="00CA0AE3" w:rsidRDefault="00CD2D19" w:rsidP="00967218">
            <w:pPr>
              <w:spacing w:after="0" w:line="240" w:lineRule="auto"/>
              <w:jc w:val="center"/>
              <w:rPr>
                <w:rFonts w:eastAsia="Times New Roman"/>
                <w:color w:val="000000"/>
                <w:kern w:val="24"/>
                <w:sz w:val="20"/>
                <w:szCs w:val="20"/>
              </w:rPr>
            </w:pPr>
            <w:r w:rsidRPr="00CA0AE3">
              <w:rPr>
                <w:rFonts w:eastAsia="Times New Roman"/>
                <w:color w:val="000000"/>
                <w:kern w:val="24"/>
                <w:sz w:val="20"/>
                <w:szCs w:val="20"/>
              </w:rPr>
              <w:t xml:space="preserve">SFY </w:t>
            </w:r>
          </w:p>
          <w:p w:rsidR="00CD2D19" w:rsidRPr="00CA0AE3" w:rsidRDefault="00CD2D19" w:rsidP="00967218">
            <w:pPr>
              <w:spacing w:after="0" w:line="240" w:lineRule="auto"/>
              <w:jc w:val="center"/>
              <w:rPr>
                <w:rFonts w:eastAsia="Times New Roman"/>
                <w:sz w:val="20"/>
                <w:szCs w:val="20"/>
              </w:rPr>
            </w:pPr>
            <w:r w:rsidRPr="00CA0AE3">
              <w:rPr>
                <w:rFonts w:eastAsia="Times New Roman"/>
                <w:color w:val="000000"/>
                <w:kern w:val="24"/>
                <w:sz w:val="20"/>
                <w:szCs w:val="20"/>
              </w:rPr>
              <w:t>2020</w:t>
            </w:r>
          </w:p>
        </w:tc>
        <w:tc>
          <w:tcPr>
            <w:tcW w:w="1068" w:type="dxa"/>
            <w:tcBorders>
              <w:top w:val="single" w:sz="8" w:space="0" w:color="000000"/>
              <w:left w:val="single" w:sz="8" w:space="0" w:color="000000"/>
              <w:bottom w:val="single" w:sz="8" w:space="0" w:color="000000"/>
              <w:right w:val="single" w:sz="8" w:space="0" w:color="000000"/>
            </w:tcBorders>
            <w:shd w:val="clear" w:color="auto" w:fill="C6D9F1" w:themeFill="text2" w:themeFillTint="33"/>
            <w:tcMar>
              <w:top w:w="13" w:type="dxa"/>
              <w:left w:w="93" w:type="dxa"/>
              <w:bottom w:w="0" w:type="dxa"/>
              <w:right w:w="93" w:type="dxa"/>
            </w:tcMar>
            <w:vAlign w:val="center"/>
            <w:hideMark/>
          </w:tcPr>
          <w:p w:rsidR="00CD2D19" w:rsidRPr="00CA0AE3" w:rsidRDefault="00CD2D19" w:rsidP="00967218">
            <w:pPr>
              <w:spacing w:after="0" w:line="240" w:lineRule="auto"/>
              <w:jc w:val="center"/>
              <w:rPr>
                <w:rFonts w:eastAsia="Times New Roman"/>
                <w:color w:val="000000"/>
                <w:kern w:val="24"/>
                <w:sz w:val="20"/>
                <w:szCs w:val="20"/>
              </w:rPr>
            </w:pPr>
            <w:r w:rsidRPr="00CA0AE3">
              <w:rPr>
                <w:rFonts w:eastAsia="Times New Roman"/>
                <w:b/>
                <w:bCs/>
                <w:color w:val="000000"/>
                <w:kern w:val="24"/>
                <w:sz w:val="20"/>
                <w:szCs w:val="20"/>
              </w:rPr>
              <w:t>Year 4</w:t>
            </w:r>
          </w:p>
          <w:p w:rsidR="00967218" w:rsidRPr="00CA0AE3" w:rsidRDefault="00CD2D19" w:rsidP="00967218">
            <w:pPr>
              <w:spacing w:after="0" w:line="240" w:lineRule="auto"/>
              <w:jc w:val="center"/>
              <w:rPr>
                <w:rFonts w:eastAsia="Times New Roman"/>
                <w:color w:val="000000"/>
                <w:kern w:val="24"/>
                <w:sz w:val="20"/>
                <w:szCs w:val="20"/>
              </w:rPr>
            </w:pPr>
            <w:r w:rsidRPr="00CA0AE3">
              <w:rPr>
                <w:rFonts w:eastAsia="Times New Roman"/>
                <w:color w:val="000000"/>
                <w:kern w:val="24"/>
                <w:sz w:val="20"/>
                <w:szCs w:val="20"/>
              </w:rPr>
              <w:t xml:space="preserve">SFY </w:t>
            </w:r>
          </w:p>
          <w:p w:rsidR="00CD2D19" w:rsidRPr="00CA0AE3" w:rsidRDefault="00CD2D19" w:rsidP="00967218">
            <w:pPr>
              <w:spacing w:after="0" w:line="240" w:lineRule="auto"/>
              <w:jc w:val="center"/>
              <w:rPr>
                <w:rFonts w:eastAsia="Times New Roman"/>
                <w:sz w:val="20"/>
                <w:szCs w:val="20"/>
              </w:rPr>
            </w:pPr>
            <w:r w:rsidRPr="00CA0AE3">
              <w:rPr>
                <w:rFonts w:eastAsia="Times New Roman"/>
                <w:color w:val="000000"/>
                <w:kern w:val="24"/>
                <w:sz w:val="20"/>
                <w:szCs w:val="20"/>
              </w:rPr>
              <w:t>2021</w:t>
            </w:r>
          </w:p>
        </w:tc>
        <w:tc>
          <w:tcPr>
            <w:tcW w:w="1069" w:type="dxa"/>
            <w:tcBorders>
              <w:top w:val="single" w:sz="8" w:space="0" w:color="000000"/>
              <w:left w:val="single" w:sz="8" w:space="0" w:color="000000"/>
              <w:bottom w:val="single" w:sz="8" w:space="0" w:color="000000"/>
              <w:right w:val="single" w:sz="8" w:space="0" w:color="000000"/>
            </w:tcBorders>
            <w:shd w:val="clear" w:color="auto" w:fill="C6D9F1" w:themeFill="text2" w:themeFillTint="33"/>
            <w:tcMar>
              <w:top w:w="13" w:type="dxa"/>
              <w:left w:w="93" w:type="dxa"/>
              <w:bottom w:w="0" w:type="dxa"/>
              <w:right w:w="93" w:type="dxa"/>
            </w:tcMar>
            <w:vAlign w:val="center"/>
            <w:hideMark/>
          </w:tcPr>
          <w:p w:rsidR="00CD2D19" w:rsidRPr="00CA0AE3" w:rsidRDefault="00CD2D19" w:rsidP="00967218">
            <w:pPr>
              <w:spacing w:after="0" w:line="240" w:lineRule="auto"/>
              <w:jc w:val="center"/>
              <w:rPr>
                <w:rFonts w:eastAsia="Times New Roman"/>
                <w:color w:val="000000"/>
                <w:kern w:val="24"/>
                <w:sz w:val="20"/>
                <w:szCs w:val="20"/>
              </w:rPr>
            </w:pPr>
            <w:r w:rsidRPr="00CA0AE3">
              <w:rPr>
                <w:rFonts w:eastAsia="Times New Roman"/>
                <w:b/>
                <w:bCs/>
                <w:color w:val="000000"/>
                <w:kern w:val="24"/>
                <w:sz w:val="20"/>
                <w:szCs w:val="20"/>
              </w:rPr>
              <w:t>Year 5</w:t>
            </w:r>
          </w:p>
          <w:p w:rsidR="00967218" w:rsidRPr="00CA0AE3" w:rsidRDefault="00CD2D19" w:rsidP="00967218">
            <w:pPr>
              <w:spacing w:after="0" w:line="240" w:lineRule="auto"/>
              <w:jc w:val="center"/>
              <w:rPr>
                <w:rFonts w:eastAsia="Times New Roman"/>
                <w:color w:val="000000"/>
                <w:kern w:val="24"/>
                <w:sz w:val="20"/>
                <w:szCs w:val="20"/>
              </w:rPr>
            </w:pPr>
            <w:r w:rsidRPr="00CA0AE3">
              <w:rPr>
                <w:rFonts w:eastAsia="Times New Roman"/>
                <w:color w:val="000000"/>
                <w:kern w:val="24"/>
                <w:sz w:val="20"/>
                <w:szCs w:val="20"/>
              </w:rPr>
              <w:t>SFY 2</w:t>
            </w:r>
          </w:p>
          <w:p w:rsidR="00CD2D19" w:rsidRPr="00CA0AE3" w:rsidRDefault="00CD2D19" w:rsidP="00967218">
            <w:pPr>
              <w:spacing w:after="0" w:line="240" w:lineRule="auto"/>
              <w:jc w:val="center"/>
              <w:rPr>
                <w:rFonts w:eastAsia="Times New Roman"/>
                <w:sz w:val="20"/>
                <w:szCs w:val="20"/>
              </w:rPr>
            </w:pPr>
            <w:r w:rsidRPr="00CA0AE3">
              <w:rPr>
                <w:rFonts w:eastAsia="Times New Roman"/>
                <w:color w:val="000000"/>
                <w:kern w:val="24"/>
                <w:sz w:val="20"/>
                <w:szCs w:val="20"/>
              </w:rPr>
              <w:t>022</w:t>
            </w:r>
          </w:p>
        </w:tc>
        <w:tc>
          <w:tcPr>
            <w:tcW w:w="0" w:type="auto"/>
            <w:tcBorders>
              <w:top w:val="single" w:sz="8" w:space="0" w:color="000000"/>
              <w:left w:val="single" w:sz="8" w:space="0" w:color="000000"/>
              <w:bottom w:val="single" w:sz="8" w:space="0" w:color="000000"/>
              <w:right w:val="single" w:sz="8" w:space="0" w:color="000000"/>
            </w:tcBorders>
            <w:shd w:val="clear" w:color="auto" w:fill="C6D9F1" w:themeFill="text2" w:themeFillTint="33"/>
            <w:vAlign w:val="center"/>
          </w:tcPr>
          <w:p w:rsidR="00CD2D19" w:rsidRPr="00CA0AE3" w:rsidRDefault="00CD2D19" w:rsidP="00967218">
            <w:pPr>
              <w:spacing w:after="0" w:line="240" w:lineRule="auto"/>
              <w:jc w:val="center"/>
              <w:rPr>
                <w:rFonts w:eastAsia="Times New Roman"/>
                <w:b/>
                <w:bCs/>
                <w:kern w:val="24"/>
                <w:sz w:val="20"/>
                <w:szCs w:val="20"/>
              </w:rPr>
            </w:pPr>
            <w:r w:rsidRPr="00CA0AE3">
              <w:rPr>
                <w:rFonts w:eastAsia="Times New Roman"/>
                <w:b/>
                <w:bCs/>
                <w:kern w:val="24"/>
                <w:sz w:val="20"/>
                <w:szCs w:val="20"/>
              </w:rPr>
              <w:t>Rationale for Improvement Target</w:t>
            </w:r>
          </w:p>
        </w:tc>
      </w:tr>
      <w:tr w:rsidR="00CD2D19" w:rsidRPr="00CA0AE3" w:rsidTr="00967218">
        <w:trPr>
          <w:cantSplit/>
          <w:jc w:val="center"/>
        </w:trPr>
        <w:tc>
          <w:tcPr>
            <w:tcW w:w="370" w:type="dxa"/>
            <w:tcBorders>
              <w:top w:val="single" w:sz="8" w:space="0" w:color="000000"/>
              <w:left w:val="single" w:sz="8" w:space="0" w:color="000000"/>
              <w:bottom w:val="single" w:sz="8" w:space="0" w:color="000000"/>
              <w:right w:val="single" w:sz="8" w:space="0" w:color="000000"/>
            </w:tcBorders>
            <w:shd w:val="clear" w:color="auto" w:fill="auto"/>
            <w:vAlign w:val="center"/>
          </w:tcPr>
          <w:p w:rsidR="00CD2D19" w:rsidRPr="00CA0AE3" w:rsidRDefault="00CD2D19" w:rsidP="00967218">
            <w:pPr>
              <w:spacing w:after="0" w:line="240" w:lineRule="auto"/>
              <w:jc w:val="center"/>
              <w:rPr>
                <w:sz w:val="16"/>
                <w:szCs w:val="16"/>
              </w:rPr>
            </w:pPr>
            <w:r w:rsidRPr="00CA0AE3">
              <w:rPr>
                <w:sz w:val="16"/>
                <w:szCs w:val="16"/>
              </w:rPr>
              <w:t>1</w:t>
            </w:r>
          </w:p>
        </w:tc>
        <w:tc>
          <w:tcPr>
            <w:tcW w:w="1455"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D2D19" w:rsidRPr="00CA0AE3" w:rsidDel="00FD3B42" w:rsidRDefault="00CD2D19" w:rsidP="00967218">
            <w:pPr>
              <w:spacing w:after="0" w:line="240" w:lineRule="auto"/>
              <w:rPr>
                <w:bCs/>
                <w:sz w:val="16"/>
                <w:szCs w:val="16"/>
              </w:rPr>
            </w:pPr>
            <w:r w:rsidRPr="00CA0AE3">
              <w:rPr>
                <w:bCs/>
                <w:sz w:val="16"/>
                <w:szCs w:val="16"/>
              </w:rPr>
              <w:t>Depression Response at 6 Months - Progress Towards Remission (across all core primary care sites)</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D2D19" w:rsidRPr="00CA0AE3" w:rsidRDefault="00CD2D19" w:rsidP="00967218">
            <w:pPr>
              <w:spacing w:after="0" w:line="240" w:lineRule="auto"/>
              <w:jc w:val="center"/>
              <w:rPr>
                <w:sz w:val="16"/>
                <w:szCs w:val="16"/>
              </w:rPr>
            </w:pPr>
            <w:r w:rsidRPr="00CA0AE3">
              <w:rPr>
                <w:bCs/>
                <w:sz w:val="16"/>
                <w:szCs w:val="16"/>
              </w:rPr>
              <w:t>NQF 1884</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D2D19" w:rsidRPr="00CA0AE3" w:rsidRDefault="00CD2D19" w:rsidP="00967218">
            <w:pPr>
              <w:spacing w:after="0" w:line="240" w:lineRule="auto"/>
              <w:jc w:val="center"/>
              <w:rPr>
                <w:bCs/>
                <w:sz w:val="16"/>
                <w:szCs w:val="16"/>
              </w:rPr>
            </w:pPr>
            <w:r w:rsidRPr="00CA0AE3">
              <w:rPr>
                <w:bCs/>
                <w:sz w:val="16"/>
                <w:szCs w:val="16"/>
              </w:rPr>
              <w:t xml:space="preserve">No external benchmark; </w:t>
            </w:r>
          </w:p>
          <w:p w:rsidR="00CD2D19" w:rsidRPr="00CA0AE3" w:rsidDel="00FD3B42" w:rsidRDefault="00CD2D19" w:rsidP="00967218">
            <w:pPr>
              <w:spacing w:after="0" w:line="240" w:lineRule="auto"/>
              <w:jc w:val="center"/>
              <w:rPr>
                <w:bCs/>
                <w:sz w:val="16"/>
                <w:szCs w:val="16"/>
              </w:rPr>
            </w:pPr>
            <w:r w:rsidRPr="00CA0AE3">
              <w:rPr>
                <w:bCs/>
                <w:sz w:val="16"/>
                <w:szCs w:val="16"/>
              </w:rPr>
              <w:t>hospital-specific improvement target = 45%</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D2D19" w:rsidRPr="00CA0AE3" w:rsidRDefault="00CD2D19" w:rsidP="00967218">
            <w:pPr>
              <w:spacing w:after="0" w:line="240" w:lineRule="auto"/>
              <w:jc w:val="center"/>
              <w:rPr>
                <w:bCs/>
                <w:sz w:val="16"/>
                <w:szCs w:val="16"/>
              </w:rPr>
            </w:pPr>
            <w:r w:rsidRPr="00CA0AE3">
              <w:rPr>
                <w:bCs/>
                <w:sz w:val="16"/>
                <w:szCs w:val="16"/>
              </w:rPr>
              <w:t>Gap to Goal</w:t>
            </w:r>
          </w:p>
          <w:p w:rsidR="00CD2D19" w:rsidRPr="00CA0AE3" w:rsidRDefault="00CD2D19" w:rsidP="00DE0624">
            <w:pPr>
              <w:spacing w:after="0" w:line="240" w:lineRule="auto"/>
              <w:jc w:val="center"/>
              <w:rPr>
                <w:bCs/>
                <w:sz w:val="16"/>
                <w:szCs w:val="16"/>
              </w:rPr>
            </w:pPr>
            <w:r w:rsidRPr="00CA0AE3">
              <w:rPr>
                <w:bCs/>
                <w:sz w:val="16"/>
                <w:szCs w:val="16"/>
              </w:rPr>
              <w:t>(</w:t>
            </w:r>
            <w:r w:rsidR="00DE0624" w:rsidRPr="00CA0AE3">
              <w:rPr>
                <w:bCs/>
                <w:sz w:val="16"/>
                <w:szCs w:val="16"/>
              </w:rPr>
              <w:t>10</w:t>
            </w:r>
            <w:r w:rsidRPr="00CA0AE3">
              <w:rPr>
                <w:bCs/>
                <w:sz w:val="16"/>
                <w:szCs w:val="16"/>
              </w:rPr>
              <w:t>%) or attainment at target</w:t>
            </w:r>
          </w:p>
        </w:tc>
        <w:tc>
          <w:tcPr>
            <w:tcW w:w="1068"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D2D19" w:rsidRPr="00CA0AE3" w:rsidRDefault="00CD2D19" w:rsidP="00967218">
            <w:pPr>
              <w:spacing w:after="0" w:line="240" w:lineRule="auto"/>
              <w:jc w:val="center"/>
              <w:rPr>
                <w:rFonts w:eastAsia="Times New Roman"/>
                <w:b/>
                <w:sz w:val="16"/>
                <w:szCs w:val="16"/>
              </w:rPr>
            </w:pPr>
            <w:r w:rsidRPr="00CA0AE3">
              <w:rPr>
                <w:rFonts w:eastAsia="Times New Roman"/>
                <w:b/>
                <w:sz w:val="16"/>
                <w:szCs w:val="16"/>
              </w:rPr>
              <w:t>O</w:t>
            </w:r>
          </w:p>
        </w:tc>
        <w:tc>
          <w:tcPr>
            <w:tcW w:w="1068"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D2D19" w:rsidRPr="00CA0AE3" w:rsidRDefault="00CD2D19" w:rsidP="00967218">
            <w:pPr>
              <w:spacing w:after="0" w:line="240" w:lineRule="auto"/>
              <w:jc w:val="center"/>
              <w:rPr>
                <w:rFonts w:eastAsia="Times New Roman"/>
                <w:b/>
                <w:sz w:val="16"/>
                <w:szCs w:val="16"/>
              </w:rPr>
            </w:pPr>
            <w:r w:rsidRPr="00CA0AE3">
              <w:rPr>
                <w:rFonts w:eastAsia="Times New Roman"/>
                <w:b/>
                <w:sz w:val="16"/>
                <w:szCs w:val="16"/>
              </w:rPr>
              <w:t>O</w:t>
            </w:r>
          </w:p>
        </w:tc>
        <w:tc>
          <w:tcPr>
            <w:tcW w:w="1069"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D2D19" w:rsidRPr="00CA0AE3" w:rsidRDefault="00CD2D19" w:rsidP="00967218">
            <w:pPr>
              <w:spacing w:after="0" w:line="240" w:lineRule="auto"/>
              <w:jc w:val="center"/>
              <w:rPr>
                <w:rFonts w:eastAsia="Times New Roman"/>
                <w:b/>
                <w:sz w:val="16"/>
                <w:szCs w:val="16"/>
              </w:rPr>
            </w:pPr>
            <w:r w:rsidRPr="00CA0AE3">
              <w:rPr>
                <w:rFonts w:eastAsia="Times New Roman"/>
                <w:b/>
                <w:sz w:val="16"/>
                <w:szCs w:val="16"/>
              </w:rPr>
              <w:t>O</w:t>
            </w:r>
          </w:p>
        </w:tc>
        <w:tc>
          <w:tcPr>
            <w:tcW w:w="1068"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D2D19" w:rsidRPr="00CA0AE3" w:rsidRDefault="00CD2D19" w:rsidP="00967218">
            <w:pPr>
              <w:spacing w:after="0" w:line="240" w:lineRule="auto"/>
              <w:jc w:val="center"/>
              <w:rPr>
                <w:rFonts w:eastAsia="Times New Roman"/>
                <w:b/>
                <w:sz w:val="16"/>
                <w:szCs w:val="16"/>
              </w:rPr>
            </w:pPr>
            <w:r w:rsidRPr="00CA0AE3">
              <w:rPr>
                <w:rFonts w:eastAsia="Times New Roman"/>
                <w:b/>
                <w:sz w:val="16"/>
                <w:szCs w:val="16"/>
              </w:rPr>
              <w:t>O</w:t>
            </w:r>
          </w:p>
        </w:tc>
        <w:tc>
          <w:tcPr>
            <w:tcW w:w="1069"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D2D19" w:rsidRPr="00CA0AE3" w:rsidRDefault="00CD2D19" w:rsidP="00967218">
            <w:pPr>
              <w:spacing w:after="0" w:line="240" w:lineRule="auto"/>
              <w:jc w:val="center"/>
              <w:rPr>
                <w:rFonts w:eastAsia="Times New Roman"/>
                <w:b/>
                <w:sz w:val="16"/>
                <w:szCs w:val="16"/>
              </w:rPr>
            </w:pPr>
            <w:r w:rsidRPr="00CA0AE3">
              <w:rPr>
                <w:rFonts w:eastAsia="Times New Roman"/>
                <w:b/>
                <w:sz w:val="16"/>
                <w:szCs w:val="16"/>
              </w:rPr>
              <w:t>O</w:t>
            </w:r>
          </w:p>
        </w:tc>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tcPr>
          <w:p w:rsidR="00CD2D19" w:rsidRPr="00CA0AE3" w:rsidRDefault="00CD2D19" w:rsidP="00967218">
            <w:pPr>
              <w:spacing w:after="0" w:line="240" w:lineRule="auto"/>
              <w:rPr>
                <w:sz w:val="16"/>
                <w:szCs w:val="16"/>
              </w:rPr>
            </w:pPr>
            <w:r w:rsidRPr="00CA0AE3">
              <w:rPr>
                <w:sz w:val="16"/>
                <w:szCs w:val="16"/>
              </w:rPr>
              <w:t>This target is based on literature on collaborative care indicating that a rate of 45% on the depression response measures represents the highest level of statistically meaningful improvement that has currently been achieved</w:t>
            </w:r>
            <w:r w:rsidRPr="00CA0AE3">
              <w:rPr>
                <w:rStyle w:val="FootnoteReference"/>
                <w:sz w:val="16"/>
                <w:szCs w:val="16"/>
              </w:rPr>
              <w:footnoteReference w:id="60"/>
            </w:r>
            <w:r w:rsidRPr="00CA0AE3">
              <w:rPr>
                <w:sz w:val="16"/>
                <w:szCs w:val="16"/>
              </w:rPr>
              <w:t>.</w:t>
            </w:r>
          </w:p>
        </w:tc>
      </w:tr>
      <w:tr w:rsidR="00CD2D19" w:rsidRPr="00CA0AE3" w:rsidTr="00967218">
        <w:trPr>
          <w:cantSplit/>
          <w:jc w:val="center"/>
        </w:trPr>
        <w:tc>
          <w:tcPr>
            <w:tcW w:w="370" w:type="dxa"/>
            <w:tcBorders>
              <w:top w:val="single" w:sz="8" w:space="0" w:color="000000"/>
              <w:left w:val="single" w:sz="8" w:space="0" w:color="000000"/>
              <w:bottom w:val="single" w:sz="8" w:space="0" w:color="000000"/>
              <w:right w:val="single" w:sz="8" w:space="0" w:color="000000"/>
            </w:tcBorders>
            <w:shd w:val="clear" w:color="auto" w:fill="auto"/>
            <w:vAlign w:val="center"/>
          </w:tcPr>
          <w:p w:rsidR="00CD2D19" w:rsidRPr="00CA0AE3" w:rsidRDefault="00CD2D19" w:rsidP="00967218">
            <w:pPr>
              <w:spacing w:after="0" w:line="240" w:lineRule="auto"/>
              <w:jc w:val="center"/>
              <w:rPr>
                <w:sz w:val="16"/>
                <w:szCs w:val="16"/>
              </w:rPr>
            </w:pPr>
            <w:r w:rsidRPr="00CA0AE3">
              <w:rPr>
                <w:sz w:val="16"/>
                <w:szCs w:val="16"/>
              </w:rPr>
              <w:t>2</w:t>
            </w:r>
          </w:p>
        </w:tc>
        <w:tc>
          <w:tcPr>
            <w:tcW w:w="1455"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D2D19" w:rsidRPr="00CA0AE3" w:rsidDel="00FD3B42" w:rsidRDefault="00CD2D19" w:rsidP="00967218">
            <w:pPr>
              <w:spacing w:after="0" w:line="240" w:lineRule="auto"/>
              <w:rPr>
                <w:bCs/>
                <w:sz w:val="16"/>
                <w:szCs w:val="16"/>
              </w:rPr>
            </w:pPr>
            <w:r w:rsidRPr="00CA0AE3">
              <w:rPr>
                <w:bCs/>
                <w:sz w:val="16"/>
                <w:szCs w:val="16"/>
              </w:rPr>
              <w:t>Depression Response at 12 Months - Progress Towards Remission (across all core primary care sites)</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D2D19" w:rsidRPr="00CA0AE3" w:rsidRDefault="00CD2D19" w:rsidP="00967218">
            <w:pPr>
              <w:spacing w:after="0" w:line="240" w:lineRule="auto"/>
              <w:jc w:val="center"/>
              <w:rPr>
                <w:sz w:val="16"/>
                <w:szCs w:val="16"/>
              </w:rPr>
            </w:pPr>
            <w:r w:rsidRPr="00CA0AE3">
              <w:rPr>
                <w:bCs/>
                <w:sz w:val="16"/>
                <w:szCs w:val="16"/>
              </w:rPr>
              <w:t>NQF 1885</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D2D19" w:rsidRPr="00CA0AE3" w:rsidRDefault="00CD2D19" w:rsidP="00967218">
            <w:pPr>
              <w:spacing w:after="0" w:line="240" w:lineRule="auto"/>
              <w:jc w:val="center"/>
              <w:rPr>
                <w:bCs/>
                <w:sz w:val="16"/>
                <w:szCs w:val="16"/>
              </w:rPr>
            </w:pPr>
            <w:r w:rsidRPr="00CA0AE3">
              <w:rPr>
                <w:bCs/>
                <w:sz w:val="16"/>
                <w:szCs w:val="16"/>
              </w:rPr>
              <w:t xml:space="preserve">No external benchmark; </w:t>
            </w:r>
          </w:p>
          <w:p w:rsidR="00CD2D19" w:rsidRPr="00CA0AE3" w:rsidDel="00FD3B42" w:rsidRDefault="00CD2D19" w:rsidP="00967218">
            <w:pPr>
              <w:spacing w:after="0" w:line="240" w:lineRule="auto"/>
              <w:jc w:val="center"/>
              <w:rPr>
                <w:bCs/>
                <w:sz w:val="16"/>
                <w:szCs w:val="16"/>
              </w:rPr>
            </w:pPr>
            <w:r w:rsidRPr="00CA0AE3">
              <w:rPr>
                <w:bCs/>
                <w:sz w:val="16"/>
                <w:szCs w:val="16"/>
              </w:rPr>
              <w:t>hospital-specific improvement target = 45%</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D2D19" w:rsidRPr="00CA0AE3" w:rsidRDefault="00CD2D19" w:rsidP="00967218">
            <w:pPr>
              <w:spacing w:after="0" w:line="240" w:lineRule="auto"/>
              <w:jc w:val="center"/>
              <w:rPr>
                <w:bCs/>
                <w:sz w:val="16"/>
                <w:szCs w:val="16"/>
              </w:rPr>
            </w:pPr>
            <w:r w:rsidRPr="00CA0AE3">
              <w:rPr>
                <w:bCs/>
                <w:sz w:val="16"/>
                <w:szCs w:val="16"/>
              </w:rPr>
              <w:t>Gap to Goal</w:t>
            </w:r>
          </w:p>
          <w:p w:rsidR="00CD2D19" w:rsidRPr="00CA0AE3" w:rsidRDefault="00CD2D19" w:rsidP="00DE0624">
            <w:pPr>
              <w:spacing w:after="0" w:line="240" w:lineRule="auto"/>
              <w:jc w:val="center"/>
              <w:rPr>
                <w:bCs/>
                <w:sz w:val="16"/>
                <w:szCs w:val="16"/>
              </w:rPr>
            </w:pPr>
            <w:r w:rsidRPr="00CA0AE3">
              <w:rPr>
                <w:bCs/>
                <w:sz w:val="16"/>
                <w:szCs w:val="16"/>
              </w:rPr>
              <w:t>(</w:t>
            </w:r>
            <w:r w:rsidR="00DE0624" w:rsidRPr="00CA0AE3">
              <w:rPr>
                <w:bCs/>
                <w:sz w:val="16"/>
                <w:szCs w:val="16"/>
              </w:rPr>
              <w:t>10</w:t>
            </w:r>
            <w:r w:rsidRPr="00CA0AE3">
              <w:rPr>
                <w:bCs/>
                <w:sz w:val="16"/>
                <w:szCs w:val="16"/>
              </w:rPr>
              <w:t>%) or attainment at target</w:t>
            </w:r>
          </w:p>
        </w:tc>
        <w:tc>
          <w:tcPr>
            <w:tcW w:w="1068"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D2D19" w:rsidRPr="00CA0AE3" w:rsidRDefault="00CD2D19" w:rsidP="00967218">
            <w:pPr>
              <w:spacing w:after="0" w:line="240" w:lineRule="auto"/>
              <w:jc w:val="center"/>
              <w:rPr>
                <w:rFonts w:eastAsia="Times New Roman"/>
                <w:b/>
                <w:sz w:val="16"/>
                <w:szCs w:val="16"/>
              </w:rPr>
            </w:pPr>
            <w:r w:rsidRPr="00CA0AE3">
              <w:rPr>
                <w:rFonts w:eastAsia="Times New Roman"/>
                <w:b/>
                <w:sz w:val="16"/>
                <w:szCs w:val="16"/>
              </w:rPr>
              <w:t xml:space="preserve">B </w:t>
            </w:r>
          </w:p>
          <w:p w:rsidR="00CD2D19" w:rsidRPr="00CA0AE3" w:rsidRDefault="00CD2D19" w:rsidP="00967218">
            <w:pPr>
              <w:spacing w:after="0" w:line="240" w:lineRule="auto"/>
              <w:jc w:val="center"/>
              <w:rPr>
                <w:rFonts w:eastAsia="Times New Roman"/>
                <w:b/>
                <w:bCs/>
                <w:kern w:val="24"/>
                <w:sz w:val="16"/>
                <w:szCs w:val="16"/>
              </w:rPr>
            </w:pPr>
          </w:p>
        </w:tc>
        <w:tc>
          <w:tcPr>
            <w:tcW w:w="1068"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D2D19" w:rsidRPr="00CA0AE3" w:rsidRDefault="00CD2D19" w:rsidP="00967218">
            <w:pPr>
              <w:spacing w:after="0" w:line="240" w:lineRule="auto"/>
              <w:jc w:val="center"/>
              <w:rPr>
                <w:rFonts w:eastAsia="Times New Roman"/>
                <w:b/>
                <w:sz w:val="16"/>
                <w:szCs w:val="16"/>
              </w:rPr>
            </w:pPr>
            <w:r w:rsidRPr="00CA0AE3">
              <w:rPr>
                <w:rFonts w:eastAsia="Times New Roman"/>
                <w:b/>
                <w:sz w:val="16"/>
                <w:szCs w:val="16"/>
              </w:rPr>
              <w:t>O</w:t>
            </w:r>
          </w:p>
          <w:p w:rsidR="00CD2D19" w:rsidRPr="00CA0AE3" w:rsidRDefault="00CD2D19" w:rsidP="00967218">
            <w:pPr>
              <w:spacing w:after="0" w:line="240" w:lineRule="auto"/>
              <w:jc w:val="center"/>
              <w:rPr>
                <w:rFonts w:eastAsia="Times New Roman"/>
                <w:b/>
                <w:sz w:val="16"/>
                <w:szCs w:val="16"/>
              </w:rPr>
            </w:pPr>
          </w:p>
        </w:tc>
        <w:tc>
          <w:tcPr>
            <w:tcW w:w="1069"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D2D19" w:rsidRPr="00CA0AE3" w:rsidRDefault="00CD2D19" w:rsidP="00967218">
            <w:pPr>
              <w:spacing w:after="0" w:line="240" w:lineRule="auto"/>
              <w:jc w:val="center"/>
              <w:rPr>
                <w:rFonts w:eastAsia="Times New Roman"/>
                <w:b/>
                <w:sz w:val="16"/>
                <w:szCs w:val="16"/>
              </w:rPr>
            </w:pPr>
            <w:r w:rsidRPr="00CA0AE3">
              <w:rPr>
                <w:rFonts w:eastAsia="Times New Roman"/>
                <w:b/>
                <w:sz w:val="16"/>
                <w:szCs w:val="16"/>
              </w:rPr>
              <w:t>O</w:t>
            </w:r>
          </w:p>
          <w:p w:rsidR="00CD2D19" w:rsidRPr="00CA0AE3" w:rsidRDefault="00CD2D19" w:rsidP="00967218">
            <w:pPr>
              <w:spacing w:after="0" w:line="240" w:lineRule="auto"/>
              <w:jc w:val="center"/>
              <w:rPr>
                <w:rFonts w:eastAsia="Times New Roman"/>
                <w:b/>
                <w:sz w:val="16"/>
                <w:szCs w:val="16"/>
              </w:rPr>
            </w:pPr>
          </w:p>
        </w:tc>
        <w:tc>
          <w:tcPr>
            <w:tcW w:w="1068"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D2D19" w:rsidRPr="00CA0AE3" w:rsidRDefault="00CD2D19" w:rsidP="00967218">
            <w:pPr>
              <w:spacing w:after="0" w:line="240" w:lineRule="auto"/>
              <w:jc w:val="center"/>
              <w:rPr>
                <w:rFonts w:eastAsia="Times New Roman"/>
                <w:b/>
                <w:sz w:val="16"/>
                <w:szCs w:val="16"/>
              </w:rPr>
            </w:pPr>
            <w:r w:rsidRPr="00CA0AE3">
              <w:rPr>
                <w:rFonts w:eastAsia="Times New Roman"/>
                <w:b/>
                <w:sz w:val="16"/>
                <w:szCs w:val="16"/>
              </w:rPr>
              <w:t>O</w:t>
            </w:r>
          </w:p>
          <w:p w:rsidR="00CD2D19" w:rsidRPr="00CA0AE3" w:rsidRDefault="00CD2D19" w:rsidP="00967218">
            <w:pPr>
              <w:spacing w:after="0" w:line="240" w:lineRule="auto"/>
              <w:jc w:val="center"/>
              <w:rPr>
                <w:rFonts w:eastAsia="Times New Roman"/>
                <w:b/>
                <w:sz w:val="16"/>
                <w:szCs w:val="16"/>
              </w:rPr>
            </w:pPr>
          </w:p>
        </w:tc>
        <w:tc>
          <w:tcPr>
            <w:tcW w:w="1069"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D2D19" w:rsidRPr="00CA0AE3" w:rsidRDefault="00CD2D19" w:rsidP="00967218">
            <w:pPr>
              <w:spacing w:after="0" w:line="240" w:lineRule="auto"/>
              <w:jc w:val="center"/>
              <w:rPr>
                <w:rFonts w:eastAsia="Times New Roman"/>
                <w:b/>
                <w:sz w:val="16"/>
                <w:szCs w:val="16"/>
              </w:rPr>
            </w:pPr>
            <w:r w:rsidRPr="00CA0AE3">
              <w:rPr>
                <w:rFonts w:eastAsia="Times New Roman"/>
                <w:b/>
                <w:sz w:val="16"/>
                <w:szCs w:val="16"/>
              </w:rPr>
              <w:t>O</w:t>
            </w:r>
          </w:p>
          <w:p w:rsidR="00CD2D19" w:rsidRPr="00CA0AE3" w:rsidRDefault="00CD2D19" w:rsidP="00967218">
            <w:pPr>
              <w:spacing w:after="0" w:line="240" w:lineRule="auto"/>
              <w:jc w:val="center"/>
              <w:rPr>
                <w:rFonts w:eastAsia="Times New Roman"/>
                <w:b/>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tcPr>
          <w:p w:rsidR="00CD2D19" w:rsidRPr="00CA0AE3" w:rsidRDefault="00CD2D19" w:rsidP="00967218">
            <w:pPr>
              <w:spacing w:after="0" w:line="240" w:lineRule="auto"/>
              <w:rPr>
                <w:sz w:val="16"/>
                <w:szCs w:val="16"/>
              </w:rPr>
            </w:pPr>
            <w:r w:rsidRPr="00CA0AE3">
              <w:rPr>
                <w:sz w:val="16"/>
                <w:szCs w:val="16"/>
              </w:rPr>
              <w:t>This target is, based on literature on collaborative care indicating that a rate of 45% on the depression response measures represents the highest level of statistically meaningful improvement that has currently been achieved</w:t>
            </w:r>
            <w:r w:rsidRPr="00CA0AE3">
              <w:rPr>
                <w:rStyle w:val="FootnoteReference"/>
                <w:sz w:val="16"/>
                <w:szCs w:val="16"/>
              </w:rPr>
              <w:footnoteReference w:id="61"/>
            </w:r>
            <w:r w:rsidRPr="00CA0AE3">
              <w:rPr>
                <w:sz w:val="16"/>
                <w:szCs w:val="16"/>
              </w:rPr>
              <w:t xml:space="preserve">. </w:t>
            </w:r>
          </w:p>
        </w:tc>
      </w:tr>
      <w:tr w:rsidR="00CD2D19" w:rsidRPr="00CA0AE3" w:rsidTr="00967218">
        <w:trPr>
          <w:cantSplit/>
          <w:jc w:val="center"/>
        </w:trPr>
        <w:tc>
          <w:tcPr>
            <w:tcW w:w="370" w:type="dxa"/>
            <w:tcBorders>
              <w:top w:val="single" w:sz="8" w:space="0" w:color="000000"/>
              <w:left w:val="single" w:sz="8" w:space="0" w:color="000000"/>
              <w:bottom w:val="single" w:sz="8" w:space="0" w:color="000000"/>
              <w:right w:val="single" w:sz="8" w:space="0" w:color="000000"/>
            </w:tcBorders>
            <w:shd w:val="clear" w:color="auto" w:fill="auto"/>
            <w:vAlign w:val="center"/>
          </w:tcPr>
          <w:p w:rsidR="00CD2D19" w:rsidRPr="00CA0AE3" w:rsidRDefault="00E651A8" w:rsidP="00967218">
            <w:pPr>
              <w:spacing w:after="0" w:line="240" w:lineRule="auto"/>
              <w:jc w:val="center"/>
              <w:rPr>
                <w:sz w:val="16"/>
                <w:szCs w:val="16"/>
              </w:rPr>
            </w:pPr>
            <w:r w:rsidRPr="00CA0AE3">
              <w:rPr>
                <w:sz w:val="16"/>
                <w:szCs w:val="16"/>
              </w:rPr>
              <w:t>3</w:t>
            </w:r>
          </w:p>
        </w:tc>
        <w:tc>
          <w:tcPr>
            <w:tcW w:w="1455"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D2D19" w:rsidRPr="00CA0AE3" w:rsidRDefault="00CD2D19" w:rsidP="00967218">
            <w:pPr>
              <w:spacing w:after="0" w:line="240" w:lineRule="auto"/>
              <w:rPr>
                <w:sz w:val="16"/>
                <w:szCs w:val="16"/>
              </w:rPr>
            </w:pPr>
            <w:r w:rsidRPr="00CA0AE3">
              <w:rPr>
                <w:bCs/>
                <w:sz w:val="16"/>
                <w:szCs w:val="16"/>
              </w:rPr>
              <w:t>Primary Care Provider confidence in management of depression, measured through annual survey</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D2D19" w:rsidRPr="00CA0AE3" w:rsidRDefault="00CD2D19" w:rsidP="00967218">
            <w:pPr>
              <w:spacing w:after="0" w:line="240" w:lineRule="auto"/>
              <w:jc w:val="center"/>
              <w:rPr>
                <w:bCs/>
                <w:sz w:val="16"/>
                <w:szCs w:val="16"/>
              </w:rPr>
            </w:pPr>
            <w:r w:rsidRPr="00CA0AE3">
              <w:rPr>
                <w:sz w:val="16"/>
                <w:szCs w:val="16"/>
              </w:rPr>
              <w:t>PCMH</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D2D19" w:rsidRPr="00CA0AE3" w:rsidRDefault="00CD2D19" w:rsidP="00967218">
            <w:pPr>
              <w:spacing w:after="0" w:line="240" w:lineRule="auto"/>
              <w:jc w:val="center"/>
              <w:rPr>
                <w:sz w:val="16"/>
                <w:szCs w:val="16"/>
              </w:rPr>
            </w:pPr>
            <w:r w:rsidRPr="00CA0AE3">
              <w:rPr>
                <w:sz w:val="16"/>
                <w:szCs w:val="16"/>
              </w:rPr>
              <w:t>No external benchmark; hospital specific improvement target = 90%</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D2D19" w:rsidRPr="00CA0AE3" w:rsidRDefault="00CD2D19" w:rsidP="00967218">
            <w:pPr>
              <w:spacing w:after="0" w:line="240" w:lineRule="auto"/>
              <w:jc w:val="center"/>
              <w:rPr>
                <w:color w:val="000000"/>
                <w:sz w:val="16"/>
                <w:szCs w:val="16"/>
              </w:rPr>
            </w:pPr>
            <w:r w:rsidRPr="00CA0AE3">
              <w:rPr>
                <w:bCs/>
                <w:sz w:val="16"/>
                <w:szCs w:val="16"/>
              </w:rPr>
              <w:t>Gap to Goal (10%) or attainment at target</w:t>
            </w:r>
          </w:p>
        </w:tc>
        <w:tc>
          <w:tcPr>
            <w:tcW w:w="1068"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D2D19" w:rsidRPr="00CA0AE3" w:rsidRDefault="00CD2D19" w:rsidP="00967218">
            <w:pPr>
              <w:spacing w:after="0" w:line="240" w:lineRule="auto"/>
              <w:jc w:val="center"/>
              <w:rPr>
                <w:rFonts w:eastAsia="Times New Roman"/>
                <w:b/>
                <w:bCs/>
                <w:kern w:val="24"/>
                <w:sz w:val="16"/>
                <w:szCs w:val="16"/>
              </w:rPr>
            </w:pPr>
            <w:r w:rsidRPr="00CA0AE3">
              <w:rPr>
                <w:rFonts w:eastAsia="Times New Roman"/>
                <w:b/>
                <w:bCs/>
                <w:kern w:val="24"/>
                <w:sz w:val="16"/>
                <w:szCs w:val="16"/>
              </w:rPr>
              <w:t>B</w:t>
            </w:r>
          </w:p>
        </w:tc>
        <w:tc>
          <w:tcPr>
            <w:tcW w:w="1068"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D2D19" w:rsidRPr="00CA0AE3" w:rsidRDefault="00CD2D19" w:rsidP="00967218">
            <w:pPr>
              <w:spacing w:after="0" w:line="240" w:lineRule="auto"/>
              <w:jc w:val="center"/>
              <w:rPr>
                <w:rFonts w:eastAsia="Times New Roman"/>
                <w:b/>
                <w:sz w:val="16"/>
                <w:szCs w:val="16"/>
              </w:rPr>
            </w:pPr>
            <w:r w:rsidRPr="00CA0AE3">
              <w:rPr>
                <w:rFonts w:eastAsia="Times New Roman"/>
                <w:b/>
                <w:sz w:val="16"/>
                <w:szCs w:val="16"/>
              </w:rPr>
              <w:t>O</w:t>
            </w:r>
          </w:p>
        </w:tc>
        <w:tc>
          <w:tcPr>
            <w:tcW w:w="1069"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D2D19" w:rsidRPr="00CA0AE3" w:rsidRDefault="00CD2D19" w:rsidP="00967218">
            <w:pPr>
              <w:spacing w:after="0" w:line="240" w:lineRule="auto"/>
              <w:jc w:val="center"/>
              <w:rPr>
                <w:rFonts w:eastAsia="Times New Roman"/>
                <w:b/>
                <w:sz w:val="16"/>
                <w:szCs w:val="16"/>
              </w:rPr>
            </w:pPr>
            <w:r w:rsidRPr="00CA0AE3">
              <w:rPr>
                <w:rFonts w:eastAsia="Times New Roman"/>
                <w:b/>
                <w:sz w:val="16"/>
                <w:szCs w:val="16"/>
              </w:rPr>
              <w:t>O</w:t>
            </w:r>
          </w:p>
        </w:tc>
        <w:tc>
          <w:tcPr>
            <w:tcW w:w="1068"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D2D19" w:rsidRPr="00CA0AE3" w:rsidRDefault="00CD2D19" w:rsidP="00967218">
            <w:pPr>
              <w:spacing w:after="0" w:line="240" w:lineRule="auto"/>
              <w:jc w:val="center"/>
              <w:rPr>
                <w:rFonts w:eastAsia="Times New Roman"/>
                <w:b/>
                <w:sz w:val="16"/>
                <w:szCs w:val="16"/>
              </w:rPr>
            </w:pPr>
            <w:r w:rsidRPr="00CA0AE3">
              <w:rPr>
                <w:rFonts w:eastAsia="Times New Roman"/>
                <w:b/>
                <w:sz w:val="16"/>
                <w:szCs w:val="16"/>
              </w:rPr>
              <w:t>O</w:t>
            </w:r>
          </w:p>
        </w:tc>
        <w:tc>
          <w:tcPr>
            <w:tcW w:w="1069"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D2D19" w:rsidRPr="00CA0AE3" w:rsidRDefault="00CD2D19" w:rsidP="00967218">
            <w:pPr>
              <w:spacing w:after="0" w:line="240" w:lineRule="auto"/>
              <w:jc w:val="center"/>
              <w:rPr>
                <w:rFonts w:eastAsia="Times New Roman"/>
                <w:b/>
                <w:sz w:val="16"/>
                <w:szCs w:val="16"/>
              </w:rPr>
            </w:pPr>
            <w:r w:rsidRPr="00CA0AE3">
              <w:rPr>
                <w:rFonts w:eastAsia="Times New Roman"/>
                <w:b/>
                <w:sz w:val="16"/>
                <w:szCs w:val="16"/>
              </w:rPr>
              <w:t>O</w:t>
            </w:r>
          </w:p>
        </w:tc>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tcPr>
          <w:p w:rsidR="00CD2D19" w:rsidRPr="00CA0AE3" w:rsidRDefault="00CD2D19" w:rsidP="00967218">
            <w:pPr>
              <w:spacing w:after="0" w:line="240" w:lineRule="auto"/>
              <w:rPr>
                <w:rFonts w:eastAsia="Times New Roman"/>
                <w:sz w:val="16"/>
                <w:szCs w:val="16"/>
              </w:rPr>
            </w:pPr>
            <w:r w:rsidRPr="00CA0AE3">
              <w:rPr>
                <w:rFonts w:eastAsia="Times New Roman"/>
                <w:sz w:val="16"/>
                <w:szCs w:val="16"/>
              </w:rPr>
              <w:t>Target based on evidence-based depression programming in primary care.</w:t>
            </w:r>
          </w:p>
        </w:tc>
      </w:tr>
      <w:tr w:rsidR="00CD2D19" w:rsidRPr="00CA0AE3" w:rsidTr="00967218">
        <w:trPr>
          <w:cantSplit/>
          <w:jc w:val="center"/>
        </w:trPr>
        <w:tc>
          <w:tcPr>
            <w:tcW w:w="370" w:type="dxa"/>
            <w:tcBorders>
              <w:top w:val="single" w:sz="8" w:space="0" w:color="000000"/>
              <w:left w:val="single" w:sz="8" w:space="0" w:color="000000"/>
              <w:bottom w:val="single" w:sz="8" w:space="0" w:color="000000"/>
              <w:right w:val="single" w:sz="8" w:space="0" w:color="000000"/>
            </w:tcBorders>
            <w:vAlign w:val="center"/>
          </w:tcPr>
          <w:p w:rsidR="00CD2D19" w:rsidRPr="00CA0AE3" w:rsidRDefault="00E651A8" w:rsidP="00967218">
            <w:pPr>
              <w:spacing w:after="0" w:line="240" w:lineRule="auto"/>
              <w:jc w:val="center"/>
              <w:rPr>
                <w:sz w:val="16"/>
                <w:szCs w:val="16"/>
              </w:rPr>
            </w:pPr>
            <w:r w:rsidRPr="00CA0AE3">
              <w:rPr>
                <w:sz w:val="16"/>
                <w:szCs w:val="16"/>
              </w:rPr>
              <w:t>4</w:t>
            </w:r>
          </w:p>
        </w:tc>
        <w:tc>
          <w:tcPr>
            <w:tcW w:w="1455"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D2D19" w:rsidRPr="00CA0AE3" w:rsidRDefault="00CD2D19" w:rsidP="00967218">
            <w:pPr>
              <w:spacing w:after="0" w:line="240" w:lineRule="auto"/>
              <w:rPr>
                <w:sz w:val="16"/>
                <w:szCs w:val="16"/>
              </w:rPr>
            </w:pPr>
            <w:r w:rsidRPr="00CA0AE3">
              <w:rPr>
                <w:sz w:val="16"/>
                <w:szCs w:val="16"/>
              </w:rPr>
              <w:t xml:space="preserve">Primary Care Provider confidence in management of substance use disorders, measured through annual survey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D2D19" w:rsidRPr="00CA0AE3" w:rsidRDefault="00CD2D19" w:rsidP="00967218">
            <w:pPr>
              <w:spacing w:after="0" w:line="240" w:lineRule="auto"/>
              <w:jc w:val="center"/>
              <w:rPr>
                <w:bCs/>
                <w:sz w:val="16"/>
                <w:szCs w:val="16"/>
              </w:rPr>
            </w:pPr>
            <w:r w:rsidRPr="00CA0AE3">
              <w:rPr>
                <w:sz w:val="16"/>
                <w:szCs w:val="16"/>
              </w:rPr>
              <w:t>PCMH</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D2D19" w:rsidRPr="00CA0AE3" w:rsidRDefault="00CD2D19" w:rsidP="00967218">
            <w:pPr>
              <w:spacing w:after="0" w:line="240" w:lineRule="auto"/>
              <w:jc w:val="center"/>
              <w:rPr>
                <w:sz w:val="16"/>
                <w:szCs w:val="16"/>
              </w:rPr>
            </w:pPr>
            <w:r w:rsidRPr="00CA0AE3">
              <w:rPr>
                <w:sz w:val="16"/>
                <w:szCs w:val="16"/>
              </w:rPr>
              <w:t>No external benchmark; hospital specific improvement target = 70%</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D2D19" w:rsidRPr="00CA0AE3" w:rsidRDefault="00CD2D19" w:rsidP="00967218">
            <w:pPr>
              <w:spacing w:after="0" w:line="240" w:lineRule="auto"/>
              <w:jc w:val="center"/>
              <w:rPr>
                <w:color w:val="000000"/>
                <w:sz w:val="16"/>
                <w:szCs w:val="16"/>
              </w:rPr>
            </w:pPr>
            <w:r w:rsidRPr="00CA0AE3">
              <w:rPr>
                <w:bCs/>
                <w:sz w:val="16"/>
                <w:szCs w:val="16"/>
              </w:rPr>
              <w:t>Gap to Goal (10%) or attainment at target</w:t>
            </w:r>
          </w:p>
        </w:tc>
        <w:tc>
          <w:tcPr>
            <w:tcW w:w="1068"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D2D19" w:rsidRPr="00CA0AE3" w:rsidRDefault="00CD2D19" w:rsidP="00967218">
            <w:pPr>
              <w:spacing w:after="0" w:line="240" w:lineRule="auto"/>
              <w:jc w:val="center"/>
              <w:rPr>
                <w:rFonts w:eastAsia="Times New Roman"/>
                <w:b/>
                <w:bCs/>
                <w:kern w:val="24"/>
                <w:sz w:val="16"/>
                <w:szCs w:val="16"/>
              </w:rPr>
            </w:pPr>
            <w:r w:rsidRPr="00CA0AE3">
              <w:rPr>
                <w:rFonts w:eastAsia="Times New Roman"/>
                <w:b/>
                <w:bCs/>
                <w:kern w:val="24"/>
                <w:sz w:val="16"/>
                <w:szCs w:val="16"/>
              </w:rPr>
              <w:t>B</w:t>
            </w:r>
          </w:p>
        </w:tc>
        <w:tc>
          <w:tcPr>
            <w:tcW w:w="1068"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D2D19" w:rsidRPr="00CA0AE3" w:rsidRDefault="00CD2D19" w:rsidP="00967218">
            <w:pPr>
              <w:spacing w:after="0" w:line="240" w:lineRule="auto"/>
              <w:jc w:val="center"/>
              <w:rPr>
                <w:rFonts w:eastAsia="Times New Roman"/>
                <w:b/>
                <w:sz w:val="16"/>
                <w:szCs w:val="16"/>
              </w:rPr>
            </w:pPr>
            <w:r w:rsidRPr="00CA0AE3">
              <w:rPr>
                <w:rFonts w:eastAsia="Times New Roman"/>
                <w:b/>
                <w:sz w:val="16"/>
                <w:szCs w:val="16"/>
              </w:rPr>
              <w:t>O</w:t>
            </w:r>
          </w:p>
        </w:tc>
        <w:tc>
          <w:tcPr>
            <w:tcW w:w="1069"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D2D19" w:rsidRPr="00CA0AE3" w:rsidRDefault="00CD2D19" w:rsidP="00967218">
            <w:pPr>
              <w:spacing w:after="0" w:line="240" w:lineRule="auto"/>
              <w:jc w:val="center"/>
              <w:rPr>
                <w:rFonts w:eastAsia="Times New Roman"/>
                <w:b/>
                <w:sz w:val="16"/>
                <w:szCs w:val="16"/>
              </w:rPr>
            </w:pPr>
            <w:r w:rsidRPr="00CA0AE3">
              <w:rPr>
                <w:rFonts w:eastAsia="Times New Roman"/>
                <w:b/>
                <w:sz w:val="16"/>
                <w:szCs w:val="16"/>
              </w:rPr>
              <w:t>O</w:t>
            </w:r>
          </w:p>
        </w:tc>
        <w:tc>
          <w:tcPr>
            <w:tcW w:w="1068"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D2D19" w:rsidRPr="00CA0AE3" w:rsidRDefault="00CD2D19" w:rsidP="00967218">
            <w:pPr>
              <w:spacing w:after="0" w:line="240" w:lineRule="auto"/>
              <w:jc w:val="center"/>
              <w:rPr>
                <w:rFonts w:eastAsia="Times New Roman"/>
                <w:b/>
                <w:sz w:val="16"/>
                <w:szCs w:val="16"/>
              </w:rPr>
            </w:pPr>
            <w:r w:rsidRPr="00CA0AE3">
              <w:rPr>
                <w:rFonts w:eastAsia="Times New Roman"/>
                <w:b/>
                <w:sz w:val="16"/>
                <w:szCs w:val="16"/>
              </w:rPr>
              <w:t>O</w:t>
            </w:r>
          </w:p>
        </w:tc>
        <w:tc>
          <w:tcPr>
            <w:tcW w:w="1069"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D2D19" w:rsidRPr="00CA0AE3" w:rsidRDefault="00CD2D19" w:rsidP="00967218">
            <w:pPr>
              <w:spacing w:after="0" w:line="240" w:lineRule="auto"/>
              <w:jc w:val="center"/>
              <w:rPr>
                <w:rFonts w:eastAsia="Times New Roman"/>
                <w:b/>
                <w:sz w:val="16"/>
                <w:szCs w:val="16"/>
              </w:rPr>
            </w:pPr>
            <w:r w:rsidRPr="00CA0AE3">
              <w:rPr>
                <w:rFonts w:eastAsia="Times New Roman"/>
                <w:b/>
                <w:sz w:val="16"/>
                <w:szCs w:val="16"/>
              </w:rPr>
              <w:t>O</w:t>
            </w:r>
          </w:p>
        </w:tc>
        <w:tc>
          <w:tcPr>
            <w:tcW w:w="0" w:type="auto"/>
            <w:tcBorders>
              <w:top w:val="single" w:sz="8" w:space="0" w:color="000000"/>
              <w:left w:val="single" w:sz="8" w:space="0" w:color="000000"/>
              <w:bottom w:val="single" w:sz="8" w:space="0" w:color="000000"/>
              <w:right w:val="single" w:sz="8" w:space="0" w:color="000000"/>
            </w:tcBorders>
            <w:vAlign w:val="center"/>
          </w:tcPr>
          <w:p w:rsidR="00CD2D19" w:rsidRPr="00CA0AE3" w:rsidRDefault="00CD2D19" w:rsidP="00967218">
            <w:pPr>
              <w:spacing w:after="0" w:line="240" w:lineRule="auto"/>
              <w:rPr>
                <w:rFonts w:eastAsia="Times New Roman"/>
                <w:sz w:val="16"/>
                <w:szCs w:val="16"/>
              </w:rPr>
            </w:pPr>
            <w:r w:rsidRPr="00CA0AE3">
              <w:rPr>
                <w:rFonts w:eastAsia="Times New Roman"/>
                <w:sz w:val="16"/>
                <w:szCs w:val="16"/>
              </w:rPr>
              <w:t>Target based on newness of initiative introducing universal screening for substance use disorders in primary care and care management initiatives.</w:t>
            </w:r>
          </w:p>
        </w:tc>
      </w:tr>
      <w:tr w:rsidR="00CD2D19" w:rsidRPr="00CA0AE3" w:rsidTr="00967218">
        <w:trPr>
          <w:cantSplit/>
          <w:jc w:val="center"/>
        </w:trPr>
        <w:tc>
          <w:tcPr>
            <w:tcW w:w="370" w:type="dxa"/>
            <w:tcBorders>
              <w:top w:val="single" w:sz="8" w:space="0" w:color="000000"/>
              <w:left w:val="single" w:sz="8" w:space="0" w:color="000000"/>
              <w:bottom w:val="single" w:sz="8" w:space="0" w:color="000000"/>
              <w:right w:val="single" w:sz="8" w:space="0" w:color="000000"/>
            </w:tcBorders>
            <w:vAlign w:val="center"/>
          </w:tcPr>
          <w:p w:rsidR="00CD2D19" w:rsidRPr="00CA0AE3" w:rsidRDefault="000D526D" w:rsidP="00967218">
            <w:pPr>
              <w:spacing w:after="0" w:line="240" w:lineRule="auto"/>
              <w:jc w:val="center"/>
              <w:rPr>
                <w:sz w:val="16"/>
                <w:szCs w:val="16"/>
              </w:rPr>
            </w:pPr>
            <w:r w:rsidRPr="00CA0AE3">
              <w:rPr>
                <w:sz w:val="16"/>
                <w:szCs w:val="16"/>
              </w:rPr>
              <w:lastRenderedPageBreak/>
              <w:t>5</w:t>
            </w:r>
          </w:p>
        </w:tc>
        <w:tc>
          <w:tcPr>
            <w:tcW w:w="1455"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D2D19" w:rsidRPr="00CA0AE3" w:rsidRDefault="00CD2D19" w:rsidP="00967218">
            <w:pPr>
              <w:spacing w:after="0" w:line="240" w:lineRule="auto"/>
              <w:rPr>
                <w:bCs/>
                <w:sz w:val="16"/>
                <w:szCs w:val="16"/>
              </w:rPr>
            </w:pPr>
            <w:r w:rsidRPr="00CA0AE3">
              <w:rPr>
                <w:bCs/>
                <w:sz w:val="16"/>
                <w:szCs w:val="16"/>
              </w:rPr>
              <w:t>Screening and Brief Intervention for Alcohol Use for adults</w:t>
            </w:r>
          </w:p>
          <w:p w:rsidR="00CD2D19" w:rsidRPr="00CA0AE3" w:rsidRDefault="00CD2D19" w:rsidP="00967218">
            <w:pPr>
              <w:spacing w:after="0" w:line="240" w:lineRule="auto"/>
              <w:rPr>
                <w:bCs/>
                <w:sz w:val="16"/>
                <w:szCs w:val="16"/>
              </w:rPr>
            </w:pPr>
            <w:r w:rsidRPr="00CA0AE3">
              <w:rPr>
                <w:sz w:val="16"/>
                <w:szCs w:val="16"/>
              </w:rPr>
              <w:t>(across all core primary care sites)</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D2D19" w:rsidRPr="00CA0AE3" w:rsidRDefault="00CD2D19" w:rsidP="00967218">
            <w:pPr>
              <w:spacing w:after="0" w:line="240" w:lineRule="auto"/>
              <w:jc w:val="center"/>
              <w:rPr>
                <w:sz w:val="16"/>
                <w:szCs w:val="16"/>
              </w:rPr>
            </w:pPr>
            <w:r w:rsidRPr="00CA0AE3">
              <w:rPr>
                <w:bCs/>
                <w:sz w:val="16"/>
                <w:szCs w:val="16"/>
              </w:rPr>
              <w:t>NQF 2152</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D2D19" w:rsidRPr="00CA0AE3" w:rsidRDefault="00CD2D19" w:rsidP="00967218">
            <w:pPr>
              <w:spacing w:after="0" w:line="240" w:lineRule="auto"/>
              <w:jc w:val="center"/>
              <w:rPr>
                <w:bCs/>
                <w:sz w:val="16"/>
                <w:szCs w:val="16"/>
              </w:rPr>
            </w:pPr>
            <w:r w:rsidRPr="00CA0AE3">
              <w:rPr>
                <w:sz w:val="16"/>
                <w:szCs w:val="16"/>
              </w:rPr>
              <w:t>No external benchmark; hospital specific improvement target = 65%</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D2D19" w:rsidRPr="00CA0AE3" w:rsidRDefault="00CD2D19" w:rsidP="00967218">
            <w:pPr>
              <w:spacing w:after="0" w:line="240" w:lineRule="auto"/>
              <w:jc w:val="center"/>
              <w:rPr>
                <w:sz w:val="16"/>
                <w:szCs w:val="16"/>
              </w:rPr>
            </w:pPr>
            <w:r w:rsidRPr="00CA0AE3">
              <w:rPr>
                <w:bCs/>
                <w:sz w:val="16"/>
                <w:szCs w:val="16"/>
              </w:rPr>
              <w:t>Gap to Goal (10%) or attainment at target</w:t>
            </w:r>
          </w:p>
        </w:tc>
        <w:tc>
          <w:tcPr>
            <w:tcW w:w="1068"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D2D19" w:rsidRPr="00CA0AE3" w:rsidRDefault="00CD2D19" w:rsidP="00967218">
            <w:pPr>
              <w:spacing w:after="0" w:line="240" w:lineRule="auto"/>
              <w:jc w:val="center"/>
              <w:rPr>
                <w:rFonts w:eastAsia="Times New Roman"/>
                <w:b/>
                <w:bCs/>
                <w:kern w:val="24"/>
                <w:sz w:val="16"/>
                <w:szCs w:val="16"/>
              </w:rPr>
            </w:pPr>
            <w:r w:rsidRPr="00CA0AE3">
              <w:rPr>
                <w:rFonts w:eastAsia="Times New Roman"/>
                <w:b/>
                <w:bCs/>
                <w:kern w:val="24"/>
                <w:sz w:val="16"/>
                <w:szCs w:val="16"/>
              </w:rPr>
              <w:t>O</w:t>
            </w:r>
          </w:p>
        </w:tc>
        <w:tc>
          <w:tcPr>
            <w:tcW w:w="1068"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D2D19" w:rsidRPr="00CA0AE3" w:rsidRDefault="00CD2D19" w:rsidP="00967218">
            <w:pPr>
              <w:spacing w:after="0" w:line="240" w:lineRule="auto"/>
              <w:jc w:val="center"/>
              <w:rPr>
                <w:rFonts w:eastAsia="Times New Roman"/>
                <w:b/>
                <w:sz w:val="16"/>
                <w:szCs w:val="16"/>
              </w:rPr>
            </w:pPr>
            <w:r w:rsidRPr="00CA0AE3">
              <w:rPr>
                <w:rFonts w:eastAsia="Times New Roman"/>
                <w:b/>
                <w:sz w:val="16"/>
                <w:szCs w:val="16"/>
              </w:rPr>
              <w:t>O</w:t>
            </w:r>
          </w:p>
        </w:tc>
        <w:tc>
          <w:tcPr>
            <w:tcW w:w="1069"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D2D19" w:rsidRPr="00CA0AE3" w:rsidRDefault="00CD2D19" w:rsidP="00967218">
            <w:pPr>
              <w:spacing w:after="0" w:line="240" w:lineRule="auto"/>
              <w:jc w:val="center"/>
              <w:rPr>
                <w:rFonts w:eastAsia="Times New Roman"/>
                <w:b/>
                <w:sz w:val="16"/>
                <w:szCs w:val="16"/>
              </w:rPr>
            </w:pPr>
            <w:r w:rsidRPr="00CA0AE3">
              <w:rPr>
                <w:rFonts w:eastAsia="Times New Roman"/>
                <w:b/>
                <w:sz w:val="16"/>
                <w:szCs w:val="16"/>
              </w:rPr>
              <w:t>O</w:t>
            </w:r>
          </w:p>
        </w:tc>
        <w:tc>
          <w:tcPr>
            <w:tcW w:w="1068"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D2D19" w:rsidRPr="00CA0AE3" w:rsidRDefault="00CD2D19" w:rsidP="00967218">
            <w:pPr>
              <w:spacing w:after="0" w:line="240" w:lineRule="auto"/>
              <w:jc w:val="center"/>
              <w:rPr>
                <w:rFonts w:eastAsia="Times New Roman"/>
                <w:b/>
                <w:sz w:val="16"/>
                <w:szCs w:val="16"/>
              </w:rPr>
            </w:pPr>
            <w:r w:rsidRPr="00CA0AE3">
              <w:rPr>
                <w:rFonts w:eastAsia="Times New Roman"/>
                <w:b/>
                <w:sz w:val="16"/>
                <w:szCs w:val="16"/>
              </w:rPr>
              <w:t>O</w:t>
            </w:r>
          </w:p>
        </w:tc>
        <w:tc>
          <w:tcPr>
            <w:tcW w:w="1069"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D2D19" w:rsidRPr="00CA0AE3" w:rsidRDefault="00CD2D19" w:rsidP="00967218">
            <w:pPr>
              <w:spacing w:after="0" w:line="240" w:lineRule="auto"/>
              <w:jc w:val="center"/>
              <w:rPr>
                <w:rFonts w:eastAsia="Times New Roman"/>
                <w:b/>
                <w:sz w:val="16"/>
                <w:szCs w:val="16"/>
              </w:rPr>
            </w:pPr>
            <w:r w:rsidRPr="00CA0AE3">
              <w:rPr>
                <w:rFonts w:eastAsia="Times New Roman"/>
                <w:b/>
                <w:sz w:val="16"/>
                <w:szCs w:val="16"/>
              </w:rPr>
              <w:t>O</w:t>
            </w:r>
          </w:p>
        </w:tc>
        <w:tc>
          <w:tcPr>
            <w:tcW w:w="0" w:type="auto"/>
            <w:tcBorders>
              <w:top w:val="single" w:sz="8" w:space="0" w:color="000000"/>
              <w:left w:val="single" w:sz="8" w:space="0" w:color="000000"/>
              <w:bottom w:val="single" w:sz="8" w:space="0" w:color="000000"/>
              <w:right w:val="single" w:sz="8" w:space="0" w:color="000000"/>
            </w:tcBorders>
            <w:vAlign w:val="center"/>
          </w:tcPr>
          <w:p w:rsidR="00CD2D19" w:rsidRPr="00CA0AE3" w:rsidRDefault="00CD2D19" w:rsidP="00B3615C">
            <w:pPr>
              <w:spacing w:after="0" w:line="240" w:lineRule="auto"/>
              <w:rPr>
                <w:rFonts w:eastAsia="Times New Roman"/>
                <w:sz w:val="16"/>
                <w:szCs w:val="16"/>
              </w:rPr>
            </w:pPr>
            <w:r w:rsidRPr="00CA0AE3">
              <w:rPr>
                <w:sz w:val="16"/>
                <w:szCs w:val="16"/>
              </w:rPr>
              <w:t>Target based on literature review of best practice performance levels.</w:t>
            </w:r>
            <w:r w:rsidRPr="00CA0AE3">
              <w:rPr>
                <w:rStyle w:val="FootnoteReference"/>
                <w:sz w:val="16"/>
                <w:szCs w:val="16"/>
              </w:rPr>
              <w:footnoteReference w:id="62"/>
            </w:r>
          </w:p>
        </w:tc>
      </w:tr>
      <w:tr w:rsidR="00CD2D19" w:rsidRPr="00CA0AE3" w:rsidTr="00967218">
        <w:trPr>
          <w:cantSplit/>
          <w:jc w:val="center"/>
        </w:trPr>
        <w:tc>
          <w:tcPr>
            <w:tcW w:w="370" w:type="dxa"/>
            <w:tcBorders>
              <w:top w:val="single" w:sz="8" w:space="0" w:color="000000"/>
              <w:left w:val="single" w:sz="8" w:space="0" w:color="000000"/>
              <w:bottom w:val="single" w:sz="8" w:space="0" w:color="000000"/>
              <w:right w:val="single" w:sz="8" w:space="0" w:color="000000"/>
            </w:tcBorders>
            <w:vAlign w:val="center"/>
          </w:tcPr>
          <w:p w:rsidR="00CD2D19" w:rsidRPr="00CA0AE3" w:rsidRDefault="000D526D" w:rsidP="00967218">
            <w:pPr>
              <w:spacing w:after="0" w:line="240" w:lineRule="auto"/>
              <w:jc w:val="center"/>
              <w:rPr>
                <w:sz w:val="16"/>
                <w:szCs w:val="16"/>
              </w:rPr>
            </w:pPr>
            <w:r w:rsidRPr="00CA0AE3">
              <w:rPr>
                <w:sz w:val="16"/>
                <w:szCs w:val="16"/>
              </w:rPr>
              <w:t>6</w:t>
            </w:r>
          </w:p>
        </w:tc>
        <w:tc>
          <w:tcPr>
            <w:tcW w:w="1455"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D2D19" w:rsidRPr="00CA0AE3" w:rsidRDefault="00CD2D19" w:rsidP="00967218">
            <w:pPr>
              <w:spacing w:after="0" w:line="240" w:lineRule="auto"/>
              <w:rPr>
                <w:sz w:val="16"/>
                <w:szCs w:val="16"/>
              </w:rPr>
            </w:pPr>
            <w:r w:rsidRPr="00CA0AE3">
              <w:rPr>
                <w:sz w:val="16"/>
                <w:szCs w:val="16"/>
              </w:rPr>
              <w:t>Screening and Brief Intervention for Drug Use for adults</w:t>
            </w:r>
          </w:p>
          <w:p w:rsidR="00CD2D19" w:rsidRPr="00CA0AE3" w:rsidRDefault="00CD2D19" w:rsidP="00967218">
            <w:pPr>
              <w:spacing w:after="0" w:line="240" w:lineRule="auto"/>
              <w:rPr>
                <w:sz w:val="16"/>
                <w:szCs w:val="16"/>
              </w:rPr>
            </w:pPr>
            <w:r w:rsidRPr="00CA0AE3">
              <w:rPr>
                <w:sz w:val="16"/>
                <w:szCs w:val="16"/>
              </w:rPr>
              <w:t>(across all core primary care sites)</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D2D19" w:rsidRPr="00CA0AE3" w:rsidRDefault="00CD2D19" w:rsidP="00967218">
            <w:pPr>
              <w:spacing w:after="0" w:line="240" w:lineRule="auto"/>
              <w:jc w:val="center"/>
              <w:rPr>
                <w:bCs/>
                <w:sz w:val="16"/>
                <w:szCs w:val="16"/>
              </w:rPr>
            </w:pPr>
            <w:r w:rsidRPr="00CA0AE3">
              <w:rPr>
                <w:bCs/>
                <w:sz w:val="16"/>
                <w:szCs w:val="16"/>
              </w:rPr>
              <w:t>NQF 2152, adapted to include substance use</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D2D19" w:rsidRPr="00CA0AE3" w:rsidRDefault="00CD2D19" w:rsidP="00967218">
            <w:pPr>
              <w:spacing w:after="0" w:line="240" w:lineRule="auto"/>
              <w:jc w:val="center"/>
              <w:rPr>
                <w:bCs/>
                <w:sz w:val="16"/>
                <w:szCs w:val="16"/>
              </w:rPr>
            </w:pPr>
            <w:r w:rsidRPr="00CA0AE3">
              <w:rPr>
                <w:sz w:val="16"/>
                <w:szCs w:val="16"/>
              </w:rPr>
              <w:t>No external benchmark; hospital specific improvement target = 65%</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D2D19" w:rsidRPr="00CA0AE3" w:rsidRDefault="00CD2D19" w:rsidP="00967218">
            <w:pPr>
              <w:spacing w:after="0" w:line="240" w:lineRule="auto"/>
              <w:jc w:val="center"/>
              <w:rPr>
                <w:sz w:val="16"/>
                <w:szCs w:val="16"/>
              </w:rPr>
            </w:pPr>
            <w:r w:rsidRPr="00CA0AE3">
              <w:rPr>
                <w:bCs/>
                <w:sz w:val="16"/>
                <w:szCs w:val="16"/>
              </w:rPr>
              <w:t>Gap to Goal (10%) or attainment at target</w:t>
            </w:r>
          </w:p>
        </w:tc>
        <w:tc>
          <w:tcPr>
            <w:tcW w:w="1068"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D2D19" w:rsidRPr="00CA0AE3" w:rsidRDefault="00CD2D19" w:rsidP="00967218">
            <w:pPr>
              <w:spacing w:after="0" w:line="240" w:lineRule="auto"/>
              <w:jc w:val="center"/>
              <w:rPr>
                <w:rFonts w:eastAsia="Times New Roman"/>
                <w:b/>
                <w:bCs/>
                <w:kern w:val="24"/>
                <w:sz w:val="16"/>
                <w:szCs w:val="16"/>
              </w:rPr>
            </w:pPr>
            <w:r w:rsidRPr="00CA0AE3">
              <w:rPr>
                <w:rFonts w:eastAsia="Times New Roman"/>
                <w:b/>
                <w:bCs/>
                <w:kern w:val="24"/>
                <w:sz w:val="16"/>
                <w:szCs w:val="16"/>
              </w:rPr>
              <w:t>B</w:t>
            </w:r>
          </w:p>
        </w:tc>
        <w:tc>
          <w:tcPr>
            <w:tcW w:w="1068"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D2D19" w:rsidRPr="00CA0AE3" w:rsidRDefault="00CD2D19" w:rsidP="00967218">
            <w:pPr>
              <w:spacing w:after="0" w:line="240" w:lineRule="auto"/>
              <w:jc w:val="center"/>
              <w:rPr>
                <w:rFonts w:eastAsia="Times New Roman"/>
                <w:b/>
                <w:sz w:val="16"/>
                <w:szCs w:val="16"/>
              </w:rPr>
            </w:pPr>
            <w:r w:rsidRPr="00CA0AE3">
              <w:rPr>
                <w:rFonts w:eastAsia="Times New Roman"/>
                <w:b/>
                <w:sz w:val="16"/>
                <w:szCs w:val="16"/>
              </w:rPr>
              <w:t>O</w:t>
            </w:r>
          </w:p>
        </w:tc>
        <w:tc>
          <w:tcPr>
            <w:tcW w:w="1069"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D2D19" w:rsidRPr="00CA0AE3" w:rsidRDefault="00CD2D19" w:rsidP="00967218">
            <w:pPr>
              <w:spacing w:after="0" w:line="240" w:lineRule="auto"/>
              <w:jc w:val="center"/>
              <w:rPr>
                <w:rFonts w:eastAsia="Times New Roman"/>
                <w:b/>
                <w:sz w:val="16"/>
                <w:szCs w:val="16"/>
              </w:rPr>
            </w:pPr>
            <w:r w:rsidRPr="00CA0AE3">
              <w:rPr>
                <w:rFonts w:eastAsia="Times New Roman"/>
                <w:b/>
                <w:sz w:val="16"/>
                <w:szCs w:val="16"/>
              </w:rPr>
              <w:t>O</w:t>
            </w:r>
          </w:p>
        </w:tc>
        <w:tc>
          <w:tcPr>
            <w:tcW w:w="1068"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D2D19" w:rsidRPr="00CA0AE3" w:rsidRDefault="00CD2D19" w:rsidP="00967218">
            <w:pPr>
              <w:spacing w:after="0" w:line="240" w:lineRule="auto"/>
              <w:jc w:val="center"/>
              <w:rPr>
                <w:rFonts w:eastAsia="Times New Roman"/>
                <w:b/>
                <w:sz w:val="16"/>
                <w:szCs w:val="16"/>
              </w:rPr>
            </w:pPr>
            <w:r w:rsidRPr="00CA0AE3">
              <w:rPr>
                <w:rFonts w:eastAsia="Times New Roman"/>
                <w:b/>
                <w:sz w:val="16"/>
                <w:szCs w:val="16"/>
              </w:rPr>
              <w:t>O</w:t>
            </w:r>
          </w:p>
        </w:tc>
        <w:tc>
          <w:tcPr>
            <w:tcW w:w="1069"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D2D19" w:rsidRPr="00CA0AE3" w:rsidRDefault="00CD2D19" w:rsidP="00967218">
            <w:pPr>
              <w:spacing w:after="0" w:line="240" w:lineRule="auto"/>
              <w:jc w:val="center"/>
              <w:rPr>
                <w:rFonts w:eastAsia="Times New Roman"/>
                <w:b/>
                <w:sz w:val="16"/>
                <w:szCs w:val="16"/>
              </w:rPr>
            </w:pPr>
            <w:r w:rsidRPr="00CA0AE3">
              <w:rPr>
                <w:rFonts w:eastAsia="Times New Roman"/>
                <w:b/>
                <w:sz w:val="16"/>
                <w:szCs w:val="16"/>
              </w:rPr>
              <w:t>O</w:t>
            </w:r>
          </w:p>
        </w:tc>
        <w:tc>
          <w:tcPr>
            <w:tcW w:w="0" w:type="auto"/>
            <w:tcBorders>
              <w:top w:val="single" w:sz="8" w:space="0" w:color="000000"/>
              <w:left w:val="single" w:sz="8" w:space="0" w:color="000000"/>
              <w:bottom w:val="single" w:sz="8" w:space="0" w:color="000000"/>
              <w:right w:val="single" w:sz="8" w:space="0" w:color="000000"/>
            </w:tcBorders>
            <w:vAlign w:val="center"/>
          </w:tcPr>
          <w:p w:rsidR="00CD2D19" w:rsidRPr="00CA0AE3" w:rsidRDefault="00CD2D19" w:rsidP="00967218">
            <w:pPr>
              <w:spacing w:after="0" w:line="240" w:lineRule="auto"/>
              <w:rPr>
                <w:rFonts w:eastAsia="Times New Roman"/>
                <w:sz w:val="16"/>
                <w:szCs w:val="16"/>
              </w:rPr>
            </w:pPr>
            <w:r w:rsidRPr="00CA0AE3">
              <w:rPr>
                <w:rFonts w:eastAsia="Times New Roman"/>
                <w:sz w:val="16"/>
                <w:szCs w:val="16"/>
              </w:rPr>
              <w:t xml:space="preserve">Same as above. </w:t>
            </w:r>
          </w:p>
        </w:tc>
      </w:tr>
      <w:tr w:rsidR="00CD2D19" w:rsidRPr="00CA0AE3" w:rsidTr="00967218">
        <w:trPr>
          <w:cantSplit/>
          <w:jc w:val="center"/>
        </w:trPr>
        <w:tc>
          <w:tcPr>
            <w:tcW w:w="370" w:type="dxa"/>
            <w:tcBorders>
              <w:top w:val="single" w:sz="8" w:space="0" w:color="000000"/>
              <w:left w:val="single" w:sz="8" w:space="0" w:color="000000"/>
              <w:bottom w:val="single" w:sz="8" w:space="0" w:color="000000"/>
              <w:right w:val="single" w:sz="8" w:space="0" w:color="000000"/>
            </w:tcBorders>
            <w:shd w:val="clear" w:color="auto" w:fill="auto"/>
            <w:vAlign w:val="center"/>
          </w:tcPr>
          <w:p w:rsidR="00CD2D19" w:rsidRPr="00CA0AE3" w:rsidRDefault="000D526D" w:rsidP="00967218">
            <w:pPr>
              <w:spacing w:after="0" w:line="240" w:lineRule="auto"/>
              <w:jc w:val="center"/>
              <w:rPr>
                <w:sz w:val="16"/>
                <w:szCs w:val="16"/>
              </w:rPr>
            </w:pPr>
            <w:r w:rsidRPr="00CA0AE3">
              <w:rPr>
                <w:sz w:val="16"/>
                <w:szCs w:val="16"/>
              </w:rPr>
              <w:t>7</w:t>
            </w:r>
          </w:p>
        </w:tc>
        <w:tc>
          <w:tcPr>
            <w:tcW w:w="1455"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D2D19" w:rsidRPr="00CA0AE3" w:rsidRDefault="00CD2D19" w:rsidP="00967218">
            <w:pPr>
              <w:spacing w:after="0" w:line="240" w:lineRule="auto"/>
              <w:rPr>
                <w:sz w:val="16"/>
                <w:szCs w:val="16"/>
              </w:rPr>
            </w:pPr>
            <w:r w:rsidRPr="00CA0AE3">
              <w:rPr>
                <w:sz w:val="16"/>
                <w:szCs w:val="16"/>
              </w:rPr>
              <w:t>Patients on Chronic Opioid Therapy with a Controlled Substance Agreement</w:t>
            </w:r>
          </w:p>
          <w:p w:rsidR="00CD2D19" w:rsidRPr="00CA0AE3" w:rsidRDefault="00CD2D19" w:rsidP="00967218">
            <w:pPr>
              <w:spacing w:after="0" w:line="240" w:lineRule="auto"/>
              <w:rPr>
                <w:sz w:val="16"/>
                <w:szCs w:val="16"/>
              </w:rPr>
            </w:pPr>
            <w:r w:rsidRPr="00CA0AE3">
              <w:rPr>
                <w:sz w:val="16"/>
                <w:szCs w:val="16"/>
              </w:rPr>
              <w:t>(across all core primary care sites)</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D2D19" w:rsidRPr="00CA0AE3" w:rsidRDefault="00CD2D19" w:rsidP="00967218">
            <w:pPr>
              <w:spacing w:after="0" w:line="240" w:lineRule="auto"/>
              <w:jc w:val="center"/>
              <w:rPr>
                <w:bCs/>
                <w:sz w:val="16"/>
                <w:szCs w:val="16"/>
              </w:rPr>
            </w:pPr>
            <w:r w:rsidRPr="00CA0AE3">
              <w:rPr>
                <w:bCs/>
                <w:sz w:val="16"/>
                <w:szCs w:val="16"/>
              </w:rPr>
              <w:t>N/A</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D2D19" w:rsidRPr="00CA0AE3" w:rsidRDefault="00CD2D19" w:rsidP="00967218">
            <w:pPr>
              <w:spacing w:after="0" w:line="240" w:lineRule="auto"/>
              <w:jc w:val="center"/>
              <w:rPr>
                <w:sz w:val="16"/>
                <w:szCs w:val="16"/>
              </w:rPr>
            </w:pPr>
            <w:r w:rsidRPr="00CA0AE3">
              <w:rPr>
                <w:sz w:val="16"/>
                <w:szCs w:val="16"/>
              </w:rPr>
              <w:t>No external benchmark; hospital-specific improvement target = 80%</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D2D19" w:rsidRPr="00CA0AE3" w:rsidRDefault="00CD2D19" w:rsidP="00967218">
            <w:pPr>
              <w:spacing w:after="0" w:line="240" w:lineRule="auto"/>
              <w:jc w:val="center"/>
              <w:rPr>
                <w:bCs/>
                <w:sz w:val="16"/>
                <w:szCs w:val="16"/>
              </w:rPr>
            </w:pPr>
            <w:r w:rsidRPr="00CA0AE3">
              <w:rPr>
                <w:bCs/>
                <w:sz w:val="16"/>
                <w:szCs w:val="16"/>
              </w:rPr>
              <w:t>Gap to Goal</w:t>
            </w:r>
          </w:p>
          <w:p w:rsidR="00CD2D19" w:rsidRPr="00CA0AE3" w:rsidRDefault="00CD2D19" w:rsidP="00967218">
            <w:pPr>
              <w:spacing w:after="0" w:line="240" w:lineRule="auto"/>
              <w:jc w:val="center"/>
              <w:rPr>
                <w:sz w:val="16"/>
                <w:szCs w:val="16"/>
              </w:rPr>
            </w:pPr>
            <w:r w:rsidRPr="00CA0AE3">
              <w:rPr>
                <w:bCs/>
                <w:sz w:val="16"/>
                <w:szCs w:val="16"/>
              </w:rPr>
              <w:t>(10%) or attainment at target</w:t>
            </w:r>
          </w:p>
        </w:tc>
        <w:tc>
          <w:tcPr>
            <w:tcW w:w="1068"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D2D19" w:rsidRPr="00CA0AE3" w:rsidRDefault="00CD2D19" w:rsidP="00967218">
            <w:pPr>
              <w:spacing w:after="0" w:line="240" w:lineRule="auto"/>
              <w:jc w:val="center"/>
              <w:rPr>
                <w:rFonts w:eastAsia="Times New Roman"/>
                <w:b/>
                <w:bCs/>
                <w:kern w:val="24"/>
                <w:sz w:val="16"/>
                <w:szCs w:val="16"/>
              </w:rPr>
            </w:pPr>
            <w:r w:rsidRPr="00CA0AE3">
              <w:rPr>
                <w:rFonts w:eastAsia="Times New Roman"/>
                <w:b/>
                <w:bCs/>
                <w:kern w:val="24"/>
                <w:sz w:val="16"/>
                <w:szCs w:val="16"/>
              </w:rPr>
              <w:t>O</w:t>
            </w:r>
          </w:p>
        </w:tc>
        <w:tc>
          <w:tcPr>
            <w:tcW w:w="1068"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D2D19" w:rsidRPr="00CA0AE3" w:rsidRDefault="00CD2D19" w:rsidP="00967218">
            <w:pPr>
              <w:spacing w:after="0" w:line="240" w:lineRule="auto"/>
              <w:jc w:val="center"/>
              <w:rPr>
                <w:rFonts w:eastAsia="Times New Roman"/>
                <w:b/>
                <w:sz w:val="16"/>
                <w:szCs w:val="16"/>
              </w:rPr>
            </w:pPr>
            <w:r w:rsidRPr="00CA0AE3">
              <w:rPr>
                <w:rFonts w:eastAsia="Times New Roman"/>
                <w:b/>
                <w:sz w:val="16"/>
                <w:szCs w:val="16"/>
              </w:rPr>
              <w:t>O</w:t>
            </w:r>
          </w:p>
        </w:tc>
        <w:tc>
          <w:tcPr>
            <w:tcW w:w="1069"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D2D19" w:rsidRPr="00CA0AE3" w:rsidRDefault="00CD2D19" w:rsidP="00967218">
            <w:pPr>
              <w:spacing w:after="0" w:line="240" w:lineRule="auto"/>
              <w:jc w:val="center"/>
              <w:rPr>
                <w:rFonts w:eastAsia="Times New Roman"/>
                <w:b/>
                <w:sz w:val="16"/>
                <w:szCs w:val="16"/>
              </w:rPr>
            </w:pPr>
            <w:r w:rsidRPr="00CA0AE3">
              <w:rPr>
                <w:rFonts w:eastAsia="Times New Roman"/>
                <w:b/>
                <w:sz w:val="16"/>
                <w:szCs w:val="16"/>
              </w:rPr>
              <w:t>O</w:t>
            </w:r>
          </w:p>
        </w:tc>
        <w:tc>
          <w:tcPr>
            <w:tcW w:w="1068"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D2D19" w:rsidRPr="00CA0AE3" w:rsidRDefault="00CD2D19" w:rsidP="00967218">
            <w:pPr>
              <w:spacing w:after="0" w:line="240" w:lineRule="auto"/>
              <w:jc w:val="center"/>
              <w:rPr>
                <w:rFonts w:eastAsia="Times New Roman"/>
                <w:b/>
                <w:sz w:val="16"/>
                <w:szCs w:val="16"/>
              </w:rPr>
            </w:pPr>
            <w:r w:rsidRPr="00CA0AE3">
              <w:rPr>
                <w:rFonts w:eastAsia="Times New Roman"/>
                <w:b/>
                <w:sz w:val="16"/>
                <w:szCs w:val="16"/>
              </w:rPr>
              <w:t>O</w:t>
            </w:r>
          </w:p>
        </w:tc>
        <w:tc>
          <w:tcPr>
            <w:tcW w:w="1069"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D2D19" w:rsidRPr="00CA0AE3" w:rsidRDefault="00CD2D19" w:rsidP="00967218">
            <w:pPr>
              <w:spacing w:after="0" w:line="240" w:lineRule="auto"/>
              <w:jc w:val="center"/>
              <w:rPr>
                <w:rFonts w:eastAsia="Times New Roman"/>
                <w:b/>
                <w:sz w:val="16"/>
                <w:szCs w:val="16"/>
              </w:rPr>
            </w:pPr>
            <w:r w:rsidRPr="00CA0AE3">
              <w:rPr>
                <w:rFonts w:eastAsia="Times New Roman"/>
                <w:b/>
                <w:sz w:val="16"/>
                <w:szCs w:val="16"/>
              </w:rPr>
              <w:t>O</w:t>
            </w:r>
          </w:p>
        </w:tc>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tcPr>
          <w:p w:rsidR="00CD2D19" w:rsidRPr="00CA0AE3" w:rsidRDefault="00CD2D19" w:rsidP="00B3615C">
            <w:pPr>
              <w:spacing w:after="0" w:line="240" w:lineRule="auto"/>
              <w:rPr>
                <w:rFonts w:eastAsia="Times New Roman"/>
                <w:sz w:val="16"/>
                <w:szCs w:val="16"/>
              </w:rPr>
            </w:pPr>
            <w:r w:rsidRPr="00CA0AE3">
              <w:rPr>
                <w:rFonts w:eastAsia="Times New Roman"/>
                <w:sz w:val="16"/>
                <w:szCs w:val="16"/>
              </w:rPr>
              <w:t>Target aligned to initiative to optimize opioid prescribing practice.</w:t>
            </w:r>
          </w:p>
        </w:tc>
      </w:tr>
      <w:tr w:rsidR="00CD2D19" w:rsidRPr="00CA0AE3" w:rsidTr="00967218">
        <w:trPr>
          <w:cantSplit/>
          <w:jc w:val="center"/>
        </w:trPr>
        <w:tc>
          <w:tcPr>
            <w:tcW w:w="370" w:type="dxa"/>
            <w:tcBorders>
              <w:top w:val="single" w:sz="8" w:space="0" w:color="000000"/>
              <w:left w:val="single" w:sz="8" w:space="0" w:color="000000"/>
              <w:bottom w:val="single" w:sz="8" w:space="0" w:color="000000"/>
              <w:right w:val="single" w:sz="8" w:space="0" w:color="000000"/>
            </w:tcBorders>
            <w:shd w:val="clear" w:color="auto" w:fill="auto"/>
            <w:vAlign w:val="center"/>
          </w:tcPr>
          <w:p w:rsidR="00CD2D19" w:rsidRPr="00CA0AE3" w:rsidRDefault="000D526D" w:rsidP="00967218">
            <w:pPr>
              <w:spacing w:after="0" w:line="240" w:lineRule="auto"/>
              <w:jc w:val="center"/>
              <w:rPr>
                <w:sz w:val="16"/>
                <w:szCs w:val="16"/>
              </w:rPr>
            </w:pPr>
            <w:r w:rsidRPr="00CA0AE3">
              <w:rPr>
                <w:sz w:val="16"/>
                <w:szCs w:val="16"/>
              </w:rPr>
              <w:t>8</w:t>
            </w:r>
          </w:p>
        </w:tc>
        <w:tc>
          <w:tcPr>
            <w:tcW w:w="1455"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D2D19" w:rsidRPr="00CA0AE3" w:rsidRDefault="00CD2D19" w:rsidP="00967218">
            <w:pPr>
              <w:spacing w:after="0" w:line="240" w:lineRule="auto"/>
              <w:rPr>
                <w:sz w:val="16"/>
                <w:szCs w:val="16"/>
              </w:rPr>
            </w:pPr>
            <w:r w:rsidRPr="00CA0AE3">
              <w:rPr>
                <w:sz w:val="16"/>
                <w:szCs w:val="16"/>
              </w:rPr>
              <w:t>Patients on Chronic Opioid Therapy with urine drug screening</w:t>
            </w:r>
          </w:p>
          <w:p w:rsidR="00CD2D19" w:rsidRPr="00CA0AE3" w:rsidRDefault="00CD2D19" w:rsidP="00967218">
            <w:pPr>
              <w:spacing w:after="0" w:line="240" w:lineRule="auto"/>
              <w:rPr>
                <w:sz w:val="16"/>
                <w:szCs w:val="16"/>
              </w:rPr>
            </w:pPr>
            <w:r w:rsidRPr="00CA0AE3">
              <w:rPr>
                <w:sz w:val="16"/>
                <w:szCs w:val="16"/>
              </w:rPr>
              <w:t>(across all core primary care sites)</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D2D19" w:rsidRPr="00CA0AE3" w:rsidRDefault="00CD2D19" w:rsidP="00967218">
            <w:pPr>
              <w:spacing w:after="0" w:line="240" w:lineRule="auto"/>
              <w:jc w:val="center"/>
              <w:rPr>
                <w:bCs/>
                <w:sz w:val="16"/>
                <w:szCs w:val="16"/>
              </w:rPr>
            </w:pPr>
            <w:r w:rsidRPr="00CA0AE3">
              <w:rPr>
                <w:bCs/>
                <w:sz w:val="16"/>
                <w:szCs w:val="16"/>
              </w:rPr>
              <w:t>N/A</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D2D19" w:rsidRPr="00CA0AE3" w:rsidRDefault="00CD2D19" w:rsidP="00967218">
            <w:pPr>
              <w:spacing w:after="0" w:line="240" w:lineRule="auto"/>
              <w:jc w:val="center"/>
              <w:rPr>
                <w:sz w:val="16"/>
                <w:szCs w:val="16"/>
              </w:rPr>
            </w:pPr>
            <w:r w:rsidRPr="00CA0AE3">
              <w:rPr>
                <w:sz w:val="16"/>
                <w:szCs w:val="16"/>
              </w:rPr>
              <w:t>No external benchmark; hospital-specific improvement target = 80%</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D2D19" w:rsidRPr="00CA0AE3" w:rsidRDefault="00CD2D19" w:rsidP="00967218">
            <w:pPr>
              <w:spacing w:after="0" w:line="240" w:lineRule="auto"/>
              <w:jc w:val="center"/>
              <w:rPr>
                <w:bCs/>
                <w:sz w:val="16"/>
                <w:szCs w:val="16"/>
              </w:rPr>
            </w:pPr>
            <w:r w:rsidRPr="00CA0AE3">
              <w:rPr>
                <w:bCs/>
                <w:sz w:val="16"/>
                <w:szCs w:val="16"/>
              </w:rPr>
              <w:t>Gap to Goal</w:t>
            </w:r>
          </w:p>
          <w:p w:rsidR="00CD2D19" w:rsidRPr="00CA0AE3" w:rsidRDefault="00CD2D19" w:rsidP="00967218">
            <w:pPr>
              <w:spacing w:after="0" w:line="240" w:lineRule="auto"/>
              <w:jc w:val="center"/>
              <w:rPr>
                <w:sz w:val="16"/>
                <w:szCs w:val="16"/>
              </w:rPr>
            </w:pPr>
            <w:r w:rsidRPr="00CA0AE3">
              <w:rPr>
                <w:bCs/>
                <w:sz w:val="16"/>
                <w:szCs w:val="16"/>
              </w:rPr>
              <w:t>(10%) or attainment at target</w:t>
            </w:r>
          </w:p>
        </w:tc>
        <w:tc>
          <w:tcPr>
            <w:tcW w:w="1068"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D2D19" w:rsidRPr="00CA0AE3" w:rsidRDefault="00CD2D19" w:rsidP="00967218">
            <w:pPr>
              <w:spacing w:after="0" w:line="240" w:lineRule="auto"/>
              <w:jc w:val="center"/>
              <w:rPr>
                <w:rFonts w:eastAsia="Times New Roman"/>
                <w:b/>
                <w:bCs/>
                <w:kern w:val="24"/>
                <w:sz w:val="16"/>
                <w:szCs w:val="16"/>
              </w:rPr>
            </w:pPr>
            <w:r w:rsidRPr="00CA0AE3">
              <w:rPr>
                <w:rFonts w:eastAsia="Times New Roman"/>
                <w:b/>
                <w:sz w:val="16"/>
                <w:szCs w:val="16"/>
              </w:rPr>
              <w:t>O</w:t>
            </w:r>
          </w:p>
        </w:tc>
        <w:tc>
          <w:tcPr>
            <w:tcW w:w="1068"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D2D19" w:rsidRPr="00CA0AE3" w:rsidRDefault="00CD2D19" w:rsidP="00967218">
            <w:pPr>
              <w:spacing w:after="0" w:line="240" w:lineRule="auto"/>
              <w:jc w:val="center"/>
              <w:rPr>
                <w:rFonts w:eastAsia="Times New Roman"/>
                <w:b/>
                <w:sz w:val="16"/>
                <w:szCs w:val="16"/>
              </w:rPr>
            </w:pPr>
            <w:r w:rsidRPr="00CA0AE3">
              <w:rPr>
                <w:rFonts w:eastAsia="Times New Roman"/>
                <w:b/>
                <w:sz w:val="16"/>
                <w:szCs w:val="16"/>
              </w:rPr>
              <w:t>O</w:t>
            </w:r>
          </w:p>
        </w:tc>
        <w:tc>
          <w:tcPr>
            <w:tcW w:w="1069"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D2D19" w:rsidRPr="00CA0AE3" w:rsidRDefault="00CD2D19" w:rsidP="00967218">
            <w:pPr>
              <w:spacing w:after="0" w:line="240" w:lineRule="auto"/>
              <w:jc w:val="center"/>
              <w:rPr>
                <w:rFonts w:eastAsia="Times New Roman"/>
                <w:b/>
                <w:sz w:val="16"/>
                <w:szCs w:val="16"/>
              </w:rPr>
            </w:pPr>
            <w:r w:rsidRPr="00CA0AE3">
              <w:rPr>
                <w:rFonts w:eastAsia="Times New Roman"/>
                <w:b/>
                <w:sz w:val="16"/>
                <w:szCs w:val="16"/>
              </w:rPr>
              <w:t>O</w:t>
            </w:r>
          </w:p>
        </w:tc>
        <w:tc>
          <w:tcPr>
            <w:tcW w:w="1068"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D2D19" w:rsidRPr="00CA0AE3" w:rsidRDefault="00CD2D19" w:rsidP="00967218">
            <w:pPr>
              <w:spacing w:after="0" w:line="240" w:lineRule="auto"/>
              <w:jc w:val="center"/>
              <w:rPr>
                <w:rFonts w:eastAsia="Times New Roman"/>
                <w:b/>
                <w:sz w:val="16"/>
                <w:szCs w:val="16"/>
              </w:rPr>
            </w:pPr>
            <w:r w:rsidRPr="00CA0AE3">
              <w:rPr>
                <w:rFonts w:eastAsia="Times New Roman"/>
                <w:b/>
                <w:sz w:val="16"/>
                <w:szCs w:val="16"/>
              </w:rPr>
              <w:t>O</w:t>
            </w:r>
          </w:p>
        </w:tc>
        <w:tc>
          <w:tcPr>
            <w:tcW w:w="1069"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D2D19" w:rsidRPr="00CA0AE3" w:rsidRDefault="00CD2D19" w:rsidP="00967218">
            <w:pPr>
              <w:spacing w:after="0" w:line="240" w:lineRule="auto"/>
              <w:jc w:val="center"/>
              <w:rPr>
                <w:rFonts w:eastAsia="Times New Roman"/>
                <w:b/>
                <w:sz w:val="16"/>
                <w:szCs w:val="16"/>
              </w:rPr>
            </w:pPr>
            <w:r w:rsidRPr="00CA0AE3">
              <w:rPr>
                <w:rFonts w:eastAsia="Times New Roman"/>
                <w:b/>
                <w:sz w:val="16"/>
                <w:szCs w:val="16"/>
              </w:rPr>
              <w:t>O</w:t>
            </w:r>
          </w:p>
        </w:tc>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tcPr>
          <w:p w:rsidR="00CD2D19" w:rsidRPr="00CA0AE3" w:rsidRDefault="00CD2D19" w:rsidP="00B3615C">
            <w:pPr>
              <w:spacing w:after="0" w:line="240" w:lineRule="auto"/>
              <w:rPr>
                <w:rFonts w:eastAsia="Times New Roman"/>
                <w:sz w:val="16"/>
                <w:szCs w:val="16"/>
              </w:rPr>
            </w:pPr>
            <w:r w:rsidRPr="00CA0AE3">
              <w:rPr>
                <w:rFonts w:eastAsia="Times New Roman"/>
                <w:sz w:val="16"/>
                <w:szCs w:val="16"/>
              </w:rPr>
              <w:t>Target aligned to initiative to optimize opioid prescribing practice.</w:t>
            </w:r>
          </w:p>
        </w:tc>
      </w:tr>
      <w:tr w:rsidR="00CD2D19" w:rsidRPr="00CA0AE3" w:rsidTr="00967218">
        <w:trPr>
          <w:cantSplit/>
          <w:jc w:val="center"/>
        </w:trPr>
        <w:tc>
          <w:tcPr>
            <w:tcW w:w="370" w:type="dxa"/>
            <w:tcBorders>
              <w:top w:val="single" w:sz="8" w:space="0" w:color="000000"/>
              <w:left w:val="single" w:sz="8" w:space="0" w:color="000000"/>
              <w:bottom w:val="single" w:sz="8" w:space="0" w:color="000000"/>
              <w:right w:val="single" w:sz="8" w:space="0" w:color="000000"/>
            </w:tcBorders>
            <w:shd w:val="clear" w:color="auto" w:fill="auto"/>
            <w:vAlign w:val="center"/>
          </w:tcPr>
          <w:p w:rsidR="00CD2D19" w:rsidRPr="00CA0AE3" w:rsidRDefault="000D526D" w:rsidP="00967218">
            <w:pPr>
              <w:spacing w:after="0" w:line="240" w:lineRule="auto"/>
              <w:jc w:val="center"/>
              <w:rPr>
                <w:sz w:val="16"/>
                <w:szCs w:val="16"/>
              </w:rPr>
            </w:pPr>
            <w:r w:rsidRPr="00CA0AE3">
              <w:rPr>
                <w:sz w:val="16"/>
                <w:szCs w:val="16"/>
              </w:rPr>
              <w:t>9</w:t>
            </w:r>
          </w:p>
        </w:tc>
        <w:tc>
          <w:tcPr>
            <w:tcW w:w="1455"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D2D19" w:rsidRPr="00CA0AE3" w:rsidRDefault="00CD2D19" w:rsidP="00967218">
            <w:pPr>
              <w:spacing w:after="0" w:line="240" w:lineRule="auto"/>
              <w:rPr>
                <w:sz w:val="16"/>
                <w:szCs w:val="16"/>
              </w:rPr>
            </w:pPr>
            <w:r w:rsidRPr="00CA0AE3">
              <w:rPr>
                <w:sz w:val="16"/>
                <w:szCs w:val="16"/>
              </w:rPr>
              <w:t>Patients with chronic pain who had functional assessment</w:t>
            </w:r>
          </w:p>
          <w:p w:rsidR="00CD2D19" w:rsidRPr="00CA0AE3" w:rsidRDefault="00CD2D19" w:rsidP="00967218">
            <w:pPr>
              <w:spacing w:after="0" w:line="240" w:lineRule="auto"/>
              <w:rPr>
                <w:sz w:val="16"/>
                <w:szCs w:val="16"/>
              </w:rPr>
            </w:pPr>
            <w:r w:rsidRPr="00CA0AE3">
              <w:rPr>
                <w:sz w:val="16"/>
                <w:szCs w:val="16"/>
              </w:rPr>
              <w:t xml:space="preserve">(across all core primary care sites)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D2D19" w:rsidRPr="00CA0AE3" w:rsidRDefault="00CD2D19" w:rsidP="00967218">
            <w:pPr>
              <w:spacing w:after="0" w:line="240" w:lineRule="auto"/>
              <w:jc w:val="center"/>
              <w:rPr>
                <w:bCs/>
                <w:sz w:val="16"/>
                <w:szCs w:val="16"/>
              </w:rPr>
            </w:pPr>
            <w:r w:rsidRPr="00CA0AE3">
              <w:rPr>
                <w:bCs/>
                <w:sz w:val="16"/>
                <w:szCs w:val="16"/>
              </w:rPr>
              <w:t>NQF 0050, adapted to include all chronic pain conditions</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D2D19" w:rsidRPr="00CA0AE3" w:rsidRDefault="00CD2D19" w:rsidP="00967218">
            <w:pPr>
              <w:spacing w:after="0" w:line="240" w:lineRule="auto"/>
              <w:jc w:val="center"/>
              <w:rPr>
                <w:sz w:val="16"/>
                <w:szCs w:val="16"/>
              </w:rPr>
            </w:pPr>
            <w:r w:rsidRPr="00CA0AE3">
              <w:rPr>
                <w:sz w:val="16"/>
                <w:szCs w:val="16"/>
              </w:rPr>
              <w:t>No external benchmark; hospital specific improvement target = 50%</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D2D19" w:rsidRPr="00CA0AE3" w:rsidRDefault="00CD2D19" w:rsidP="00967218">
            <w:pPr>
              <w:spacing w:after="0" w:line="240" w:lineRule="auto"/>
              <w:jc w:val="center"/>
              <w:rPr>
                <w:bCs/>
                <w:sz w:val="16"/>
                <w:szCs w:val="16"/>
              </w:rPr>
            </w:pPr>
            <w:r w:rsidRPr="00CA0AE3">
              <w:rPr>
                <w:bCs/>
                <w:sz w:val="16"/>
                <w:szCs w:val="16"/>
              </w:rPr>
              <w:t>Gap to Goal</w:t>
            </w:r>
          </w:p>
          <w:p w:rsidR="00CD2D19" w:rsidRPr="00CA0AE3" w:rsidRDefault="00CD2D19" w:rsidP="00967218">
            <w:pPr>
              <w:spacing w:after="0" w:line="240" w:lineRule="auto"/>
              <w:jc w:val="center"/>
              <w:rPr>
                <w:sz w:val="16"/>
                <w:szCs w:val="16"/>
              </w:rPr>
            </w:pPr>
            <w:r w:rsidRPr="00CA0AE3">
              <w:rPr>
                <w:bCs/>
                <w:sz w:val="16"/>
                <w:szCs w:val="16"/>
              </w:rPr>
              <w:t>(10%) or attainment at target</w:t>
            </w:r>
          </w:p>
        </w:tc>
        <w:tc>
          <w:tcPr>
            <w:tcW w:w="1068"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D2D19" w:rsidRPr="00CA0AE3" w:rsidRDefault="00CD2D19" w:rsidP="00967218">
            <w:pPr>
              <w:spacing w:after="0" w:line="240" w:lineRule="auto"/>
              <w:jc w:val="center"/>
              <w:rPr>
                <w:rFonts w:eastAsia="Times New Roman"/>
                <w:b/>
                <w:bCs/>
                <w:kern w:val="24"/>
                <w:sz w:val="16"/>
                <w:szCs w:val="16"/>
              </w:rPr>
            </w:pPr>
            <w:r w:rsidRPr="00CA0AE3">
              <w:rPr>
                <w:rFonts w:eastAsia="Times New Roman"/>
                <w:b/>
                <w:bCs/>
                <w:kern w:val="24"/>
                <w:sz w:val="16"/>
                <w:szCs w:val="16"/>
              </w:rPr>
              <w:t>B</w:t>
            </w:r>
          </w:p>
        </w:tc>
        <w:tc>
          <w:tcPr>
            <w:tcW w:w="1068"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D2D19" w:rsidRPr="00CA0AE3" w:rsidRDefault="00CD2D19" w:rsidP="00967218">
            <w:pPr>
              <w:spacing w:after="0" w:line="240" w:lineRule="auto"/>
              <w:jc w:val="center"/>
              <w:rPr>
                <w:rFonts w:eastAsia="Times New Roman"/>
                <w:b/>
                <w:sz w:val="16"/>
                <w:szCs w:val="16"/>
              </w:rPr>
            </w:pPr>
            <w:r w:rsidRPr="00CA0AE3">
              <w:rPr>
                <w:rFonts w:eastAsia="Times New Roman"/>
                <w:b/>
                <w:sz w:val="16"/>
                <w:szCs w:val="16"/>
              </w:rPr>
              <w:t>O</w:t>
            </w:r>
          </w:p>
        </w:tc>
        <w:tc>
          <w:tcPr>
            <w:tcW w:w="1069"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D2D19" w:rsidRPr="00CA0AE3" w:rsidRDefault="00CD2D19" w:rsidP="00967218">
            <w:pPr>
              <w:spacing w:after="0" w:line="240" w:lineRule="auto"/>
              <w:jc w:val="center"/>
              <w:rPr>
                <w:rFonts w:eastAsia="Times New Roman"/>
                <w:b/>
                <w:sz w:val="16"/>
                <w:szCs w:val="16"/>
              </w:rPr>
            </w:pPr>
            <w:r w:rsidRPr="00CA0AE3">
              <w:rPr>
                <w:rFonts w:eastAsia="Times New Roman"/>
                <w:b/>
                <w:sz w:val="16"/>
                <w:szCs w:val="16"/>
              </w:rPr>
              <w:t>O</w:t>
            </w:r>
          </w:p>
        </w:tc>
        <w:tc>
          <w:tcPr>
            <w:tcW w:w="1068"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D2D19" w:rsidRPr="00CA0AE3" w:rsidRDefault="00CD2D19" w:rsidP="00967218">
            <w:pPr>
              <w:spacing w:after="0" w:line="240" w:lineRule="auto"/>
              <w:jc w:val="center"/>
              <w:rPr>
                <w:rFonts w:eastAsia="Times New Roman"/>
                <w:b/>
                <w:sz w:val="16"/>
                <w:szCs w:val="16"/>
              </w:rPr>
            </w:pPr>
            <w:r w:rsidRPr="00CA0AE3">
              <w:rPr>
                <w:rFonts w:eastAsia="Times New Roman"/>
                <w:b/>
                <w:sz w:val="16"/>
                <w:szCs w:val="16"/>
              </w:rPr>
              <w:t>O</w:t>
            </w:r>
          </w:p>
        </w:tc>
        <w:tc>
          <w:tcPr>
            <w:tcW w:w="1069"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D2D19" w:rsidRPr="00CA0AE3" w:rsidRDefault="00CD2D19" w:rsidP="00967218">
            <w:pPr>
              <w:spacing w:after="0" w:line="240" w:lineRule="auto"/>
              <w:jc w:val="center"/>
              <w:rPr>
                <w:rFonts w:eastAsia="Times New Roman"/>
                <w:b/>
                <w:sz w:val="16"/>
                <w:szCs w:val="16"/>
              </w:rPr>
            </w:pPr>
            <w:r w:rsidRPr="00CA0AE3">
              <w:rPr>
                <w:rFonts w:eastAsia="Times New Roman"/>
                <w:b/>
                <w:sz w:val="16"/>
                <w:szCs w:val="16"/>
              </w:rPr>
              <w:t>O</w:t>
            </w:r>
          </w:p>
        </w:tc>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tcPr>
          <w:p w:rsidR="00CD2D19" w:rsidRPr="00CA0AE3" w:rsidRDefault="00CD2D19" w:rsidP="00B3615C">
            <w:pPr>
              <w:spacing w:after="0" w:line="240" w:lineRule="auto"/>
              <w:rPr>
                <w:rFonts w:eastAsia="Times New Roman"/>
                <w:sz w:val="16"/>
                <w:szCs w:val="16"/>
              </w:rPr>
            </w:pPr>
            <w:r w:rsidRPr="00CA0AE3">
              <w:rPr>
                <w:sz w:val="16"/>
                <w:szCs w:val="16"/>
              </w:rPr>
              <w:t>Target based on newness of initiative, and literature indicating the value of functional assessment in patients with chronic pain</w:t>
            </w:r>
            <w:r w:rsidRPr="00CA0AE3">
              <w:rPr>
                <w:rStyle w:val="FootnoteReference"/>
                <w:sz w:val="16"/>
                <w:szCs w:val="16"/>
              </w:rPr>
              <w:footnoteReference w:id="63"/>
            </w:r>
            <w:r w:rsidRPr="00CA0AE3">
              <w:rPr>
                <w:sz w:val="16"/>
                <w:szCs w:val="16"/>
              </w:rPr>
              <w:t>.</w:t>
            </w:r>
          </w:p>
        </w:tc>
      </w:tr>
      <w:tr w:rsidR="00CD2D19" w:rsidRPr="00CA0AE3" w:rsidTr="00967218">
        <w:trPr>
          <w:cantSplit/>
          <w:jc w:val="center"/>
        </w:trPr>
        <w:tc>
          <w:tcPr>
            <w:tcW w:w="370" w:type="dxa"/>
            <w:tcBorders>
              <w:top w:val="single" w:sz="8" w:space="0" w:color="000000"/>
              <w:left w:val="single" w:sz="8" w:space="0" w:color="000000"/>
              <w:bottom w:val="single" w:sz="8" w:space="0" w:color="000000"/>
              <w:right w:val="single" w:sz="8" w:space="0" w:color="000000"/>
            </w:tcBorders>
            <w:vAlign w:val="center"/>
          </w:tcPr>
          <w:p w:rsidR="00CD2D19" w:rsidRPr="00CA0AE3" w:rsidRDefault="00CD2D19" w:rsidP="00967218">
            <w:pPr>
              <w:spacing w:after="0" w:line="240" w:lineRule="auto"/>
              <w:jc w:val="center"/>
              <w:rPr>
                <w:sz w:val="16"/>
                <w:szCs w:val="16"/>
              </w:rPr>
            </w:pPr>
            <w:r w:rsidRPr="00CA0AE3">
              <w:rPr>
                <w:sz w:val="16"/>
                <w:szCs w:val="16"/>
              </w:rPr>
              <w:lastRenderedPageBreak/>
              <w:t>1</w:t>
            </w:r>
            <w:r w:rsidR="000D526D" w:rsidRPr="00CA0AE3">
              <w:rPr>
                <w:sz w:val="16"/>
                <w:szCs w:val="16"/>
              </w:rPr>
              <w:t>0</w:t>
            </w:r>
          </w:p>
        </w:tc>
        <w:tc>
          <w:tcPr>
            <w:tcW w:w="1455"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D2D19" w:rsidRPr="00CA0AE3" w:rsidRDefault="00CD2D19" w:rsidP="00967218">
            <w:pPr>
              <w:spacing w:after="0" w:line="240" w:lineRule="auto"/>
              <w:rPr>
                <w:sz w:val="16"/>
                <w:szCs w:val="16"/>
              </w:rPr>
            </w:pPr>
            <w:r w:rsidRPr="00CA0AE3">
              <w:rPr>
                <w:sz w:val="16"/>
                <w:szCs w:val="16"/>
              </w:rPr>
              <w:t>Screening and Brief Intervention for Alcohol and Drug Use for adolescents</w:t>
            </w:r>
          </w:p>
          <w:p w:rsidR="00CD2D19" w:rsidRPr="00CA0AE3" w:rsidRDefault="00CD2D19" w:rsidP="00967218">
            <w:pPr>
              <w:spacing w:after="0" w:line="240" w:lineRule="auto"/>
              <w:rPr>
                <w:sz w:val="16"/>
                <w:szCs w:val="16"/>
              </w:rPr>
            </w:pPr>
            <w:r w:rsidRPr="00CA0AE3">
              <w:rPr>
                <w:sz w:val="16"/>
                <w:szCs w:val="16"/>
              </w:rPr>
              <w:t>(across all core primary care sites)</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D2D19" w:rsidRPr="00CA0AE3" w:rsidRDefault="00CD2D19" w:rsidP="00967218">
            <w:pPr>
              <w:spacing w:after="0" w:line="240" w:lineRule="auto"/>
              <w:jc w:val="center"/>
              <w:rPr>
                <w:bCs/>
                <w:sz w:val="16"/>
                <w:szCs w:val="16"/>
              </w:rPr>
            </w:pPr>
            <w:r w:rsidRPr="00CA0AE3">
              <w:rPr>
                <w:bCs/>
                <w:sz w:val="16"/>
                <w:szCs w:val="16"/>
              </w:rPr>
              <w:t>NQF 2152, adapted to expand to new age range for adolescents</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D2D19" w:rsidRPr="00CA0AE3" w:rsidRDefault="00CD2D19" w:rsidP="00967218">
            <w:pPr>
              <w:spacing w:after="0" w:line="240" w:lineRule="auto"/>
              <w:jc w:val="center"/>
              <w:rPr>
                <w:bCs/>
                <w:sz w:val="16"/>
                <w:szCs w:val="16"/>
              </w:rPr>
            </w:pPr>
            <w:r w:rsidRPr="00CA0AE3">
              <w:rPr>
                <w:sz w:val="16"/>
                <w:szCs w:val="16"/>
              </w:rPr>
              <w:t>No external benchmark; hospital specific improvement target = 50%</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D2D19" w:rsidRPr="00CA0AE3" w:rsidRDefault="00CD2D19" w:rsidP="00967218">
            <w:pPr>
              <w:spacing w:after="0" w:line="240" w:lineRule="auto"/>
              <w:jc w:val="center"/>
              <w:rPr>
                <w:sz w:val="16"/>
                <w:szCs w:val="16"/>
              </w:rPr>
            </w:pPr>
            <w:r w:rsidRPr="00CA0AE3">
              <w:rPr>
                <w:bCs/>
                <w:sz w:val="16"/>
                <w:szCs w:val="16"/>
              </w:rPr>
              <w:t>Gap to Goal (10%) or attainment at target</w:t>
            </w:r>
          </w:p>
        </w:tc>
        <w:tc>
          <w:tcPr>
            <w:tcW w:w="1068"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D2D19" w:rsidRPr="00CA0AE3" w:rsidRDefault="00CD2D19" w:rsidP="00967218">
            <w:pPr>
              <w:spacing w:after="0" w:line="240" w:lineRule="auto"/>
              <w:jc w:val="center"/>
              <w:rPr>
                <w:rFonts w:eastAsia="Times New Roman"/>
                <w:b/>
                <w:bCs/>
                <w:kern w:val="24"/>
                <w:sz w:val="16"/>
                <w:szCs w:val="16"/>
              </w:rPr>
            </w:pPr>
            <w:r w:rsidRPr="00CA0AE3">
              <w:rPr>
                <w:rFonts w:eastAsia="Times New Roman"/>
                <w:b/>
                <w:bCs/>
                <w:kern w:val="24"/>
                <w:sz w:val="16"/>
                <w:szCs w:val="16"/>
              </w:rPr>
              <w:t>B</w:t>
            </w:r>
          </w:p>
        </w:tc>
        <w:tc>
          <w:tcPr>
            <w:tcW w:w="1068"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D2D19" w:rsidRPr="00CA0AE3" w:rsidRDefault="00CD2D19" w:rsidP="00967218">
            <w:pPr>
              <w:spacing w:after="0" w:line="240" w:lineRule="auto"/>
              <w:jc w:val="center"/>
              <w:rPr>
                <w:rFonts w:eastAsia="Times New Roman"/>
                <w:b/>
                <w:sz w:val="16"/>
                <w:szCs w:val="16"/>
              </w:rPr>
            </w:pPr>
            <w:r w:rsidRPr="00CA0AE3">
              <w:rPr>
                <w:rFonts w:eastAsia="Times New Roman"/>
                <w:b/>
                <w:sz w:val="16"/>
                <w:szCs w:val="16"/>
              </w:rPr>
              <w:t>O</w:t>
            </w:r>
          </w:p>
        </w:tc>
        <w:tc>
          <w:tcPr>
            <w:tcW w:w="1069"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D2D19" w:rsidRPr="00CA0AE3" w:rsidRDefault="00CD2D19" w:rsidP="00967218">
            <w:pPr>
              <w:spacing w:after="0" w:line="240" w:lineRule="auto"/>
              <w:jc w:val="center"/>
              <w:rPr>
                <w:rFonts w:eastAsia="Times New Roman"/>
                <w:b/>
                <w:sz w:val="16"/>
                <w:szCs w:val="16"/>
              </w:rPr>
            </w:pPr>
            <w:r w:rsidRPr="00CA0AE3">
              <w:rPr>
                <w:rFonts w:eastAsia="Times New Roman"/>
                <w:b/>
                <w:sz w:val="16"/>
                <w:szCs w:val="16"/>
              </w:rPr>
              <w:t>O</w:t>
            </w:r>
          </w:p>
        </w:tc>
        <w:tc>
          <w:tcPr>
            <w:tcW w:w="1068"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D2D19" w:rsidRPr="00CA0AE3" w:rsidRDefault="00CD2D19" w:rsidP="00967218">
            <w:pPr>
              <w:spacing w:after="0" w:line="240" w:lineRule="auto"/>
              <w:jc w:val="center"/>
              <w:rPr>
                <w:rFonts w:eastAsia="Times New Roman"/>
                <w:b/>
                <w:sz w:val="16"/>
                <w:szCs w:val="16"/>
              </w:rPr>
            </w:pPr>
            <w:r w:rsidRPr="00CA0AE3">
              <w:rPr>
                <w:rFonts w:eastAsia="Times New Roman"/>
                <w:b/>
                <w:sz w:val="16"/>
                <w:szCs w:val="16"/>
              </w:rPr>
              <w:t>O</w:t>
            </w:r>
          </w:p>
        </w:tc>
        <w:tc>
          <w:tcPr>
            <w:tcW w:w="1069"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D2D19" w:rsidRPr="00CA0AE3" w:rsidRDefault="00CD2D19" w:rsidP="00967218">
            <w:pPr>
              <w:spacing w:after="0" w:line="240" w:lineRule="auto"/>
              <w:jc w:val="center"/>
              <w:rPr>
                <w:rFonts w:eastAsia="Times New Roman"/>
                <w:b/>
                <w:sz w:val="16"/>
                <w:szCs w:val="16"/>
              </w:rPr>
            </w:pPr>
            <w:r w:rsidRPr="00CA0AE3">
              <w:rPr>
                <w:rFonts w:eastAsia="Times New Roman"/>
                <w:b/>
                <w:sz w:val="16"/>
                <w:szCs w:val="16"/>
              </w:rPr>
              <w:t>O</w:t>
            </w:r>
          </w:p>
        </w:tc>
        <w:tc>
          <w:tcPr>
            <w:tcW w:w="0" w:type="auto"/>
            <w:tcBorders>
              <w:top w:val="single" w:sz="8" w:space="0" w:color="000000"/>
              <w:left w:val="single" w:sz="8" w:space="0" w:color="000000"/>
              <w:bottom w:val="single" w:sz="8" w:space="0" w:color="000000"/>
              <w:right w:val="single" w:sz="8" w:space="0" w:color="000000"/>
            </w:tcBorders>
            <w:vAlign w:val="center"/>
          </w:tcPr>
          <w:p w:rsidR="00CD2D19" w:rsidRPr="00CA0AE3" w:rsidRDefault="00CD2D19" w:rsidP="00967218">
            <w:pPr>
              <w:spacing w:after="0" w:line="240" w:lineRule="auto"/>
              <w:rPr>
                <w:rFonts w:eastAsia="Times New Roman"/>
                <w:sz w:val="16"/>
                <w:szCs w:val="16"/>
              </w:rPr>
            </w:pPr>
            <w:r w:rsidRPr="00CA0AE3">
              <w:rPr>
                <w:rFonts w:eastAsia="Times New Roman"/>
                <w:sz w:val="16"/>
                <w:szCs w:val="16"/>
              </w:rPr>
              <w:t>Expansion of measure to the adolescent patient population. Improvement target based on newness of initiative for adolescent patients.</w:t>
            </w:r>
          </w:p>
        </w:tc>
      </w:tr>
      <w:tr w:rsidR="00CD2D19" w:rsidRPr="00CA0AE3" w:rsidTr="00967218">
        <w:trPr>
          <w:cantSplit/>
          <w:jc w:val="center"/>
        </w:trPr>
        <w:tc>
          <w:tcPr>
            <w:tcW w:w="370" w:type="dxa"/>
            <w:tcBorders>
              <w:top w:val="single" w:sz="8" w:space="0" w:color="000000"/>
              <w:left w:val="single" w:sz="8" w:space="0" w:color="000000"/>
              <w:bottom w:val="single" w:sz="8" w:space="0" w:color="000000"/>
              <w:right w:val="single" w:sz="8" w:space="0" w:color="000000"/>
            </w:tcBorders>
            <w:vAlign w:val="center"/>
          </w:tcPr>
          <w:p w:rsidR="00CD2D19" w:rsidRPr="00CA0AE3" w:rsidRDefault="00CD2D19" w:rsidP="00967218">
            <w:pPr>
              <w:spacing w:after="0" w:line="240" w:lineRule="auto"/>
              <w:jc w:val="center"/>
              <w:rPr>
                <w:sz w:val="16"/>
                <w:szCs w:val="16"/>
              </w:rPr>
            </w:pPr>
            <w:r w:rsidRPr="00CA0AE3">
              <w:rPr>
                <w:sz w:val="16"/>
                <w:szCs w:val="16"/>
              </w:rPr>
              <w:t>1</w:t>
            </w:r>
            <w:r w:rsidR="000D526D" w:rsidRPr="00CA0AE3">
              <w:rPr>
                <w:sz w:val="16"/>
                <w:szCs w:val="16"/>
              </w:rPr>
              <w:t>1</w:t>
            </w:r>
          </w:p>
        </w:tc>
        <w:tc>
          <w:tcPr>
            <w:tcW w:w="1455"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D2D19" w:rsidRPr="00CA0AE3" w:rsidRDefault="00CD2D19" w:rsidP="00967218">
            <w:pPr>
              <w:spacing w:after="0" w:line="240" w:lineRule="auto"/>
              <w:rPr>
                <w:sz w:val="16"/>
                <w:szCs w:val="16"/>
              </w:rPr>
            </w:pPr>
            <w:r w:rsidRPr="00CA0AE3">
              <w:rPr>
                <w:sz w:val="16"/>
                <w:szCs w:val="16"/>
              </w:rPr>
              <w:t>Maternal Depression Screening</w:t>
            </w:r>
          </w:p>
          <w:p w:rsidR="00CD2D19" w:rsidRPr="00CA0AE3" w:rsidRDefault="00CD2D19" w:rsidP="00967218">
            <w:pPr>
              <w:spacing w:after="0" w:line="240" w:lineRule="auto"/>
              <w:rPr>
                <w:sz w:val="16"/>
                <w:szCs w:val="16"/>
              </w:rPr>
            </w:pPr>
            <w:r w:rsidRPr="00CA0AE3">
              <w:rPr>
                <w:sz w:val="16"/>
                <w:szCs w:val="16"/>
              </w:rPr>
              <w:t>(across all core primary care sites)</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D2D19" w:rsidRPr="00CA0AE3" w:rsidRDefault="00CD2D19" w:rsidP="00967218">
            <w:pPr>
              <w:spacing w:after="0" w:line="240" w:lineRule="auto"/>
              <w:jc w:val="center"/>
              <w:rPr>
                <w:bCs/>
                <w:sz w:val="16"/>
                <w:szCs w:val="16"/>
              </w:rPr>
            </w:pPr>
            <w:r w:rsidRPr="00CA0AE3">
              <w:rPr>
                <w:bCs/>
                <w:sz w:val="16"/>
                <w:szCs w:val="16"/>
              </w:rPr>
              <w:t>NQF 1401</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D2D19" w:rsidRPr="00CA0AE3" w:rsidRDefault="00CD2D19" w:rsidP="00967218">
            <w:pPr>
              <w:spacing w:after="0" w:line="240" w:lineRule="auto"/>
              <w:jc w:val="center"/>
              <w:rPr>
                <w:color w:val="FF0000"/>
                <w:sz w:val="16"/>
                <w:szCs w:val="16"/>
              </w:rPr>
            </w:pPr>
            <w:r w:rsidRPr="00CA0AE3">
              <w:rPr>
                <w:sz w:val="16"/>
                <w:szCs w:val="16"/>
              </w:rPr>
              <w:t>No external benchmark; hospital specific improvement target = 75%</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D2D19" w:rsidRPr="00CA0AE3" w:rsidRDefault="00CD2D19" w:rsidP="00967218">
            <w:pPr>
              <w:spacing w:after="0" w:line="240" w:lineRule="auto"/>
              <w:jc w:val="center"/>
              <w:rPr>
                <w:bCs/>
                <w:sz w:val="16"/>
                <w:szCs w:val="16"/>
              </w:rPr>
            </w:pPr>
            <w:r w:rsidRPr="00CA0AE3">
              <w:rPr>
                <w:bCs/>
                <w:sz w:val="16"/>
                <w:szCs w:val="16"/>
              </w:rPr>
              <w:t>Gap to Goal</w:t>
            </w:r>
          </w:p>
          <w:p w:rsidR="00CD2D19" w:rsidRPr="00CA0AE3" w:rsidRDefault="00CD2D19" w:rsidP="00967218">
            <w:pPr>
              <w:spacing w:after="0" w:line="240" w:lineRule="auto"/>
              <w:jc w:val="center"/>
              <w:rPr>
                <w:bCs/>
                <w:sz w:val="16"/>
                <w:szCs w:val="16"/>
              </w:rPr>
            </w:pPr>
            <w:r w:rsidRPr="00CA0AE3">
              <w:rPr>
                <w:bCs/>
                <w:sz w:val="16"/>
                <w:szCs w:val="16"/>
              </w:rPr>
              <w:t>(10%) or attainment at target</w:t>
            </w:r>
          </w:p>
        </w:tc>
        <w:tc>
          <w:tcPr>
            <w:tcW w:w="1068"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D2D19" w:rsidRPr="00CA0AE3" w:rsidRDefault="00CD2D19" w:rsidP="00967218">
            <w:pPr>
              <w:spacing w:after="0" w:line="240" w:lineRule="auto"/>
              <w:jc w:val="center"/>
              <w:rPr>
                <w:rFonts w:eastAsia="Times New Roman"/>
                <w:b/>
                <w:bCs/>
                <w:kern w:val="24"/>
                <w:sz w:val="16"/>
                <w:szCs w:val="16"/>
              </w:rPr>
            </w:pPr>
            <w:r w:rsidRPr="00CA0AE3">
              <w:rPr>
                <w:rFonts w:eastAsia="Times New Roman"/>
                <w:b/>
                <w:bCs/>
                <w:kern w:val="24"/>
                <w:sz w:val="16"/>
                <w:szCs w:val="16"/>
              </w:rPr>
              <w:t>B</w:t>
            </w:r>
          </w:p>
        </w:tc>
        <w:tc>
          <w:tcPr>
            <w:tcW w:w="1068"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D2D19" w:rsidRPr="00CA0AE3" w:rsidRDefault="00CD2D19" w:rsidP="00967218">
            <w:pPr>
              <w:spacing w:after="0" w:line="240" w:lineRule="auto"/>
              <w:jc w:val="center"/>
              <w:rPr>
                <w:rFonts w:eastAsia="Times New Roman"/>
                <w:b/>
                <w:sz w:val="16"/>
                <w:szCs w:val="16"/>
              </w:rPr>
            </w:pPr>
            <w:r w:rsidRPr="00CA0AE3">
              <w:rPr>
                <w:rFonts w:eastAsia="Times New Roman"/>
                <w:b/>
                <w:sz w:val="16"/>
                <w:szCs w:val="16"/>
              </w:rPr>
              <w:t>O</w:t>
            </w:r>
          </w:p>
        </w:tc>
        <w:tc>
          <w:tcPr>
            <w:tcW w:w="1069"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D2D19" w:rsidRPr="00CA0AE3" w:rsidRDefault="00CD2D19" w:rsidP="00967218">
            <w:pPr>
              <w:spacing w:after="0" w:line="240" w:lineRule="auto"/>
              <w:jc w:val="center"/>
              <w:rPr>
                <w:rFonts w:eastAsia="Times New Roman"/>
                <w:b/>
                <w:sz w:val="16"/>
                <w:szCs w:val="16"/>
              </w:rPr>
            </w:pPr>
            <w:r w:rsidRPr="00CA0AE3">
              <w:rPr>
                <w:rFonts w:eastAsia="Times New Roman"/>
                <w:b/>
                <w:sz w:val="16"/>
                <w:szCs w:val="16"/>
              </w:rPr>
              <w:t>O</w:t>
            </w:r>
          </w:p>
        </w:tc>
        <w:tc>
          <w:tcPr>
            <w:tcW w:w="1068"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D2D19" w:rsidRPr="00CA0AE3" w:rsidRDefault="00CD2D19" w:rsidP="00967218">
            <w:pPr>
              <w:spacing w:after="0" w:line="240" w:lineRule="auto"/>
              <w:jc w:val="center"/>
              <w:rPr>
                <w:rFonts w:eastAsia="Times New Roman"/>
                <w:b/>
                <w:sz w:val="16"/>
                <w:szCs w:val="16"/>
              </w:rPr>
            </w:pPr>
            <w:r w:rsidRPr="00CA0AE3">
              <w:rPr>
                <w:rFonts w:eastAsia="Times New Roman"/>
                <w:b/>
                <w:sz w:val="16"/>
                <w:szCs w:val="16"/>
              </w:rPr>
              <w:t>O</w:t>
            </w:r>
          </w:p>
        </w:tc>
        <w:tc>
          <w:tcPr>
            <w:tcW w:w="1069"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D2D19" w:rsidRPr="00CA0AE3" w:rsidRDefault="00CD2D19" w:rsidP="00967218">
            <w:pPr>
              <w:spacing w:after="0" w:line="240" w:lineRule="auto"/>
              <w:jc w:val="center"/>
              <w:rPr>
                <w:rFonts w:eastAsia="Times New Roman"/>
                <w:b/>
                <w:sz w:val="16"/>
                <w:szCs w:val="16"/>
              </w:rPr>
            </w:pPr>
            <w:r w:rsidRPr="00CA0AE3">
              <w:rPr>
                <w:rFonts w:eastAsia="Times New Roman"/>
                <w:b/>
                <w:sz w:val="16"/>
                <w:szCs w:val="16"/>
              </w:rPr>
              <w:t>O</w:t>
            </w:r>
          </w:p>
        </w:tc>
        <w:tc>
          <w:tcPr>
            <w:tcW w:w="0" w:type="auto"/>
            <w:tcBorders>
              <w:top w:val="single" w:sz="8" w:space="0" w:color="000000"/>
              <w:left w:val="single" w:sz="8" w:space="0" w:color="000000"/>
              <w:bottom w:val="single" w:sz="8" w:space="0" w:color="000000"/>
              <w:right w:val="single" w:sz="8" w:space="0" w:color="000000"/>
            </w:tcBorders>
            <w:vAlign w:val="center"/>
          </w:tcPr>
          <w:p w:rsidR="00CD2D19" w:rsidRPr="00CA0AE3" w:rsidRDefault="00CD2D19" w:rsidP="00967218">
            <w:pPr>
              <w:spacing w:after="0" w:line="240" w:lineRule="auto"/>
              <w:rPr>
                <w:rFonts w:eastAsia="Times New Roman"/>
                <w:sz w:val="16"/>
                <w:szCs w:val="16"/>
              </w:rPr>
            </w:pPr>
            <w:r w:rsidRPr="00CA0AE3">
              <w:rPr>
                <w:rFonts w:eastAsia="Times New Roman"/>
                <w:sz w:val="16"/>
                <w:szCs w:val="16"/>
              </w:rPr>
              <w:t>Target based on literature indicating value of maternal depression screening in conjunction pediatric visits to identify developmental risk factors.</w:t>
            </w:r>
            <w:r w:rsidRPr="00CA0AE3">
              <w:rPr>
                <w:rStyle w:val="FootnoteReference"/>
                <w:rFonts w:eastAsia="Times New Roman"/>
                <w:sz w:val="16"/>
                <w:szCs w:val="16"/>
              </w:rPr>
              <w:footnoteReference w:id="64"/>
            </w:r>
          </w:p>
        </w:tc>
      </w:tr>
    </w:tbl>
    <w:p w:rsidR="00ED4745" w:rsidRPr="00CA0AE3" w:rsidRDefault="00ED4745">
      <w:pPr>
        <w:spacing w:after="0" w:line="240" w:lineRule="auto"/>
        <w:sectPr w:rsidR="00ED4745" w:rsidRPr="00CA0AE3" w:rsidSect="00147DA7">
          <w:footerReference w:type="default" r:id="rId14"/>
          <w:pgSz w:w="15840" w:h="12240" w:orient="landscape"/>
          <w:pgMar w:top="1440" w:right="1260" w:bottom="1260" w:left="1260" w:header="720" w:footer="720" w:gutter="0"/>
          <w:cols w:space="720"/>
          <w:docGrid w:linePitch="360"/>
        </w:sectPr>
      </w:pPr>
    </w:p>
    <w:tbl>
      <w:tblPr>
        <w:tblW w:w="5376"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firstRow="0" w:lastRow="0" w:firstColumn="0" w:lastColumn="0" w:noHBand="0" w:noVBand="0"/>
      </w:tblPr>
      <w:tblGrid>
        <w:gridCol w:w="1687"/>
        <w:gridCol w:w="8366"/>
      </w:tblGrid>
      <w:tr w:rsidR="005F46C3" w:rsidRPr="00CA0AE3" w:rsidTr="005E6DD5">
        <w:trPr>
          <w:trHeight w:val="159"/>
          <w:tblHeader/>
        </w:trPr>
        <w:tc>
          <w:tcPr>
            <w:tcW w:w="839" w:type="pct"/>
            <w:tcBorders>
              <w:top w:val="single" w:sz="4" w:space="0" w:color="auto"/>
              <w:bottom w:val="single" w:sz="6" w:space="0" w:color="auto"/>
            </w:tcBorders>
            <w:shd w:val="clear" w:color="auto" w:fill="C6D9F1" w:themeFill="text2" w:themeFillTint="33"/>
          </w:tcPr>
          <w:p w:rsidR="005F46C3" w:rsidRPr="00CA0AE3" w:rsidRDefault="005F46C3" w:rsidP="005F46C3">
            <w:pPr>
              <w:pStyle w:val="Default"/>
              <w:spacing w:before="60" w:after="60"/>
              <w:rPr>
                <w:sz w:val="22"/>
                <w:szCs w:val="22"/>
              </w:rPr>
            </w:pPr>
            <w:r w:rsidRPr="00CA0AE3">
              <w:rPr>
                <w:b/>
                <w:bCs/>
                <w:sz w:val="22"/>
                <w:szCs w:val="22"/>
                <w:shd w:val="clear" w:color="auto" w:fill="C6D9F1" w:themeFill="text2" w:themeFillTint="33"/>
              </w:rPr>
              <w:lastRenderedPageBreak/>
              <w:t>Initiative Title</w:t>
            </w:r>
            <w:r w:rsidRPr="00CA0AE3">
              <w:rPr>
                <w:b/>
                <w:bCs/>
                <w:sz w:val="22"/>
                <w:szCs w:val="22"/>
              </w:rPr>
              <w:t xml:space="preserve"> </w:t>
            </w:r>
          </w:p>
        </w:tc>
        <w:tc>
          <w:tcPr>
            <w:tcW w:w="4161" w:type="pct"/>
            <w:vAlign w:val="center"/>
          </w:tcPr>
          <w:p w:rsidR="005F46C3" w:rsidRPr="00CA0AE3" w:rsidRDefault="005F46C3" w:rsidP="00E70136">
            <w:pPr>
              <w:pStyle w:val="Default"/>
              <w:spacing w:before="60" w:after="60"/>
              <w:rPr>
                <w:sz w:val="22"/>
                <w:szCs w:val="22"/>
              </w:rPr>
            </w:pPr>
            <w:r w:rsidRPr="00CA0AE3">
              <w:rPr>
                <w:sz w:val="22"/>
                <w:szCs w:val="22"/>
              </w:rPr>
              <w:t xml:space="preserve">2. </w:t>
            </w:r>
            <w:r w:rsidRPr="00CA0AE3">
              <w:rPr>
                <w:bCs/>
                <w:sz w:val="22"/>
                <w:szCs w:val="22"/>
              </w:rPr>
              <w:t>Comprehensive Systems for Treating Mental Health &amp; Substance Use (MHSU) Conditions</w:t>
            </w:r>
          </w:p>
        </w:tc>
      </w:tr>
      <w:tr w:rsidR="005F46C3" w:rsidRPr="00CA0AE3" w:rsidTr="005F46C3">
        <w:trPr>
          <w:trHeight w:val="159"/>
        </w:trPr>
        <w:tc>
          <w:tcPr>
            <w:tcW w:w="5000" w:type="pct"/>
            <w:gridSpan w:val="2"/>
            <w:shd w:val="clear" w:color="auto" w:fill="C6D9F1" w:themeFill="text2" w:themeFillTint="33"/>
          </w:tcPr>
          <w:p w:rsidR="005F46C3" w:rsidRPr="00CA0AE3" w:rsidRDefault="005F46C3" w:rsidP="005F46C3">
            <w:pPr>
              <w:pStyle w:val="Default"/>
              <w:spacing w:before="40" w:after="40"/>
              <w:rPr>
                <w:sz w:val="22"/>
                <w:szCs w:val="22"/>
              </w:rPr>
            </w:pPr>
            <w:r w:rsidRPr="00CA0AE3">
              <w:rPr>
                <w:b/>
                <w:bCs/>
                <w:sz w:val="22"/>
                <w:szCs w:val="22"/>
              </w:rPr>
              <w:t xml:space="preserve">Description/Rationale </w:t>
            </w:r>
          </w:p>
        </w:tc>
      </w:tr>
      <w:tr w:rsidR="005F46C3" w:rsidRPr="00CA0AE3" w:rsidTr="005F46C3">
        <w:trPr>
          <w:trHeight w:val="255"/>
        </w:trPr>
        <w:tc>
          <w:tcPr>
            <w:tcW w:w="5000" w:type="pct"/>
            <w:gridSpan w:val="2"/>
          </w:tcPr>
          <w:p w:rsidR="005F46C3" w:rsidRPr="00CA0AE3" w:rsidRDefault="005F46C3" w:rsidP="005F46C3">
            <w:pPr>
              <w:pStyle w:val="Default"/>
              <w:rPr>
                <w:color w:val="auto"/>
                <w:sz w:val="22"/>
                <w:szCs w:val="22"/>
              </w:rPr>
            </w:pPr>
            <w:r w:rsidRPr="00CA0AE3">
              <w:rPr>
                <w:color w:val="auto"/>
                <w:sz w:val="22"/>
                <w:szCs w:val="22"/>
              </w:rPr>
              <w:t>Poor access to appropriate levels of care is a leading barrier to recovery for individuals with mental health and substance use (MHSU) conditions.</w:t>
            </w:r>
            <w:r w:rsidRPr="00CA0AE3">
              <w:rPr>
                <w:rStyle w:val="FootnoteReference"/>
                <w:color w:val="auto"/>
                <w:sz w:val="22"/>
                <w:szCs w:val="22"/>
              </w:rPr>
              <w:footnoteReference w:id="65"/>
            </w:r>
            <w:r w:rsidRPr="00CA0AE3">
              <w:rPr>
                <w:color w:val="auto"/>
                <w:sz w:val="22"/>
                <w:szCs w:val="22"/>
              </w:rPr>
              <w:t xml:space="preserve">  A comprehensive system for MHSU treatment – offering the right care to the right people at the right time – requires a wide range of services and delivery methods to meet the unique needs of individuals and families.  Among others, these services include outpatient counseling (including primary care integration), intermediate care (intensive outpatient, partial hospital), residential and inpatient facilities, support for care transitions, and triage and emergency services.  A robust continuum of care helps people access services when they need and want them, improving patient experience and the value of care (quality/cost). </w:t>
            </w:r>
          </w:p>
          <w:p w:rsidR="00397896" w:rsidRPr="00CA0AE3" w:rsidRDefault="00397896" w:rsidP="005F46C3">
            <w:pPr>
              <w:pStyle w:val="Default"/>
              <w:rPr>
                <w:color w:val="auto"/>
                <w:sz w:val="22"/>
                <w:szCs w:val="22"/>
              </w:rPr>
            </w:pPr>
          </w:p>
          <w:p w:rsidR="005F46C3" w:rsidRPr="00CA0AE3" w:rsidRDefault="005F46C3" w:rsidP="005F46C3">
            <w:pPr>
              <w:pStyle w:val="Default"/>
              <w:rPr>
                <w:sz w:val="22"/>
                <w:szCs w:val="22"/>
              </w:rPr>
            </w:pPr>
            <w:r w:rsidRPr="00CA0AE3">
              <w:rPr>
                <w:color w:val="auto"/>
                <w:sz w:val="22"/>
                <w:szCs w:val="22"/>
              </w:rPr>
              <w:t xml:space="preserve">A comprehensive treatment system allows individuals and their providers to develop an optimal care plan most likely to help them stay connected to their communities and succeed in daily activities, such as work or school.  This, in turn, promotes greater engagement of family and community supports, ensuring that more resources are in place to support one’s recovery.  Individuals who do receive appropriate treatment early in their onset of illness may require less intensive </w:t>
            </w:r>
            <w:r w:rsidRPr="00CA0AE3">
              <w:rPr>
                <w:rStyle w:val="term-highlight1"/>
                <w:b w:val="0"/>
                <w:color w:val="auto"/>
                <w:sz w:val="22"/>
                <w:szCs w:val="22"/>
              </w:rPr>
              <w:t>care</w:t>
            </w:r>
            <w:r w:rsidRPr="00CA0AE3">
              <w:rPr>
                <w:color w:val="auto"/>
                <w:sz w:val="22"/>
                <w:szCs w:val="22"/>
              </w:rPr>
              <w:t>, experience fewer relapses,</w:t>
            </w:r>
            <w:r w:rsidRPr="00CA0AE3">
              <w:rPr>
                <w:rStyle w:val="FootnoteReference"/>
                <w:color w:val="auto"/>
                <w:sz w:val="22"/>
                <w:szCs w:val="22"/>
              </w:rPr>
              <w:footnoteReference w:id="66"/>
            </w:r>
            <w:r w:rsidRPr="00CA0AE3">
              <w:rPr>
                <w:color w:val="auto"/>
                <w:sz w:val="22"/>
                <w:szCs w:val="22"/>
              </w:rPr>
              <w:t xml:space="preserve"> and have better long-term health outcomes.</w:t>
            </w:r>
            <w:r w:rsidRPr="00CA0AE3">
              <w:rPr>
                <w:rStyle w:val="FootnoteReference"/>
                <w:color w:val="auto"/>
                <w:sz w:val="22"/>
                <w:szCs w:val="22"/>
              </w:rPr>
              <w:footnoteReference w:id="67"/>
            </w:r>
            <w:r w:rsidRPr="00CA0AE3">
              <w:rPr>
                <w:sz w:val="22"/>
                <w:szCs w:val="22"/>
              </w:rPr>
              <w:t xml:space="preserve">  New programs offering integrated, person-centered MHSU care show promising results – greater use of community-based outpatient care, fewer hospital and emergency department (ED) admissions, better health outcomes</w:t>
            </w:r>
            <w:r w:rsidRPr="00CA0AE3">
              <w:rPr>
                <w:sz w:val="22"/>
                <w:szCs w:val="22"/>
                <w:vertAlign w:val="superscript"/>
              </w:rPr>
              <w:footnoteReference w:id="68"/>
            </w:r>
            <w:r w:rsidRPr="00CA0AE3">
              <w:rPr>
                <w:sz w:val="22"/>
                <w:szCs w:val="22"/>
                <w:vertAlign w:val="superscript"/>
              </w:rPr>
              <w:t>-</w:t>
            </w:r>
            <w:r w:rsidRPr="00CA0AE3">
              <w:rPr>
                <w:sz w:val="22"/>
                <w:szCs w:val="22"/>
                <w:vertAlign w:val="superscript"/>
              </w:rPr>
              <w:footnoteReference w:id="69"/>
            </w:r>
            <w:r w:rsidRPr="00CA0AE3">
              <w:rPr>
                <w:sz w:val="22"/>
                <w:szCs w:val="22"/>
              </w:rPr>
              <w:t xml:space="preserve"> – and offer hope for developing more effective, sustainable care models. </w:t>
            </w:r>
          </w:p>
          <w:p w:rsidR="00397896" w:rsidRPr="00CA0AE3" w:rsidRDefault="00397896" w:rsidP="005F46C3">
            <w:pPr>
              <w:pStyle w:val="Default"/>
              <w:rPr>
                <w:color w:val="auto"/>
                <w:sz w:val="22"/>
                <w:szCs w:val="22"/>
              </w:rPr>
            </w:pPr>
          </w:p>
          <w:p w:rsidR="005F46C3" w:rsidRPr="00CA0AE3" w:rsidRDefault="005F46C3" w:rsidP="005F46C3">
            <w:pPr>
              <w:pStyle w:val="Default"/>
              <w:rPr>
                <w:color w:val="auto"/>
                <w:sz w:val="22"/>
                <w:szCs w:val="22"/>
              </w:rPr>
            </w:pPr>
            <w:r w:rsidRPr="00CA0AE3">
              <w:rPr>
                <w:color w:val="auto"/>
                <w:sz w:val="22"/>
                <w:szCs w:val="22"/>
              </w:rPr>
              <w:t>However, left untreated, behavioral health disorders and co-occurring health conditions have harmful economic, interpersonal, and social impacts for the population as a whole.</w:t>
            </w:r>
            <w:r w:rsidRPr="00CA0AE3">
              <w:rPr>
                <w:rStyle w:val="FootnoteReference"/>
                <w:color w:val="auto"/>
                <w:sz w:val="22"/>
                <w:szCs w:val="22"/>
              </w:rPr>
              <w:footnoteReference w:id="70"/>
            </w:r>
            <w:r w:rsidRPr="00CA0AE3">
              <w:rPr>
                <w:color w:val="auto"/>
                <w:sz w:val="22"/>
                <w:szCs w:val="22"/>
              </w:rPr>
              <w:t xml:space="preserve"> </w:t>
            </w:r>
            <w:r w:rsidRPr="00CA0AE3">
              <w:rPr>
                <w:sz w:val="22"/>
                <w:szCs w:val="22"/>
              </w:rPr>
              <w:t>This troubling impact is most evident in the 20 to 30 year gap in life expectancy among people living with serious mental illnesses (SMI).</w:t>
            </w:r>
            <w:r w:rsidRPr="00CA0AE3">
              <w:rPr>
                <w:rStyle w:val="FootnoteReference"/>
                <w:sz w:val="22"/>
                <w:szCs w:val="22"/>
              </w:rPr>
              <w:footnoteReference w:id="71"/>
            </w:r>
            <w:r w:rsidRPr="00CA0AE3">
              <w:rPr>
                <w:sz w:val="22"/>
                <w:szCs w:val="22"/>
                <w:vertAlign w:val="superscript"/>
              </w:rPr>
              <w:t>-</w:t>
            </w:r>
            <w:r w:rsidRPr="00CA0AE3">
              <w:rPr>
                <w:rStyle w:val="FootnoteReference"/>
                <w:sz w:val="22"/>
                <w:szCs w:val="22"/>
              </w:rPr>
              <w:footnoteReference w:id="72"/>
            </w:r>
            <w:r w:rsidRPr="00CA0AE3">
              <w:rPr>
                <w:sz w:val="22"/>
                <w:szCs w:val="22"/>
                <w:vertAlign w:val="superscript"/>
              </w:rPr>
              <w:t xml:space="preserve">   </w:t>
            </w:r>
            <w:r w:rsidRPr="00CA0AE3">
              <w:rPr>
                <w:sz w:val="22"/>
                <w:szCs w:val="22"/>
              </w:rPr>
              <w:t xml:space="preserve">This disparity is driven largely by </w:t>
            </w:r>
            <w:r w:rsidRPr="00CA0AE3">
              <w:rPr>
                <w:color w:val="auto"/>
                <w:sz w:val="22"/>
                <w:szCs w:val="22"/>
              </w:rPr>
              <w:t xml:space="preserve">higher rates of chronic disease (e.g. diabetes, hypertension, hyperlipidemia, and obesity), </w:t>
            </w:r>
            <w:r w:rsidRPr="00CA0AE3">
              <w:rPr>
                <w:sz w:val="22"/>
                <w:szCs w:val="22"/>
              </w:rPr>
              <w:t>delayed diagnosis and treatment of medical conditions,</w:t>
            </w:r>
            <w:r w:rsidRPr="00CA0AE3">
              <w:rPr>
                <w:rStyle w:val="FootnoteReference"/>
                <w:sz w:val="22"/>
                <w:szCs w:val="22"/>
              </w:rPr>
              <w:footnoteReference w:id="73"/>
            </w:r>
            <w:r w:rsidRPr="00CA0AE3">
              <w:rPr>
                <w:sz w:val="22"/>
                <w:szCs w:val="22"/>
              </w:rPr>
              <w:t xml:space="preserve"> fragmented delivery of inadequate care, </w:t>
            </w:r>
            <w:r w:rsidRPr="00CA0AE3">
              <w:rPr>
                <w:sz w:val="22"/>
                <w:szCs w:val="22"/>
              </w:rPr>
              <w:lastRenderedPageBreak/>
              <w:t>medication side effects,</w:t>
            </w:r>
            <w:r w:rsidRPr="00CA0AE3">
              <w:rPr>
                <w:rStyle w:val="FootnoteReference"/>
                <w:sz w:val="22"/>
                <w:szCs w:val="22"/>
              </w:rPr>
              <w:footnoteReference w:id="74"/>
            </w:r>
            <w:r w:rsidRPr="00CA0AE3">
              <w:rPr>
                <w:sz w:val="22"/>
                <w:szCs w:val="22"/>
              </w:rPr>
              <w:t xml:space="preserve"> and higher rates of modifiable risk factors</w:t>
            </w:r>
            <w:r w:rsidRPr="00CA0AE3">
              <w:rPr>
                <w:rStyle w:val="FootnoteReference"/>
                <w:sz w:val="22"/>
                <w:szCs w:val="22"/>
              </w:rPr>
              <w:footnoteReference w:id="75"/>
            </w:r>
            <w:r w:rsidRPr="00CA0AE3">
              <w:rPr>
                <w:sz w:val="22"/>
                <w:szCs w:val="22"/>
              </w:rPr>
              <w:t xml:space="preserve"> – all of which are </w:t>
            </w:r>
            <w:r w:rsidRPr="00CA0AE3">
              <w:rPr>
                <w:color w:val="auto"/>
                <w:sz w:val="22"/>
                <w:szCs w:val="22"/>
              </w:rPr>
              <w:t>more common among people with SMI and/or substance use disorders (SUD).</w:t>
            </w:r>
          </w:p>
          <w:p w:rsidR="005F46C3" w:rsidRPr="00CA0AE3" w:rsidRDefault="005F46C3" w:rsidP="005F46C3">
            <w:pPr>
              <w:pStyle w:val="Default"/>
              <w:rPr>
                <w:color w:val="auto"/>
                <w:sz w:val="22"/>
                <w:szCs w:val="22"/>
              </w:rPr>
            </w:pPr>
          </w:p>
          <w:p w:rsidR="005F46C3" w:rsidRPr="00CA0AE3" w:rsidRDefault="005F46C3" w:rsidP="005F46C3">
            <w:pPr>
              <w:pStyle w:val="Default"/>
              <w:rPr>
                <w:sz w:val="22"/>
                <w:szCs w:val="22"/>
              </w:rPr>
            </w:pPr>
            <w:r w:rsidRPr="00CA0AE3">
              <w:rPr>
                <w:sz w:val="22"/>
                <w:szCs w:val="22"/>
              </w:rPr>
              <w:t>Based on data from 2010 to 2014, on average 4.2 percent of Massachusetts residents are living with SMI and 10 percent have a SUD,</w:t>
            </w:r>
            <w:r w:rsidRPr="00CA0AE3">
              <w:rPr>
                <w:rStyle w:val="FootnoteReference"/>
                <w:sz w:val="22"/>
                <w:szCs w:val="22"/>
              </w:rPr>
              <w:footnoteReference w:id="76"/>
            </w:r>
            <w:r w:rsidRPr="00CA0AE3">
              <w:rPr>
                <w:sz w:val="22"/>
                <w:szCs w:val="22"/>
              </w:rPr>
              <w:t xml:space="preserve"> and the majority of state residents who need MHSU services do not receive any.  Among adult residents with any mental illness, about 46 percent receive no care each year; for SUD, the figure is closer to 90 percent.</w:t>
            </w:r>
            <w:r w:rsidRPr="00CA0AE3">
              <w:rPr>
                <w:rStyle w:val="FootnoteReference"/>
                <w:sz w:val="22"/>
                <w:szCs w:val="22"/>
              </w:rPr>
              <w:footnoteReference w:id="77"/>
            </w:r>
            <w:r w:rsidRPr="00CA0AE3">
              <w:rPr>
                <w:sz w:val="22"/>
                <w:szCs w:val="22"/>
              </w:rPr>
              <w:t xml:space="preserve">  Even for those who do access care, not all treatment is appropriate or sufficient.  Among adults who access mental health care, 30 percent still report unmet needs, and more than one-third of those treated in the state’s public mental health system say it has not improved their functioning.</w:t>
            </w:r>
            <w:r w:rsidRPr="00CA0AE3">
              <w:rPr>
                <w:rStyle w:val="FootnoteReference"/>
                <w:sz w:val="22"/>
                <w:szCs w:val="22"/>
              </w:rPr>
              <w:footnoteReference w:id="78"/>
            </w:r>
            <w:r w:rsidRPr="00CA0AE3">
              <w:rPr>
                <w:sz w:val="22"/>
                <w:szCs w:val="22"/>
              </w:rPr>
              <w:t xml:space="preserve"> </w:t>
            </w:r>
          </w:p>
          <w:p w:rsidR="005F46C3" w:rsidRPr="00CA0AE3" w:rsidRDefault="005F46C3" w:rsidP="005F46C3">
            <w:pPr>
              <w:pStyle w:val="Default"/>
              <w:rPr>
                <w:sz w:val="22"/>
                <w:szCs w:val="22"/>
                <w:vertAlign w:val="superscript"/>
              </w:rPr>
            </w:pPr>
          </w:p>
          <w:p w:rsidR="005F46C3" w:rsidRPr="00CA0AE3" w:rsidRDefault="005F46C3" w:rsidP="005F46C3">
            <w:pPr>
              <w:pStyle w:val="Default"/>
              <w:rPr>
                <w:sz w:val="22"/>
                <w:szCs w:val="22"/>
              </w:rPr>
            </w:pPr>
            <w:r w:rsidRPr="00CA0AE3">
              <w:rPr>
                <w:sz w:val="22"/>
                <w:szCs w:val="22"/>
              </w:rPr>
              <w:t xml:space="preserve">Massachusetts’ MHSU service gaps are due in part to shortages across the entire care continuum, from outpatient care to emergency services, inpatient beds, partial hospital programs, crisis stabilization units, detoxification, residential programs, and so on.  This </w:t>
            </w:r>
            <w:r w:rsidR="00397896" w:rsidRPr="00CA0AE3">
              <w:rPr>
                <w:sz w:val="22"/>
                <w:szCs w:val="22"/>
              </w:rPr>
              <w:t xml:space="preserve">can </w:t>
            </w:r>
            <w:r w:rsidRPr="00CA0AE3">
              <w:rPr>
                <w:sz w:val="22"/>
                <w:szCs w:val="22"/>
              </w:rPr>
              <w:t xml:space="preserve">result in </w:t>
            </w:r>
            <w:r w:rsidR="00397896" w:rsidRPr="00CA0AE3">
              <w:rPr>
                <w:sz w:val="22"/>
                <w:szCs w:val="22"/>
              </w:rPr>
              <w:t>sub-optimal</w:t>
            </w:r>
            <w:r w:rsidRPr="00CA0AE3">
              <w:rPr>
                <w:sz w:val="22"/>
                <w:szCs w:val="22"/>
              </w:rPr>
              <w:t xml:space="preserve"> wait times for outpatient therapy; extended hospitalizations due to lack of community-based services; </w:t>
            </w:r>
            <w:r w:rsidR="000F1D36" w:rsidRPr="00CA0AE3">
              <w:rPr>
                <w:sz w:val="22"/>
                <w:szCs w:val="22"/>
              </w:rPr>
              <w:t xml:space="preserve">and </w:t>
            </w:r>
            <w:r w:rsidRPr="00CA0AE3">
              <w:rPr>
                <w:sz w:val="22"/>
                <w:szCs w:val="22"/>
              </w:rPr>
              <w:t xml:space="preserve">“boarding” in emergency departments (ED) as people await transfer to intermediate or acute care.  These </w:t>
            </w:r>
            <w:r w:rsidR="00CB1B62" w:rsidRPr="00CA0AE3">
              <w:rPr>
                <w:sz w:val="22"/>
                <w:szCs w:val="22"/>
              </w:rPr>
              <w:t xml:space="preserve">access </w:t>
            </w:r>
            <w:r w:rsidRPr="00CA0AE3">
              <w:rPr>
                <w:sz w:val="22"/>
                <w:szCs w:val="22"/>
              </w:rPr>
              <w:t xml:space="preserve">issues </w:t>
            </w:r>
            <w:r w:rsidR="00CB1B62" w:rsidRPr="00CA0AE3">
              <w:rPr>
                <w:sz w:val="22"/>
                <w:szCs w:val="22"/>
              </w:rPr>
              <w:t xml:space="preserve">can be </w:t>
            </w:r>
            <w:r w:rsidRPr="00CA0AE3">
              <w:rPr>
                <w:sz w:val="22"/>
                <w:szCs w:val="22"/>
              </w:rPr>
              <w:t>more pronounced for MassHealth enrollees because many providers do not contract with Medicaid to serve its members.  Massachusetts now faces an opioid use epidemic that has doubled the rate of overdose deaths from 2012 to 2015.</w:t>
            </w:r>
            <w:r w:rsidRPr="00CA0AE3">
              <w:rPr>
                <w:sz w:val="22"/>
                <w:szCs w:val="22"/>
                <w:vertAlign w:val="superscript"/>
              </w:rPr>
              <w:footnoteReference w:id="79"/>
            </w:r>
            <w:r w:rsidRPr="00CA0AE3">
              <w:rPr>
                <w:sz w:val="22"/>
                <w:szCs w:val="22"/>
              </w:rPr>
              <w:t xml:space="preserve">  The problem and need for care is growing exponentially. Improving access to opioid treatment will require expanding capacity for Medication-Assisted Treatment (MAT) and providing more timely access to comprehensive evidence-based outpatient care for SUD.</w:t>
            </w:r>
          </w:p>
          <w:p w:rsidR="005F46C3" w:rsidRPr="00CA0AE3" w:rsidRDefault="005F46C3" w:rsidP="005F46C3">
            <w:pPr>
              <w:pStyle w:val="Default"/>
              <w:rPr>
                <w:sz w:val="22"/>
                <w:szCs w:val="22"/>
              </w:rPr>
            </w:pPr>
          </w:p>
          <w:p w:rsidR="005F46C3" w:rsidRPr="00CA0AE3" w:rsidRDefault="005F46C3" w:rsidP="005F46C3">
            <w:pPr>
              <w:pStyle w:val="Default"/>
              <w:rPr>
                <w:color w:val="auto"/>
                <w:sz w:val="22"/>
                <w:szCs w:val="22"/>
              </w:rPr>
            </w:pPr>
            <w:r w:rsidRPr="00CA0AE3">
              <w:rPr>
                <w:color w:val="auto"/>
                <w:sz w:val="22"/>
                <w:szCs w:val="22"/>
              </w:rPr>
              <w:t xml:space="preserve">A substantial portion of the public </w:t>
            </w:r>
            <w:r w:rsidRPr="00CA0AE3">
              <w:rPr>
                <w:rStyle w:val="term-highlight1"/>
                <w:b w:val="0"/>
                <w:color w:val="auto"/>
                <w:sz w:val="22"/>
                <w:szCs w:val="22"/>
              </w:rPr>
              <w:t>care</w:t>
            </w:r>
            <w:r w:rsidRPr="00CA0AE3">
              <w:rPr>
                <w:color w:val="auto"/>
                <w:sz w:val="22"/>
                <w:szCs w:val="22"/>
              </w:rPr>
              <w:t xml:space="preserve"> system for individuals with the most disabling conditions extends beyond </w:t>
            </w:r>
            <w:r w:rsidRPr="00CA0AE3">
              <w:rPr>
                <w:rStyle w:val="term-highlight1"/>
                <w:b w:val="0"/>
                <w:color w:val="auto"/>
                <w:sz w:val="22"/>
                <w:szCs w:val="22"/>
              </w:rPr>
              <w:t>health</w:t>
            </w:r>
            <w:r w:rsidRPr="00CA0AE3">
              <w:rPr>
                <w:b/>
                <w:color w:val="auto"/>
                <w:sz w:val="22"/>
                <w:szCs w:val="22"/>
              </w:rPr>
              <w:t xml:space="preserve"> </w:t>
            </w:r>
            <w:r w:rsidRPr="00CA0AE3">
              <w:rPr>
                <w:rStyle w:val="term-highlight1"/>
                <w:b w:val="0"/>
                <w:color w:val="auto"/>
                <w:sz w:val="22"/>
                <w:szCs w:val="22"/>
              </w:rPr>
              <w:t>care</w:t>
            </w:r>
            <w:r w:rsidRPr="00CA0AE3">
              <w:rPr>
                <w:color w:val="auto"/>
                <w:sz w:val="22"/>
                <w:szCs w:val="22"/>
              </w:rPr>
              <w:t xml:space="preserve"> services to rehabilitative and support services, including housing, job counseling, literacy, and other programs.  The coordination of these services requires collaborative and cooperative relationships among many agencies, service providers, and community organizations.  Most of these services are not covered by private insurance and have not been developed by most private behavioral </w:t>
            </w:r>
            <w:r w:rsidRPr="00CA0AE3">
              <w:rPr>
                <w:rStyle w:val="term-highlight1"/>
                <w:b w:val="0"/>
                <w:color w:val="auto"/>
                <w:sz w:val="22"/>
                <w:szCs w:val="22"/>
              </w:rPr>
              <w:t>health</w:t>
            </w:r>
            <w:r w:rsidRPr="00CA0AE3">
              <w:rPr>
                <w:b/>
                <w:color w:val="auto"/>
                <w:sz w:val="22"/>
                <w:szCs w:val="22"/>
              </w:rPr>
              <w:t xml:space="preserve"> </w:t>
            </w:r>
            <w:r w:rsidRPr="00CA0AE3">
              <w:rPr>
                <w:rStyle w:val="term-highlight1"/>
                <w:b w:val="0"/>
                <w:color w:val="auto"/>
                <w:sz w:val="22"/>
                <w:szCs w:val="22"/>
              </w:rPr>
              <w:t>care</w:t>
            </w:r>
            <w:r w:rsidRPr="00CA0AE3">
              <w:rPr>
                <w:color w:val="auto"/>
                <w:sz w:val="22"/>
                <w:szCs w:val="22"/>
              </w:rPr>
              <w:t xml:space="preserve"> companies.  Poor linkage and fractured funding impedes the ability to provide access to these services in a coordinated and integrated way.</w:t>
            </w:r>
            <w:r w:rsidRPr="00CA0AE3">
              <w:rPr>
                <w:rStyle w:val="FootnoteReference"/>
                <w:color w:val="auto"/>
                <w:sz w:val="22"/>
                <w:szCs w:val="22"/>
              </w:rPr>
              <w:footnoteReference w:id="80"/>
            </w:r>
            <w:r w:rsidRPr="00CA0AE3">
              <w:rPr>
                <w:color w:val="auto"/>
                <w:sz w:val="22"/>
                <w:szCs w:val="22"/>
              </w:rPr>
              <w:t xml:space="preserve">   One strategy that may be employed to address this barrier to care is formalization of agreements between healthcare providers and community-based providers who offer complementary services, and providing integrated population case management.</w:t>
            </w:r>
          </w:p>
          <w:p w:rsidR="005F46C3" w:rsidRPr="00CA0AE3" w:rsidRDefault="005F46C3" w:rsidP="005F46C3">
            <w:pPr>
              <w:pStyle w:val="Default"/>
              <w:rPr>
                <w:color w:val="auto"/>
                <w:sz w:val="22"/>
                <w:szCs w:val="22"/>
              </w:rPr>
            </w:pPr>
          </w:p>
          <w:p w:rsidR="005F46C3" w:rsidRPr="00CA0AE3" w:rsidRDefault="005F46C3" w:rsidP="005F46C3">
            <w:pPr>
              <w:pStyle w:val="Default"/>
              <w:rPr>
                <w:sz w:val="22"/>
                <w:szCs w:val="22"/>
              </w:rPr>
            </w:pPr>
            <w:r w:rsidRPr="00CA0AE3">
              <w:rPr>
                <w:sz w:val="22"/>
                <w:szCs w:val="22"/>
              </w:rPr>
              <w:t xml:space="preserve"> Along with improving access to MHSU treatment and reliable coordination among all service providers, a focus on health promotion is essential to impact health outcomes for this population.  A national study </w:t>
            </w:r>
            <w:r w:rsidRPr="00CA0AE3">
              <w:rPr>
                <w:sz w:val="22"/>
                <w:szCs w:val="22"/>
              </w:rPr>
              <w:lastRenderedPageBreak/>
              <w:t>estimated 85 percent of the life expectancy gap for people living with schizophrenia was attributable to “natural” causes, such as cardiovascular disease, cancers, pneumonia, diabetes, and so on.</w:t>
            </w:r>
            <w:r w:rsidRPr="00CA0AE3">
              <w:rPr>
                <w:rStyle w:val="FootnoteReference"/>
                <w:sz w:val="22"/>
                <w:szCs w:val="22"/>
              </w:rPr>
              <w:footnoteReference w:id="81"/>
            </w:r>
            <w:r w:rsidRPr="00CA0AE3">
              <w:rPr>
                <w:sz w:val="22"/>
                <w:szCs w:val="22"/>
              </w:rPr>
              <w:t xml:space="preserve">  Early screening and intervention for these medical conditions is essential to improving health outcomes.  This is particularly true for patients taking antipsychotic medications that increase the risk for certain medical conditions, most notably metabolic syndrome.  While these diseases can develop for numerous reasons, modifiable factors such as smoking, diet, physical activity, substance use, and social needs are key drivers.  Promoting healthy living through education, skills training, and behavioral therapy will be necessary to improve population health.  Certain interventions have improved health outcomes among people with psychotic disorders.</w:t>
            </w:r>
            <w:r w:rsidRPr="00CA0AE3">
              <w:rPr>
                <w:sz w:val="22"/>
                <w:szCs w:val="22"/>
                <w:vertAlign w:val="superscript"/>
              </w:rPr>
              <w:footnoteReference w:id="82"/>
            </w:r>
            <w:r w:rsidRPr="00CA0AE3">
              <w:rPr>
                <w:sz w:val="22"/>
                <w:szCs w:val="22"/>
                <w:vertAlign w:val="superscript"/>
              </w:rPr>
              <w:t>-</w:t>
            </w:r>
            <w:r w:rsidRPr="00CA0AE3">
              <w:rPr>
                <w:sz w:val="22"/>
                <w:szCs w:val="22"/>
                <w:vertAlign w:val="superscript"/>
              </w:rPr>
              <w:footnoteReference w:id="83"/>
            </w:r>
            <w:r w:rsidRPr="00CA0AE3">
              <w:rPr>
                <w:sz w:val="22"/>
                <w:szCs w:val="22"/>
              </w:rPr>
              <w:t xml:space="preserve">  </w:t>
            </w:r>
          </w:p>
          <w:p w:rsidR="005F46C3" w:rsidRPr="00CA0AE3" w:rsidRDefault="005F46C3" w:rsidP="005F46C3">
            <w:pPr>
              <w:pStyle w:val="Default"/>
              <w:rPr>
                <w:sz w:val="22"/>
                <w:szCs w:val="22"/>
              </w:rPr>
            </w:pPr>
          </w:p>
          <w:p w:rsidR="005F46C3" w:rsidRPr="00CA0AE3" w:rsidRDefault="005F46C3" w:rsidP="005F46C3">
            <w:pPr>
              <w:pStyle w:val="Default"/>
              <w:rPr>
                <w:sz w:val="22"/>
                <w:szCs w:val="22"/>
              </w:rPr>
            </w:pPr>
            <w:r w:rsidRPr="00CA0AE3">
              <w:rPr>
                <w:sz w:val="22"/>
                <w:szCs w:val="22"/>
              </w:rPr>
              <w:t xml:space="preserve">Improving access to MHSU care overall requires attention to all aspects of the care continuum, from the professional care provided by trained clinicians to self care and social support.  Expansion of services in those areas of the continuum that are most lacking, particularly in the intermediate levels of care that provide step-down and diversionary services, will assist with shifting care away from more intensive levels and providing patients with care at the appropriate level of service.  Providers must also consider adopting treatment modalities that can improve efficiency and create capacity within existing services, such as shorter term evidence-based treatments and technology-based services, such as telemedicine consultations.  Patient care teams may be redefined to include all who work with the patient, including clinicians, paraprofessionals, peer specialists/coaches, community-based providers, social support providers, etc., with the patient at the center of the team. </w:t>
            </w:r>
          </w:p>
        </w:tc>
      </w:tr>
      <w:tr w:rsidR="005F46C3" w:rsidRPr="00CA0AE3" w:rsidTr="005E6DD5">
        <w:trPr>
          <w:trHeight w:val="297"/>
        </w:trPr>
        <w:tc>
          <w:tcPr>
            <w:tcW w:w="5000" w:type="pct"/>
            <w:gridSpan w:val="2"/>
            <w:shd w:val="clear" w:color="auto" w:fill="C6D9F1" w:themeFill="text2" w:themeFillTint="33"/>
            <w:vAlign w:val="center"/>
          </w:tcPr>
          <w:p w:rsidR="005F46C3" w:rsidRPr="00CA0AE3" w:rsidRDefault="005F46C3" w:rsidP="005E6DD5">
            <w:pPr>
              <w:pStyle w:val="Default"/>
              <w:rPr>
                <w:b/>
                <w:sz w:val="22"/>
                <w:szCs w:val="22"/>
              </w:rPr>
            </w:pPr>
            <w:r w:rsidRPr="00CA0AE3">
              <w:rPr>
                <w:b/>
                <w:sz w:val="22"/>
                <w:szCs w:val="22"/>
              </w:rPr>
              <w:lastRenderedPageBreak/>
              <w:t>Goals/Objectives</w:t>
            </w:r>
          </w:p>
        </w:tc>
      </w:tr>
      <w:tr w:rsidR="005F46C3" w:rsidRPr="00CA0AE3" w:rsidTr="005F46C3">
        <w:trPr>
          <w:trHeight w:val="885"/>
        </w:trPr>
        <w:tc>
          <w:tcPr>
            <w:tcW w:w="5000" w:type="pct"/>
            <w:gridSpan w:val="2"/>
            <w:shd w:val="clear" w:color="auto" w:fill="auto"/>
          </w:tcPr>
          <w:p w:rsidR="005F46C3" w:rsidRPr="00CA0AE3" w:rsidRDefault="005F46C3" w:rsidP="005F46C3">
            <w:pPr>
              <w:pStyle w:val="Default"/>
              <w:rPr>
                <w:sz w:val="22"/>
                <w:szCs w:val="22"/>
              </w:rPr>
            </w:pPr>
            <w:r w:rsidRPr="00CA0AE3">
              <w:rPr>
                <w:sz w:val="22"/>
                <w:szCs w:val="22"/>
              </w:rPr>
              <w:t>The ultimate goal of this project is to achieve Triple Aim results – improved population health, better experience of care, and lower costs – and deliver higher-value care for people with serious mental illness and/or substance use disorders. To pursue the Triple Aim for this vulnerable population, the initiative aims to:</w:t>
            </w:r>
          </w:p>
          <w:p w:rsidR="005F46C3" w:rsidRPr="00CA0AE3" w:rsidRDefault="005F46C3" w:rsidP="005F46C3">
            <w:pPr>
              <w:pStyle w:val="Default"/>
              <w:numPr>
                <w:ilvl w:val="0"/>
                <w:numId w:val="98"/>
              </w:numPr>
              <w:rPr>
                <w:sz w:val="22"/>
                <w:szCs w:val="22"/>
              </w:rPr>
            </w:pPr>
            <w:r w:rsidRPr="00CA0AE3">
              <w:rPr>
                <w:sz w:val="22"/>
                <w:szCs w:val="22"/>
              </w:rPr>
              <w:t>Improve access (proximity and timeliness) to specialty MHSU care;</w:t>
            </w:r>
          </w:p>
          <w:p w:rsidR="005F46C3" w:rsidRPr="00CA0AE3" w:rsidRDefault="005F46C3" w:rsidP="005F46C3">
            <w:pPr>
              <w:pStyle w:val="Default"/>
              <w:numPr>
                <w:ilvl w:val="0"/>
                <w:numId w:val="98"/>
              </w:numPr>
              <w:rPr>
                <w:sz w:val="22"/>
                <w:szCs w:val="22"/>
              </w:rPr>
            </w:pPr>
            <w:r w:rsidRPr="00CA0AE3">
              <w:rPr>
                <w:sz w:val="22"/>
                <w:szCs w:val="22"/>
              </w:rPr>
              <w:t>Provide access to outpatient appointments within 7 days for patients discharged from inpatient psychiatry units and within 14 days for non-urgent MHSU referrals;</w:t>
            </w:r>
          </w:p>
          <w:p w:rsidR="005F46C3" w:rsidRPr="00CA0AE3" w:rsidRDefault="005F46C3" w:rsidP="005F46C3">
            <w:pPr>
              <w:pStyle w:val="Default"/>
              <w:numPr>
                <w:ilvl w:val="0"/>
                <w:numId w:val="98"/>
              </w:numPr>
              <w:rPr>
                <w:sz w:val="22"/>
                <w:szCs w:val="22"/>
              </w:rPr>
            </w:pPr>
            <w:r w:rsidRPr="00CA0AE3">
              <w:rPr>
                <w:sz w:val="22"/>
                <w:szCs w:val="22"/>
              </w:rPr>
              <w:t>Expand capacity for Medication-Assisted Treatment (MAT) for patients with SUD;</w:t>
            </w:r>
          </w:p>
          <w:p w:rsidR="005F46C3" w:rsidRPr="00CA0AE3" w:rsidRDefault="005F46C3" w:rsidP="005F46C3">
            <w:pPr>
              <w:pStyle w:val="Default"/>
              <w:numPr>
                <w:ilvl w:val="0"/>
                <w:numId w:val="98"/>
              </w:numPr>
              <w:rPr>
                <w:sz w:val="22"/>
                <w:szCs w:val="22"/>
              </w:rPr>
            </w:pPr>
            <w:r w:rsidRPr="00CA0AE3">
              <w:rPr>
                <w:sz w:val="22"/>
                <w:szCs w:val="22"/>
              </w:rPr>
              <w:t>Increase utilization of routine primary care and outpatient behavioral health services;</w:t>
            </w:r>
          </w:p>
          <w:p w:rsidR="005F46C3" w:rsidRPr="00CA0AE3" w:rsidRDefault="005F46C3" w:rsidP="005F46C3">
            <w:pPr>
              <w:pStyle w:val="Default"/>
              <w:numPr>
                <w:ilvl w:val="0"/>
                <w:numId w:val="98"/>
              </w:numPr>
              <w:rPr>
                <w:sz w:val="22"/>
                <w:szCs w:val="22"/>
              </w:rPr>
            </w:pPr>
            <w:r w:rsidRPr="00CA0AE3">
              <w:rPr>
                <w:sz w:val="22"/>
                <w:szCs w:val="22"/>
              </w:rPr>
              <w:t>Increase utilization of alternatives to traditional care, including tele-medicine consultations;</w:t>
            </w:r>
          </w:p>
          <w:p w:rsidR="005F46C3" w:rsidRPr="00CA0AE3" w:rsidRDefault="005F46C3" w:rsidP="005F46C3">
            <w:pPr>
              <w:pStyle w:val="Default"/>
              <w:numPr>
                <w:ilvl w:val="0"/>
                <w:numId w:val="98"/>
              </w:numPr>
              <w:rPr>
                <w:rFonts w:asciiTheme="majorHAnsi" w:eastAsiaTheme="majorEastAsia" w:hAnsiTheme="majorHAnsi" w:cstheme="majorBidi"/>
                <w:b/>
                <w:bCs/>
                <w:sz w:val="22"/>
                <w:szCs w:val="22"/>
              </w:rPr>
            </w:pPr>
            <w:r w:rsidRPr="00CA0AE3">
              <w:rPr>
                <w:sz w:val="22"/>
                <w:szCs w:val="22"/>
              </w:rPr>
              <w:t>Implement population health management initiatives that support integrated specialty behavioral health and physical health and improved patient outcomes;</w:t>
            </w:r>
          </w:p>
          <w:p w:rsidR="005F46C3" w:rsidRPr="00CA0AE3" w:rsidRDefault="005F46C3" w:rsidP="005F46C3">
            <w:pPr>
              <w:pStyle w:val="Default"/>
              <w:numPr>
                <w:ilvl w:val="0"/>
                <w:numId w:val="98"/>
              </w:numPr>
              <w:rPr>
                <w:sz w:val="22"/>
                <w:szCs w:val="22"/>
              </w:rPr>
            </w:pPr>
            <w:r w:rsidRPr="00CA0AE3">
              <w:rPr>
                <w:sz w:val="22"/>
                <w:szCs w:val="22"/>
              </w:rPr>
              <w:t>Improve the population’s metabolic and cardiovascular health, both modifiable causes of premature death;</w:t>
            </w:r>
          </w:p>
          <w:p w:rsidR="005F46C3" w:rsidRPr="00CA0AE3" w:rsidRDefault="005F46C3" w:rsidP="005F46C3">
            <w:pPr>
              <w:pStyle w:val="Default"/>
              <w:numPr>
                <w:ilvl w:val="0"/>
                <w:numId w:val="98"/>
              </w:numPr>
              <w:rPr>
                <w:sz w:val="22"/>
                <w:szCs w:val="22"/>
              </w:rPr>
            </w:pPr>
            <w:r w:rsidRPr="00CA0AE3">
              <w:rPr>
                <w:sz w:val="22"/>
                <w:szCs w:val="22"/>
              </w:rPr>
              <w:t>Provide key screening and intervention activities for hospitalized patients;</w:t>
            </w:r>
          </w:p>
          <w:p w:rsidR="005F46C3" w:rsidRPr="00CA0AE3" w:rsidRDefault="005F46C3" w:rsidP="005F46C3">
            <w:pPr>
              <w:pStyle w:val="Default"/>
              <w:numPr>
                <w:ilvl w:val="0"/>
                <w:numId w:val="98"/>
              </w:numPr>
              <w:rPr>
                <w:b/>
                <w:sz w:val="22"/>
                <w:szCs w:val="22"/>
              </w:rPr>
            </w:pPr>
            <w:r w:rsidRPr="00CA0AE3">
              <w:rPr>
                <w:color w:val="auto"/>
                <w:sz w:val="22"/>
                <w:szCs w:val="22"/>
              </w:rPr>
              <w:t xml:space="preserve">Improve the experience of care among people using specialty MHSU treatment services; </w:t>
            </w:r>
          </w:p>
          <w:p w:rsidR="005F46C3" w:rsidRPr="00CA0AE3" w:rsidRDefault="005F46C3" w:rsidP="005F46C3">
            <w:pPr>
              <w:pStyle w:val="Default"/>
              <w:numPr>
                <w:ilvl w:val="0"/>
                <w:numId w:val="98"/>
              </w:numPr>
              <w:rPr>
                <w:b/>
                <w:sz w:val="22"/>
                <w:szCs w:val="22"/>
              </w:rPr>
            </w:pPr>
            <w:r w:rsidRPr="00CA0AE3">
              <w:rPr>
                <w:color w:val="auto"/>
                <w:sz w:val="22"/>
                <w:szCs w:val="22"/>
              </w:rPr>
              <w:t>Improve reliable communication and coordination among entire care teams across different levels of care, including primary care/medicine, behavioral health, medical specialty, and community-based service providers;</w:t>
            </w:r>
          </w:p>
          <w:p w:rsidR="005F46C3" w:rsidRPr="00CA0AE3" w:rsidRDefault="005F46C3" w:rsidP="005F46C3">
            <w:pPr>
              <w:pStyle w:val="Default"/>
              <w:numPr>
                <w:ilvl w:val="0"/>
                <w:numId w:val="98"/>
              </w:numPr>
              <w:rPr>
                <w:b/>
                <w:sz w:val="22"/>
                <w:szCs w:val="22"/>
              </w:rPr>
            </w:pPr>
            <w:r w:rsidRPr="00CA0AE3">
              <w:rPr>
                <w:color w:val="auto"/>
                <w:sz w:val="22"/>
                <w:szCs w:val="22"/>
              </w:rPr>
              <w:t>Increase utilization of patient-informed plans of care;</w:t>
            </w:r>
          </w:p>
          <w:p w:rsidR="005F46C3" w:rsidRPr="00CA0AE3" w:rsidRDefault="005F46C3" w:rsidP="005F46C3">
            <w:pPr>
              <w:pStyle w:val="Default"/>
              <w:numPr>
                <w:ilvl w:val="0"/>
                <w:numId w:val="98"/>
              </w:numPr>
              <w:rPr>
                <w:sz w:val="22"/>
                <w:szCs w:val="22"/>
              </w:rPr>
            </w:pPr>
            <w:r w:rsidRPr="00CA0AE3">
              <w:rPr>
                <w:sz w:val="22"/>
                <w:szCs w:val="22"/>
              </w:rPr>
              <w:lastRenderedPageBreak/>
              <w:t>Reduce utilization of avoidable emergency department visits for adults with serious mental illness (target population of high acute care and/or emergency services utilization);</w:t>
            </w:r>
          </w:p>
          <w:p w:rsidR="005F46C3" w:rsidRPr="00CA0AE3" w:rsidRDefault="005F46C3" w:rsidP="005F46C3">
            <w:pPr>
              <w:pStyle w:val="Default"/>
              <w:numPr>
                <w:ilvl w:val="0"/>
                <w:numId w:val="98"/>
              </w:numPr>
              <w:rPr>
                <w:sz w:val="22"/>
                <w:szCs w:val="22"/>
              </w:rPr>
            </w:pPr>
            <w:r w:rsidRPr="00CA0AE3">
              <w:rPr>
                <w:sz w:val="22"/>
                <w:szCs w:val="22"/>
              </w:rPr>
              <w:t>Provide alternatives to higher cost services for this particularly high-cost Medicaid sub-population.</w:t>
            </w:r>
            <w:r w:rsidRPr="00CA0AE3">
              <w:rPr>
                <w:rStyle w:val="FootnoteReference"/>
                <w:sz w:val="22"/>
                <w:szCs w:val="22"/>
              </w:rPr>
              <w:footnoteReference w:id="84"/>
            </w:r>
            <w:r w:rsidRPr="00CA0AE3">
              <w:rPr>
                <w:sz w:val="22"/>
                <w:szCs w:val="22"/>
              </w:rPr>
              <w:t xml:space="preserve"> </w:t>
            </w:r>
          </w:p>
        </w:tc>
      </w:tr>
      <w:tr w:rsidR="005F46C3" w:rsidRPr="00CA0AE3" w:rsidTr="005E6DD5">
        <w:trPr>
          <w:trHeight w:val="297"/>
        </w:trPr>
        <w:tc>
          <w:tcPr>
            <w:tcW w:w="5000" w:type="pct"/>
            <w:gridSpan w:val="2"/>
            <w:shd w:val="clear" w:color="auto" w:fill="C6D9F1" w:themeFill="text2" w:themeFillTint="33"/>
            <w:vAlign w:val="center"/>
          </w:tcPr>
          <w:p w:rsidR="005F46C3" w:rsidRPr="00CA0AE3" w:rsidRDefault="005F46C3" w:rsidP="005E6DD5">
            <w:pPr>
              <w:pStyle w:val="Default"/>
              <w:rPr>
                <w:b/>
                <w:sz w:val="22"/>
                <w:szCs w:val="22"/>
              </w:rPr>
            </w:pPr>
            <w:r w:rsidRPr="00CA0AE3">
              <w:rPr>
                <w:b/>
                <w:sz w:val="22"/>
                <w:szCs w:val="22"/>
              </w:rPr>
              <w:lastRenderedPageBreak/>
              <w:t>Core Components</w:t>
            </w:r>
          </w:p>
        </w:tc>
      </w:tr>
      <w:tr w:rsidR="005F46C3" w:rsidRPr="00CA0AE3" w:rsidTr="005F46C3">
        <w:trPr>
          <w:trHeight w:val="72"/>
        </w:trPr>
        <w:tc>
          <w:tcPr>
            <w:tcW w:w="5000" w:type="pct"/>
            <w:gridSpan w:val="2"/>
          </w:tcPr>
          <w:p w:rsidR="005F46C3" w:rsidRPr="00CA0AE3" w:rsidRDefault="005F46C3" w:rsidP="005F46C3">
            <w:pPr>
              <w:pStyle w:val="Default"/>
              <w:rPr>
                <w:i/>
                <w:sz w:val="22"/>
                <w:szCs w:val="22"/>
              </w:rPr>
            </w:pPr>
            <w:r w:rsidRPr="00CA0AE3">
              <w:rPr>
                <w:i/>
                <w:sz w:val="22"/>
                <w:szCs w:val="22"/>
              </w:rPr>
              <w:t>This initiative, if undertaken, may include the following components:</w:t>
            </w:r>
          </w:p>
          <w:p w:rsidR="005F46C3" w:rsidRPr="00CA0AE3" w:rsidRDefault="005F46C3" w:rsidP="005F46C3">
            <w:pPr>
              <w:pStyle w:val="Default"/>
              <w:rPr>
                <w:sz w:val="22"/>
                <w:szCs w:val="22"/>
              </w:rPr>
            </w:pPr>
            <w:r w:rsidRPr="00CA0AE3">
              <w:rPr>
                <w:b/>
                <w:sz w:val="22"/>
                <w:szCs w:val="22"/>
              </w:rPr>
              <w:t>Health promotion and chronic disease management for populations with mental health and substance use (MHSU) disorders</w:t>
            </w:r>
          </w:p>
          <w:p w:rsidR="005F46C3" w:rsidRPr="00CA0AE3" w:rsidRDefault="005F46C3" w:rsidP="005F46C3">
            <w:pPr>
              <w:pStyle w:val="Default"/>
              <w:numPr>
                <w:ilvl w:val="0"/>
                <w:numId w:val="97"/>
              </w:numPr>
              <w:rPr>
                <w:sz w:val="22"/>
                <w:szCs w:val="22"/>
              </w:rPr>
            </w:pPr>
            <w:r w:rsidRPr="00CA0AE3">
              <w:rPr>
                <w:sz w:val="22"/>
                <w:szCs w:val="22"/>
              </w:rPr>
              <w:t>Identify evidence-based practices for development and implementation of metabolic and cardiovascular screening protocols for people prescribed antipsychotic medications.</w:t>
            </w:r>
          </w:p>
          <w:p w:rsidR="005F46C3" w:rsidRPr="00CA0AE3" w:rsidRDefault="005F46C3" w:rsidP="005F46C3">
            <w:pPr>
              <w:pStyle w:val="Default"/>
              <w:numPr>
                <w:ilvl w:val="0"/>
                <w:numId w:val="97"/>
              </w:numPr>
              <w:rPr>
                <w:sz w:val="22"/>
                <w:szCs w:val="22"/>
              </w:rPr>
            </w:pPr>
            <w:r w:rsidRPr="00CA0AE3">
              <w:rPr>
                <w:sz w:val="22"/>
                <w:szCs w:val="22"/>
              </w:rPr>
              <w:t>Reliably screen for frequent co-morbid diseases that are key drivers of premature mortality: diabetes, hyperlipidemia, hypertension, obesity, etc.</w:t>
            </w:r>
          </w:p>
          <w:p w:rsidR="005F46C3" w:rsidRPr="00CA0AE3" w:rsidRDefault="005F46C3" w:rsidP="005F46C3">
            <w:pPr>
              <w:pStyle w:val="Default"/>
              <w:numPr>
                <w:ilvl w:val="0"/>
                <w:numId w:val="97"/>
              </w:numPr>
              <w:rPr>
                <w:sz w:val="22"/>
                <w:szCs w:val="22"/>
              </w:rPr>
            </w:pPr>
            <w:r w:rsidRPr="00CA0AE3">
              <w:rPr>
                <w:sz w:val="22"/>
                <w:szCs w:val="22"/>
              </w:rPr>
              <w:t>Offer health promotion activities, such as behavioral activation strategies for healthy eating, exercise, weight management.</w:t>
            </w:r>
          </w:p>
          <w:p w:rsidR="005F46C3" w:rsidRPr="00CA0AE3" w:rsidRDefault="005F46C3" w:rsidP="005F46C3">
            <w:pPr>
              <w:pStyle w:val="Default"/>
              <w:numPr>
                <w:ilvl w:val="0"/>
                <w:numId w:val="97"/>
              </w:numPr>
              <w:rPr>
                <w:sz w:val="22"/>
                <w:szCs w:val="22"/>
              </w:rPr>
            </w:pPr>
            <w:r w:rsidRPr="00CA0AE3">
              <w:rPr>
                <w:sz w:val="22"/>
                <w:szCs w:val="22"/>
              </w:rPr>
              <w:t>Develop processes to screen for social service needs and develop follow-up plan.</w:t>
            </w:r>
          </w:p>
          <w:p w:rsidR="005F46C3" w:rsidRPr="00CA0AE3" w:rsidRDefault="005F46C3" w:rsidP="005F46C3">
            <w:pPr>
              <w:pStyle w:val="Default"/>
              <w:numPr>
                <w:ilvl w:val="0"/>
                <w:numId w:val="97"/>
              </w:numPr>
              <w:rPr>
                <w:sz w:val="22"/>
                <w:szCs w:val="22"/>
              </w:rPr>
            </w:pPr>
            <w:r w:rsidRPr="00CA0AE3">
              <w:rPr>
                <w:sz w:val="22"/>
                <w:szCs w:val="22"/>
              </w:rPr>
              <w:t>Perform screening, brief intervention, and referral to treatment for tobacco cessation.</w:t>
            </w:r>
          </w:p>
          <w:p w:rsidR="005F46C3" w:rsidRPr="00CA0AE3" w:rsidRDefault="005F46C3" w:rsidP="005F46C3">
            <w:pPr>
              <w:pStyle w:val="Default"/>
              <w:numPr>
                <w:ilvl w:val="0"/>
                <w:numId w:val="97"/>
              </w:numPr>
              <w:rPr>
                <w:sz w:val="22"/>
                <w:szCs w:val="22"/>
              </w:rPr>
            </w:pPr>
            <w:r w:rsidRPr="00CA0AE3">
              <w:rPr>
                <w:sz w:val="22"/>
                <w:szCs w:val="22"/>
              </w:rPr>
              <w:t>Reliable medication management and reconciliation across multiple providers.</w:t>
            </w:r>
          </w:p>
          <w:p w:rsidR="005F46C3" w:rsidRPr="00CA0AE3" w:rsidRDefault="005F46C3" w:rsidP="005F46C3">
            <w:pPr>
              <w:pStyle w:val="Default"/>
              <w:numPr>
                <w:ilvl w:val="0"/>
                <w:numId w:val="97"/>
              </w:numPr>
              <w:rPr>
                <w:sz w:val="22"/>
                <w:szCs w:val="22"/>
              </w:rPr>
            </w:pPr>
            <w:r w:rsidRPr="00CA0AE3">
              <w:rPr>
                <w:sz w:val="22"/>
                <w:szCs w:val="22"/>
              </w:rPr>
              <w:t xml:space="preserve">Evaluation and screening for use of </w:t>
            </w:r>
            <w:r w:rsidRPr="00CA0AE3">
              <w:rPr>
                <w:bCs/>
                <w:sz w:val="22"/>
                <w:szCs w:val="22"/>
              </w:rPr>
              <w:t xml:space="preserve">long-acting antipsychotics </w:t>
            </w:r>
            <w:r w:rsidRPr="00CA0AE3">
              <w:rPr>
                <w:sz w:val="22"/>
                <w:szCs w:val="22"/>
              </w:rPr>
              <w:t>for people for serious mental illness.</w:t>
            </w:r>
          </w:p>
          <w:p w:rsidR="005F46C3" w:rsidRPr="00CA0AE3" w:rsidRDefault="005F46C3" w:rsidP="005F46C3">
            <w:pPr>
              <w:pStyle w:val="Default"/>
              <w:numPr>
                <w:ilvl w:val="0"/>
                <w:numId w:val="97"/>
              </w:numPr>
              <w:rPr>
                <w:sz w:val="22"/>
                <w:szCs w:val="22"/>
              </w:rPr>
            </w:pPr>
            <w:r w:rsidRPr="00CA0AE3">
              <w:rPr>
                <w:sz w:val="22"/>
                <w:szCs w:val="22"/>
              </w:rPr>
              <w:t>Screen patients hospitalized on inpatient psychiatry units for unhealthy alcohol use, and initiate treatment if indicated by providing brief intervention during the patient’s hospitalization.</w:t>
            </w:r>
          </w:p>
          <w:p w:rsidR="005F46C3" w:rsidRPr="00CA0AE3" w:rsidRDefault="005F46C3" w:rsidP="005F46C3">
            <w:pPr>
              <w:pStyle w:val="Default"/>
              <w:numPr>
                <w:ilvl w:val="0"/>
                <w:numId w:val="97"/>
              </w:numPr>
              <w:rPr>
                <w:sz w:val="22"/>
                <w:szCs w:val="22"/>
              </w:rPr>
            </w:pPr>
            <w:r w:rsidRPr="00CA0AE3">
              <w:rPr>
                <w:sz w:val="22"/>
                <w:szCs w:val="22"/>
              </w:rPr>
              <w:t>Improve screening for medical conditions for patients on inpatient psychiatry units, with special attention to metabolic disorders and other medical conditions that may result from use of psychiatric medications.</w:t>
            </w:r>
          </w:p>
          <w:p w:rsidR="005F46C3" w:rsidRPr="00CA0AE3" w:rsidRDefault="005F46C3" w:rsidP="005F46C3">
            <w:pPr>
              <w:pStyle w:val="Default"/>
              <w:ind w:left="576"/>
              <w:rPr>
                <w:sz w:val="22"/>
                <w:szCs w:val="22"/>
              </w:rPr>
            </w:pPr>
          </w:p>
          <w:p w:rsidR="005F46C3" w:rsidRPr="00CA0AE3" w:rsidRDefault="005F46C3" w:rsidP="005F46C3">
            <w:pPr>
              <w:pStyle w:val="Default"/>
              <w:rPr>
                <w:sz w:val="22"/>
                <w:szCs w:val="22"/>
              </w:rPr>
            </w:pPr>
            <w:r w:rsidRPr="00CA0AE3">
              <w:rPr>
                <w:b/>
                <w:sz w:val="22"/>
                <w:szCs w:val="22"/>
              </w:rPr>
              <w:t>Promote timely access to ambulatory MHSU treatment through greater variety and efficiency of services</w:t>
            </w:r>
          </w:p>
          <w:p w:rsidR="005F46C3" w:rsidRPr="00CA0AE3" w:rsidRDefault="005F46C3" w:rsidP="005F46C3">
            <w:pPr>
              <w:pStyle w:val="Default"/>
              <w:numPr>
                <w:ilvl w:val="0"/>
                <w:numId w:val="95"/>
              </w:numPr>
              <w:rPr>
                <w:sz w:val="22"/>
                <w:szCs w:val="22"/>
              </w:rPr>
            </w:pPr>
            <w:r w:rsidRPr="00CA0AE3">
              <w:rPr>
                <w:sz w:val="22"/>
                <w:szCs w:val="22"/>
              </w:rPr>
              <w:t>Distribute ambulatory MHSU services across service area based on panel size and local needs.</w:t>
            </w:r>
          </w:p>
          <w:p w:rsidR="005F46C3" w:rsidRPr="00CA0AE3" w:rsidRDefault="005F46C3" w:rsidP="005F46C3">
            <w:pPr>
              <w:pStyle w:val="Default"/>
              <w:numPr>
                <w:ilvl w:val="0"/>
                <w:numId w:val="95"/>
              </w:numPr>
              <w:rPr>
                <w:sz w:val="22"/>
                <w:szCs w:val="22"/>
              </w:rPr>
            </w:pPr>
            <w:r w:rsidRPr="00CA0AE3">
              <w:rPr>
                <w:sz w:val="22"/>
                <w:szCs w:val="22"/>
              </w:rPr>
              <w:t>Expand capacity for more evidence-based group treatment modalities, such as Problem Solving Therapy, Cognitive Behavioral Therapy, Internal Family Systems Therapy, neurobiofeedback, etc.</w:t>
            </w:r>
          </w:p>
          <w:p w:rsidR="005F46C3" w:rsidRPr="00CA0AE3" w:rsidRDefault="005F46C3" w:rsidP="005F46C3">
            <w:pPr>
              <w:pStyle w:val="Default"/>
              <w:numPr>
                <w:ilvl w:val="0"/>
                <w:numId w:val="95"/>
              </w:numPr>
              <w:rPr>
                <w:sz w:val="22"/>
                <w:szCs w:val="22"/>
              </w:rPr>
            </w:pPr>
            <w:r w:rsidRPr="00CA0AE3">
              <w:rPr>
                <w:sz w:val="22"/>
                <w:szCs w:val="22"/>
              </w:rPr>
              <w:t>Increase capacity for Medication-Assisted Treatment (MAT) for opioid use disorder among primary care and specialty BH providers, and improve access to MAT for patients with opioid use disorder.</w:t>
            </w:r>
          </w:p>
          <w:p w:rsidR="005F46C3" w:rsidRPr="00CA0AE3" w:rsidRDefault="005F46C3" w:rsidP="005F46C3">
            <w:pPr>
              <w:pStyle w:val="Default"/>
              <w:numPr>
                <w:ilvl w:val="0"/>
                <w:numId w:val="95"/>
              </w:numPr>
              <w:rPr>
                <w:sz w:val="22"/>
                <w:szCs w:val="22"/>
              </w:rPr>
            </w:pPr>
            <w:r w:rsidRPr="00CA0AE3">
              <w:rPr>
                <w:bCs/>
                <w:sz w:val="22"/>
                <w:szCs w:val="22"/>
              </w:rPr>
              <w:t xml:space="preserve">Partner </w:t>
            </w:r>
            <w:r w:rsidRPr="00CA0AE3">
              <w:rPr>
                <w:sz w:val="22"/>
                <w:szCs w:val="22"/>
              </w:rPr>
              <w:t xml:space="preserve">(informally or contractually) </w:t>
            </w:r>
            <w:r w:rsidRPr="00CA0AE3">
              <w:rPr>
                <w:bCs/>
                <w:sz w:val="22"/>
                <w:szCs w:val="22"/>
              </w:rPr>
              <w:t>with community-based providers</w:t>
            </w:r>
            <w:r w:rsidRPr="00CA0AE3">
              <w:rPr>
                <w:sz w:val="22"/>
                <w:szCs w:val="22"/>
              </w:rPr>
              <w:t xml:space="preserve"> of</w:t>
            </w:r>
            <w:r w:rsidRPr="00CA0AE3">
              <w:rPr>
                <w:bCs/>
                <w:sz w:val="22"/>
                <w:szCs w:val="22"/>
              </w:rPr>
              <w:t xml:space="preserve"> </w:t>
            </w:r>
            <w:r w:rsidRPr="00CA0AE3">
              <w:rPr>
                <w:sz w:val="22"/>
                <w:szCs w:val="22"/>
              </w:rPr>
              <w:t>social and health services to reliably link patients to local supports.</w:t>
            </w:r>
          </w:p>
          <w:p w:rsidR="005F46C3" w:rsidRPr="00CA0AE3" w:rsidRDefault="005F46C3" w:rsidP="005F46C3">
            <w:pPr>
              <w:pStyle w:val="Default"/>
              <w:numPr>
                <w:ilvl w:val="0"/>
                <w:numId w:val="95"/>
              </w:numPr>
              <w:rPr>
                <w:sz w:val="22"/>
                <w:szCs w:val="22"/>
              </w:rPr>
            </w:pPr>
            <w:r w:rsidRPr="00CA0AE3">
              <w:rPr>
                <w:bCs/>
                <w:sz w:val="22"/>
                <w:szCs w:val="22"/>
              </w:rPr>
              <w:t>Greater adoption of tele-medicine technology for specialty mental health and addiction care</w:t>
            </w:r>
            <w:r w:rsidRPr="00CA0AE3">
              <w:rPr>
                <w:sz w:val="22"/>
                <w:szCs w:val="22"/>
              </w:rPr>
              <w:t xml:space="preserve"> in order to provide ready access to psychiatric consultation for medical service providers,</w:t>
            </w:r>
            <w:r w:rsidRPr="00CA0AE3">
              <w:rPr>
                <w:b/>
                <w:sz w:val="22"/>
                <w:szCs w:val="22"/>
              </w:rPr>
              <w:t xml:space="preserve"> </w:t>
            </w:r>
            <w:r w:rsidRPr="00CA0AE3">
              <w:rPr>
                <w:sz w:val="22"/>
                <w:szCs w:val="22"/>
              </w:rPr>
              <w:t>other community-based providers, and/or direct consultation with patients.</w:t>
            </w:r>
          </w:p>
          <w:p w:rsidR="005F46C3" w:rsidRPr="00CA0AE3" w:rsidRDefault="005F46C3" w:rsidP="005F46C3">
            <w:pPr>
              <w:pStyle w:val="Default"/>
              <w:numPr>
                <w:ilvl w:val="0"/>
                <w:numId w:val="95"/>
              </w:numPr>
              <w:rPr>
                <w:sz w:val="22"/>
                <w:szCs w:val="22"/>
              </w:rPr>
            </w:pPr>
            <w:r w:rsidRPr="00CA0AE3">
              <w:rPr>
                <w:sz w:val="22"/>
                <w:szCs w:val="22"/>
              </w:rPr>
              <w:t>Enhance administrative systems to increase provider productivity by reducing unused appointments.</w:t>
            </w:r>
          </w:p>
          <w:p w:rsidR="005F46C3" w:rsidRPr="00CA0AE3" w:rsidRDefault="005F46C3" w:rsidP="005F46C3">
            <w:pPr>
              <w:pStyle w:val="Default"/>
              <w:numPr>
                <w:ilvl w:val="0"/>
                <w:numId w:val="95"/>
              </w:numPr>
              <w:rPr>
                <w:sz w:val="22"/>
                <w:szCs w:val="22"/>
              </w:rPr>
            </w:pPr>
            <w:r w:rsidRPr="00CA0AE3">
              <w:rPr>
                <w:sz w:val="22"/>
                <w:szCs w:val="22"/>
              </w:rPr>
              <w:t>Expand resources for case management and service coordination so all providers can work to the top of their license.</w:t>
            </w:r>
          </w:p>
          <w:p w:rsidR="005F46C3" w:rsidRPr="00CA0AE3" w:rsidRDefault="005F46C3" w:rsidP="005F46C3">
            <w:pPr>
              <w:pStyle w:val="Default"/>
              <w:numPr>
                <w:ilvl w:val="0"/>
                <w:numId w:val="95"/>
              </w:numPr>
              <w:rPr>
                <w:sz w:val="22"/>
                <w:szCs w:val="22"/>
              </w:rPr>
            </w:pPr>
            <w:r w:rsidRPr="00CA0AE3">
              <w:rPr>
                <w:sz w:val="22"/>
                <w:szCs w:val="22"/>
              </w:rPr>
              <w:t>Integrate paraprofessional service providers and peer specialists/recovery coaches into existing clinical teams.</w:t>
            </w:r>
          </w:p>
          <w:p w:rsidR="005F46C3" w:rsidRPr="00CA0AE3" w:rsidRDefault="005F46C3" w:rsidP="005F46C3">
            <w:pPr>
              <w:pStyle w:val="Default"/>
              <w:ind w:left="576"/>
              <w:rPr>
                <w:sz w:val="22"/>
                <w:szCs w:val="22"/>
              </w:rPr>
            </w:pPr>
          </w:p>
          <w:p w:rsidR="005F46C3" w:rsidRPr="00CA0AE3" w:rsidRDefault="005F46C3" w:rsidP="005F46C3">
            <w:pPr>
              <w:pStyle w:val="Default"/>
              <w:rPr>
                <w:b/>
                <w:sz w:val="22"/>
                <w:szCs w:val="22"/>
              </w:rPr>
            </w:pPr>
            <w:r w:rsidRPr="00CA0AE3">
              <w:rPr>
                <w:b/>
                <w:sz w:val="22"/>
                <w:szCs w:val="22"/>
              </w:rPr>
              <w:t>Fill service gaps with greater variety and volume of intermediate and ambulatory MHSU care options</w:t>
            </w:r>
          </w:p>
          <w:p w:rsidR="005F46C3" w:rsidRPr="00CA0AE3" w:rsidRDefault="005F46C3" w:rsidP="005F46C3">
            <w:pPr>
              <w:pStyle w:val="Default"/>
              <w:numPr>
                <w:ilvl w:val="0"/>
                <w:numId w:val="93"/>
              </w:numPr>
              <w:rPr>
                <w:sz w:val="22"/>
                <w:szCs w:val="22"/>
              </w:rPr>
            </w:pPr>
            <w:r w:rsidRPr="00CA0AE3">
              <w:rPr>
                <w:sz w:val="22"/>
                <w:szCs w:val="22"/>
              </w:rPr>
              <w:t>Increase access and decrease wait times for patients in need of ambulatory services through development of assessment service.</w:t>
            </w:r>
          </w:p>
          <w:p w:rsidR="005F46C3" w:rsidRPr="00CA0AE3" w:rsidRDefault="005F46C3" w:rsidP="005F46C3">
            <w:pPr>
              <w:pStyle w:val="Default"/>
              <w:numPr>
                <w:ilvl w:val="0"/>
                <w:numId w:val="93"/>
              </w:numPr>
              <w:rPr>
                <w:sz w:val="22"/>
                <w:szCs w:val="22"/>
              </w:rPr>
            </w:pPr>
            <w:r w:rsidRPr="00CA0AE3">
              <w:rPr>
                <w:bCs/>
                <w:sz w:val="22"/>
                <w:szCs w:val="22"/>
              </w:rPr>
              <w:t>Improve access to Partial Hospital Programs (PHP) and Intensive Outpatient Programs (IOP) as part of the continuum to provide appropriate treatment and decrease utilization of high intensity inpatient care.</w:t>
            </w:r>
          </w:p>
          <w:p w:rsidR="005F46C3" w:rsidRPr="00CA0AE3" w:rsidRDefault="005F46C3" w:rsidP="005F46C3">
            <w:pPr>
              <w:pStyle w:val="Default"/>
              <w:numPr>
                <w:ilvl w:val="0"/>
                <w:numId w:val="93"/>
              </w:numPr>
              <w:rPr>
                <w:sz w:val="22"/>
                <w:szCs w:val="22"/>
              </w:rPr>
            </w:pPr>
            <w:r w:rsidRPr="00CA0AE3">
              <w:rPr>
                <w:sz w:val="22"/>
                <w:szCs w:val="22"/>
              </w:rPr>
              <w:lastRenderedPageBreak/>
              <w:t>Provide greater access to more immediate outpatient care through a transition or bridge service that serves as a holding place for patients transitioning through different levels of care, and/or patients who have a longer wait for an appointment with an outpatient provider.</w:t>
            </w:r>
          </w:p>
          <w:p w:rsidR="005F46C3" w:rsidRPr="00CA0AE3" w:rsidRDefault="005F46C3" w:rsidP="005F46C3">
            <w:pPr>
              <w:pStyle w:val="Default"/>
              <w:numPr>
                <w:ilvl w:val="0"/>
                <w:numId w:val="93"/>
              </w:numPr>
              <w:rPr>
                <w:sz w:val="22"/>
                <w:szCs w:val="22"/>
              </w:rPr>
            </w:pPr>
            <w:r w:rsidRPr="00CA0AE3">
              <w:rPr>
                <w:bCs/>
                <w:sz w:val="22"/>
                <w:szCs w:val="22"/>
              </w:rPr>
              <w:t>Explore ways to expand the continuum of care for substance use, which may include adding new capacity for inpatient detoxification and residential services through partnerships.</w:t>
            </w:r>
          </w:p>
          <w:p w:rsidR="005F46C3" w:rsidRPr="00CA0AE3" w:rsidRDefault="005F46C3" w:rsidP="005F46C3">
            <w:pPr>
              <w:pStyle w:val="Default"/>
              <w:numPr>
                <w:ilvl w:val="0"/>
                <w:numId w:val="93"/>
              </w:numPr>
              <w:rPr>
                <w:sz w:val="22"/>
                <w:szCs w:val="22"/>
              </w:rPr>
            </w:pPr>
            <w:r w:rsidRPr="00CA0AE3">
              <w:rPr>
                <w:bCs/>
                <w:sz w:val="22"/>
                <w:szCs w:val="22"/>
              </w:rPr>
              <w:t>Expand MHSU services in geographic areas with limited capacity.</w:t>
            </w:r>
          </w:p>
          <w:p w:rsidR="005F46C3" w:rsidRPr="00CA0AE3" w:rsidRDefault="005F46C3" w:rsidP="005F46C3">
            <w:pPr>
              <w:pStyle w:val="Default"/>
              <w:numPr>
                <w:ilvl w:val="0"/>
                <w:numId w:val="93"/>
              </w:numPr>
              <w:rPr>
                <w:sz w:val="22"/>
                <w:szCs w:val="22"/>
              </w:rPr>
            </w:pPr>
            <w:r w:rsidRPr="00CA0AE3">
              <w:rPr>
                <w:bCs/>
                <w:sz w:val="22"/>
                <w:szCs w:val="22"/>
              </w:rPr>
              <w:t>Improve access to timely post-discharge follow-up appointments for patients discharged from inpatient psychiatry via direct access to transition service, PHP and IOP.</w:t>
            </w:r>
          </w:p>
          <w:p w:rsidR="005F46C3" w:rsidRPr="00CA0AE3" w:rsidRDefault="005F46C3" w:rsidP="005F46C3">
            <w:pPr>
              <w:pStyle w:val="Default"/>
              <w:ind w:left="576"/>
              <w:rPr>
                <w:sz w:val="22"/>
                <w:szCs w:val="22"/>
              </w:rPr>
            </w:pPr>
          </w:p>
          <w:p w:rsidR="005F46C3" w:rsidRPr="00CA0AE3" w:rsidRDefault="005F46C3" w:rsidP="005F46C3">
            <w:pPr>
              <w:pStyle w:val="Default"/>
              <w:rPr>
                <w:b/>
                <w:sz w:val="22"/>
                <w:szCs w:val="22"/>
              </w:rPr>
            </w:pPr>
            <w:r w:rsidRPr="00CA0AE3">
              <w:rPr>
                <w:b/>
                <w:sz w:val="22"/>
                <w:szCs w:val="22"/>
              </w:rPr>
              <w:t>Comprehensive coordination and management of care for populations</w:t>
            </w:r>
          </w:p>
          <w:p w:rsidR="005F46C3" w:rsidRPr="00CA0AE3" w:rsidRDefault="005F46C3" w:rsidP="005F46C3">
            <w:pPr>
              <w:pStyle w:val="Default"/>
              <w:numPr>
                <w:ilvl w:val="0"/>
                <w:numId w:val="91"/>
              </w:numPr>
              <w:rPr>
                <w:sz w:val="22"/>
                <w:szCs w:val="22"/>
              </w:rPr>
            </w:pPr>
            <w:r w:rsidRPr="00CA0AE3">
              <w:rPr>
                <w:sz w:val="22"/>
                <w:szCs w:val="22"/>
              </w:rPr>
              <w:t>Use risk stratification approaches to identify high-risk cases and/or frequent service users.</w:t>
            </w:r>
          </w:p>
          <w:p w:rsidR="005F46C3" w:rsidRPr="00CA0AE3" w:rsidRDefault="005F46C3" w:rsidP="005F46C3">
            <w:pPr>
              <w:pStyle w:val="Default"/>
              <w:numPr>
                <w:ilvl w:val="0"/>
                <w:numId w:val="91"/>
              </w:numPr>
              <w:rPr>
                <w:sz w:val="22"/>
                <w:szCs w:val="22"/>
              </w:rPr>
            </w:pPr>
            <w:r w:rsidRPr="00CA0AE3">
              <w:rPr>
                <w:sz w:val="22"/>
                <w:szCs w:val="22"/>
              </w:rPr>
              <w:t>Provide access to intensive case management for individuals identified as having greater risk/cost, such as patients with SMI who are high utilizers of acute care and ED services.</w:t>
            </w:r>
          </w:p>
          <w:p w:rsidR="005F46C3" w:rsidRPr="00CA0AE3" w:rsidRDefault="005F46C3" w:rsidP="005F46C3">
            <w:pPr>
              <w:pStyle w:val="Default"/>
              <w:numPr>
                <w:ilvl w:val="0"/>
                <w:numId w:val="91"/>
              </w:numPr>
              <w:rPr>
                <w:sz w:val="22"/>
                <w:szCs w:val="22"/>
              </w:rPr>
            </w:pPr>
            <w:r w:rsidRPr="00CA0AE3">
              <w:rPr>
                <w:sz w:val="22"/>
                <w:szCs w:val="22"/>
              </w:rPr>
              <w:t>Develop centralized preventative management capabilities for patients with opioid use disorder, which may include electronic registry functionality to facilitate management and coordination of care.</w:t>
            </w:r>
          </w:p>
          <w:p w:rsidR="005F46C3" w:rsidRPr="00CA0AE3" w:rsidRDefault="005F46C3" w:rsidP="005F46C3">
            <w:pPr>
              <w:pStyle w:val="Default"/>
              <w:numPr>
                <w:ilvl w:val="0"/>
                <w:numId w:val="91"/>
              </w:numPr>
              <w:rPr>
                <w:sz w:val="22"/>
                <w:szCs w:val="22"/>
              </w:rPr>
            </w:pPr>
            <w:r w:rsidRPr="00CA0AE3">
              <w:rPr>
                <w:sz w:val="22"/>
                <w:szCs w:val="22"/>
              </w:rPr>
              <w:t>Enhance patient outreach, either through the use of paraprofessionals or through partnership with community-based providers.</w:t>
            </w:r>
          </w:p>
          <w:p w:rsidR="005F46C3" w:rsidRPr="00CA0AE3" w:rsidRDefault="005F46C3" w:rsidP="005F46C3">
            <w:pPr>
              <w:pStyle w:val="Default"/>
              <w:numPr>
                <w:ilvl w:val="0"/>
                <w:numId w:val="91"/>
              </w:numPr>
              <w:rPr>
                <w:sz w:val="22"/>
                <w:szCs w:val="22"/>
              </w:rPr>
            </w:pPr>
            <w:r w:rsidRPr="00CA0AE3">
              <w:rPr>
                <w:sz w:val="22"/>
                <w:szCs w:val="22"/>
              </w:rPr>
              <w:t>Promote use of a central, integrated care plan in EMR shared by primary care and specialty providers.</w:t>
            </w:r>
          </w:p>
          <w:p w:rsidR="005F46C3" w:rsidRPr="00CA0AE3" w:rsidRDefault="005F46C3" w:rsidP="005F46C3">
            <w:pPr>
              <w:pStyle w:val="Default"/>
              <w:numPr>
                <w:ilvl w:val="0"/>
                <w:numId w:val="91"/>
              </w:numPr>
              <w:rPr>
                <w:sz w:val="22"/>
                <w:szCs w:val="22"/>
              </w:rPr>
            </w:pPr>
            <w:r w:rsidRPr="00CA0AE3">
              <w:rPr>
                <w:sz w:val="22"/>
                <w:szCs w:val="22"/>
              </w:rPr>
              <w:t>Implement an integrated approach to coordinate both the primary care and behavioral health needs for patient populations with SMI and SUD.</w:t>
            </w:r>
          </w:p>
          <w:p w:rsidR="005F46C3" w:rsidRPr="00CA0AE3" w:rsidRDefault="005F46C3" w:rsidP="005F46C3">
            <w:pPr>
              <w:pStyle w:val="Default"/>
              <w:numPr>
                <w:ilvl w:val="0"/>
                <w:numId w:val="91"/>
              </w:numPr>
              <w:rPr>
                <w:sz w:val="22"/>
                <w:szCs w:val="22"/>
              </w:rPr>
            </w:pPr>
            <w:r w:rsidRPr="00CA0AE3">
              <w:rPr>
                <w:sz w:val="22"/>
                <w:szCs w:val="22"/>
              </w:rPr>
              <w:t>Develop systems for providing comprehensive transitional care.</w:t>
            </w:r>
          </w:p>
          <w:p w:rsidR="005F46C3" w:rsidRPr="00CA0AE3" w:rsidRDefault="005F46C3" w:rsidP="005F46C3">
            <w:pPr>
              <w:pStyle w:val="Default"/>
              <w:numPr>
                <w:ilvl w:val="0"/>
                <w:numId w:val="91"/>
              </w:numPr>
              <w:rPr>
                <w:sz w:val="22"/>
                <w:szCs w:val="22"/>
              </w:rPr>
            </w:pPr>
            <w:r w:rsidRPr="00CA0AE3">
              <w:rPr>
                <w:sz w:val="22"/>
                <w:szCs w:val="22"/>
              </w:rPr>
              <w:t>Proactively monitor the quality of care and outcomes experienced by MHSU patients.</w:t>
            </w:r>
          </w:p>
          <w:p w:rsidR="005F46C3" w:rsidRPr="00CA0AE3" w:rsidRDefault="005F46C3" w:rsidP="005F46C3">
            <w:pPr>
              <w:pStyle w:val="Default"/>
              <w:numPr>
                <w:ilvl w:val="0"/>
                <w:numId w:val="91"/>
              </w:numPr>
              <w:rPr>
                <w:rFonts w:eastAsiaTheme="majorEastAsia"/>
                <w:b/>
                <w:bCs/>
                <w:sz w:val="22"/>
                <w:szCs w:val="22"/>
              </w:rPr>
            </w:pPr>
            <w:r w:rsidRPr="00CA0AE3">
              <w:rPr>
                <w:sz w:val="22"/>
                <w:szCs w:val="22"/>
              </w:rPr>
              <w:t>Develop systems to facilitate transitions of care for patients discharged from inpatient psychiatry units through the development of a transition record with clinically important information that is given to the patient upon discharge.</w:t>
            </w:r>
          </w:p>
          <w:p w:rsidR="005F46C3" w:rsidRPr="00CA0AE3" w:rsidRDefault="005F46C3" w:rsidP="005F46C3">
            <w:pPr>
              <w:pStyle w:val="Default"/>
              <w:ind w:left="576"/>
              <w:rPr>
                <w:sz w:val="22"/>
                <w:szCs w:val="22"/>
              </w:rPr>
            </w:pPr>
          </w:p>
          <w:p w:rsidR="005F46C3" w:rsidRPr="00CA0AE3" w:rsidRDefault="005F46C3" w:rsidP="005F46C3">
            <w:pPr>
              <w:pStyle w:val="Default"/>
              <w:rPr>
                <w:b/>
                <w:sz w:val="22"/>
                <w:szCs w:val="22"/>
              </w:rPr>
            </w:pPr>
            <w:r w:rsidRPr="00CA0AE3">
              <w:rPr>
                <w:b/>
                <w:sz w:val="22"/>
                <w:szCs w:val="22"/>
              </w:rPr>
              <w:t>Develop new EMR functionality and IT tools that enable coordinated management of population health</w:t>
            </w:r>
          </w:p>
          <w:p w:rsidR="005F46C3" w:rsidRPr="00CA0AE3" w:rsidRDefault="005F46C3" w:rsidP="005F46C3">
            <w:pPr>
              <w:pStyle w:val="Default"/>
              <w:numPr>
                <w:ilvl w:val="0"/>
                <w:numId w:val="89"/>
              </w:numPr>
              <w:rPr>
                <w:sz w:val="22"/>
                <w:szCs w:val="22"/>
              </w:rPr>
            </w:pPr>
            <w:r w:rsidRPr="00CA0AE3">
              <w:rPr>
                <w:sz w:val="22"/>
                <w:szCs w:val="22"/>
              </w:rPr>
              <w:t xml:space="preserve">Create patient registries in the electronic medical record (EMR) for discrete MHSU subpopulations to support delivery of best practice. </w:t>
            </w:r>
          </w:p>
          <w:p w:rsidR="005F46C3" w:rsidRPr="00CA0AE3" w:rsidRDefault="005F46C3" w:rsidP="005F46C3">
            <w:pPr>
              <w:pStyle w:val="Default"/>
              <w:numPr>
                <w:ilvl w:val="0"/>
                <w:numId w:val="89"/>
              </w:numPr>
              <w:rPr>
                <w:sz w:val="22"/>
                <w:szCs w:val="22"/>
              </w:rPr>
            </w:pPr>
            <w:r w:rsidRPr="00CA0AE3">
              <w:rPr>
                <w:sz w:val="22"/>
                <w:szCs w:val="22"/>
              </w:rPr>
              <w:t>Implement real-time electronic alerts for acute care admissions, discharges, or transfers.</w:t>
            </w:r>
          </w:p>
          <w:p w:rsidR="005F46C3" w:rsidRPr="00CA0AE3" w:rsidRDefault="005F46C3" w:rsidP="005F46C3">
            <w:pPr>
              <w:pStyle w:val="Default"/>
              <w:numPr>
                <w:ilvl w:val="0"/>
                <w:numId w:val="89"/>
              </w:numPr>
              <w:rPr>
                <w:sz w:val="22"/>
                <w:szCs w:val="22"/>
              </w:rPr>
            </w:pPr>
            <w:r w:rsidRPr="00CA0AE3">
              <w:rPr>
                <w:sz w:val="22"/>
                <w:szCs w:val="22"/>
              </w:rPr>
              <w:t>Build discharge follow-up reports (for ED and inpatient discharges) within EMR for target sub-populations.</w:t>
            </w:r>
          </w:p>
          <w:p w:rsidR="005F46C3" w:rsidRPr="00CA0AE3" w:rsidRDefault="005F46C3" w:rsidP="005F46C3">
            <w:pPr>
              <w:pStyle w:val="Default"/>
              <w:numPr>
                <w:ilvl w:val="0"/>
                <w:numId w:val="89"/>
              </w:numPr>
              <w:rPr>
                <w:sz w:val="22"/>
                <w:szCs w:val="22"/>
              </w:rPr>
            </w:pPr>
            <w:r w:rsidRPr="00CA0AE3">
              <w:rPr>
                <w:sz w:val="22"/>
                <w:szCs w:val="22"/>
              </w:rPr>
              <w:t xml:space="preserve">Educate and train providers to </w:t>
            </w:r>
            <w:r w:rsidRPr="00CA0AE3">
              <w:rPr>
                <w:bCs/>
                <w:sz w:val="22"/>
                <w:szCs w:val="22"/>
              </w:rPr>
              <w:t>improve adoption of EMR functionality and other IT tools</w:t>
            </w:r>
            <w:r w:rsidRPr="00CA0AE3">
              <w:rPr>
                <w:sz w:val="22"/>
                <w:szCs w:val="22"/>
              </w:rPr>
              <w:t xml:space="preserve"> that support efficient documentation, care coordination, care transitions, and population management.</w:t>
            </w:r>
          </w:p>
          <w:p w:rsidR="005F46C3" w:rsidRPr="00CA0AE3" w:rsidRDefault="005F46C3" w:rsidP="005F46C3">
            <w:pPr>
              <w:pStyle w:val="Default"/>
              <w:ind w:left="576"/>
              <w:rPr>
                <w:sz w:val="22"/>
                <w:szCs w:val="22"/>
              </w:rPr>
            </w:pPr>
          </w:p>
          <w:p w:rsidR="005F46C3" w:rsidRPr="00CA0AE3" w:rsidRDefault="005F46C3" w:rsidP="005F46C3">
            <w:pPr>
              <w:pStyle w:val="Default"/>
              <w:rPr>
                <w:b/>
                <w:sz w:val="22"/>
                <w:szCs w:val="22"/>
              </w:rPr>
            </w:pPr>
            <w:r w:rsidRPr="00CA0AE3">
              <w:rPr>
                <w:b/>
                <w:sz w:val="22"/>
                <w:szCs w:val="22"/>
              </w:rPr>
              <w:t>Promote greater patient engagement and self-management of their health needs</w:t>
            </w:r>
          </w:p>
          <w:p w:rsidR="005F46C3" w:rsidRPr="00CA0AE3" w:rsidRDefault="005F46C3" w:rsidP="005F46C3">
            <w:pPr>
              <w:pStyle w:val="Default"/>
              <w:numPr>
                <w:ilvl w:val="0"/>
                <w:numId w:val="87"/>
              </w:numPr>
              <w:adjustRightInd/>
              <w:rPr>
                <w:sz w:val="22"/>
                <w:szCs w:val="22"/>
              </w:rPr>
            </w:pPr>
            <w:r w:rsidRPr="00CA0AE3">
              <w:rPr>
                <w:sz w:val="22"/>
                <w:szCs w:val="22"/>
              </w:rPr>
              <w:t>Support patients in developing skills to effectively collaborate in care planning with their providers.</w:t>
            </w:r>
          </w:p>
          <w:p w:rsidR="005F46C3" w:rsidRPr="00CA0AE3" w:rsidRDefault="005F46C3" w:rsidP="005F46C3">
            <w:pPr>
              <w:pStyle w:val="Default"/>
              <w:numPr>
                <w:ilvl w:val="0"/>
                <w:numId w:val="87"/>
              </w:numPr>
              <w:adjustRightInd/>
              <w:rPr>
                <w:sz w:val="22"/>
                <w:szCs w:val="22"/>
              </w:rPr>
            </w:pPr>
            <w:r w:rsidRPr="00CA0AE3">
              <w:rPr>
                <w:sz w:val="22"/>
                <w:szCs w:val="22"/>
              </w:rPr>
              <w:t>Foster integrated approaches to chronic illness care.</w:t>
            </w:r>
          </w:p>
          <w:p w:rsidR="005F46C3" w:rsidRPr="00CA0AE3" w:rsidRDefault="005F46C3" w:rsidP="005F46C3">
            <w:pPr>
              <w:pStyle w:val="Default"/>
              <w:numPr>
                <w:ilvl w:val="0"/>
                <w:numId w:val="87"/>
              </w:numPr>
              <w:adjustRightInd/>
              <w:rPr>
                <w:sz w:val="22"/>
                <w:szCs w:val="22"/>
              </w:rPr>
            </w:pPr>
            <w:r w:rsidRPr="00CA0AE3">
              <w:rPr>
                <w:sz w:val="22"/>
                <w:szCs w:val="22"/>
              </w:rPr>
              <w:t>Address self-management challenges posed by behavioral health conditions.</w:t>
            </w:r>
          </w:p>
          <w:p w:rsidR="005F46C3" w:rsidRPr="00CA0AE3" w:rsidRDefault="005F46C3" w:rsidP="005F46C3">
            <w:pPr>
              <w:pStyle w:val="Default"/>
              <w:numPr>
                <w:ilvl w:val="0"/>
                <w:numId w:val="87"/>
              </w:numPr>
              <w:adjustRightInd/>
              <w:rPr>
                <w:sz w:val="22"/>
                <w:szCs w:val="22"/>
              </w:rPr>
            </w:pPr>
            <w:r w:rsidRPr="00CA0AE3">
              <w:rPr>
                <w:sz w:val="22"/>
                <w:szCs w:val="22"/>
              </w:rPr>
              <w:t>Educate patients about wellness recovery, maintenance, and crisis prevention/recovery planning using evidence-based practices.</w:t>
            </w:r>
          </w:p>
          <w:p w:rsidR="005F46C3" w:rsidRPr="00CA0AE3" w:rsidRDefault="005F46C3" w:rsidP="005F46C3">
            <w:pPr>
              <w:pStyle w:val="Default"/>
              <w:numPr>
                <w:ilvl w:val="0"/>
                <w:numId w:val="87"/>
              </w:numPr>
              <w:adjustRightInd/>
              <w:rPr>
                <w:sz w:val="22"/>
                <w:szCs w:val="22"/>
              </w:rPr>
            </w:pPr>
            <w:r w:rsidRPr="00CA0AE3">
              <w:rPr>
                <w:sz w:val="22"/>
                <w:szCs w:val="22"/>
              </w:rPr>
              <w:t>Integrate peer specialists/recovery coaches into discharge planning process and overall care delivery system.</w:t>
            </w:r>
          </w:p>
          <w:p w:rsidR="005F46C3" w:rsidRPr="00CA0AE3" w:rsidRDefault="005F46C3" w:rsidP="005F46C3">
            <w:pPr>
              <w:pStyle w:val="Default"/>
              <w:numPr>
                <w:ilvl w:val="0"/>
                <w:numId w:val="87"/>
              </w:numPr>
              <w:adjustRightInd/>
              <w:rPr>
                <w:sz w:val="22"/>
                <w:szCs w:val="22"/>
              </w:rPr>
            </w:pPr>
            <w:r w:rsidRPr="00CA0AE3">
              <w:rPr>
                <w:sz w:val="22"/>
                <w:szCs w:val="22"/>
              </w:rPr>
              <w:t>Support development of a robust peer recovery community and facilitate the process of connecting patients with MHSU conditions to these services.</w:t>
            </w:r>
          </w:p>
          <w:p w:rsidR="005F46C3" w:rsidRPr="00CA0AE3" w:rsidRDefault="005F46C3" w:rsidP="005F46C3">
            <w:pPr>
              <w:pStyle w:val="Default"/>
              <w:numPr>
                <w:ilvl w:val="0"/>
                <w:numId w:val="87"/>
              </w:numPr>
              <w:adjustRightInd/>
              <w:rPr>
                <w:sz w:val="22"/>
                <w:szCs w:val="22"/>
              </w:rPr>
            </w:pPr>
            <w:r w:rsidRPr="00CA0AE3">
              <w:rPr>
                <w:sz w:val="22"/>
                <w:szCs w:val="22"/>
              </w:rPr>
              <w:t>Develop and implement mechanisms to obtain ongoing patient and/or family satisfaction and feedback.</w:t>
            </w:r>
          </w:p>
          <w:p w:rsidR="005F46C3" w:rsidRPr="00CA0AE3" w:rsidRDefault="005F46C3" w:rsidP="005F46C3">
            <w:pPr>
              <w:pStyle w:val="Default"/>
              <w:numPr>
                <w:ilvl w:val="0"/>
                <w:numId w:val="87"/>
              </w:numPr>
              <w:adjustRightInd/>
              <w:rPr>
                <w:sz w:val="22"/>
                <w:szCs w:val="22"/>
              </w:rPr>
            </w:pPr>
            <w:r w:rsidRPr="00CA0AE3">
              <w:rPr>
                <w:color w:val="auto"/>
                <w:sz w:val="22"/>
                <w:szCs w:val="22"/>
              </w:rPr>
              <w:lastRenderedPageBreak/>
              <w:t>Continue to assess patient, family, community, and provider needs to address ongoing gaps in the MHSU continuum of care.</w:t>
            </w:r>
          </w:p>
          <w:p w:rsidR="005F46C3" w:rsidRPr="00CA0AE3" w:rsidRDefault="005F46C3" w:rsidP="005F46C3">
            <w:pPr>
              <w:pStyle w:val="Default"/>
              <w:numPr>
                <w:ilvl w:val="0"/>
                <w:numId w:val="87"/>
              </w:numPr>
              <w:adjustRightInd/>
              <w:rPr>
                <w:sz w:val="22"/>
                <w:szCs w:val="22"/>
              </w:rPr>
            </w:pPr>
            <w:r w:rsidRPr="00CA0AE3">
              <w:rPr>
                <w:color w:val="auto"/>
                <w:sz w:val="22"/>
                <w:szCs w:val="22"/>
              </w:rPr>
              <w:t>Evaluate ED and readmission utilization to identify candidates for specialized consultation in integrated care planning.</w:t>
            </w:r>
          </w:p>
          <w:p w:rsidR="005F46C3" w:rsidRPr="00CA0AE3" w:rsidRDefault="005F46C3" w:rsidP="005F46C3">
            <w:pPr>
              <w:pStyle w:val="Default"/>
              <w:numPr>
                <w:ilvl w:val="0"/>
                <w:numId w:val="87"/>
              </w:numPr>
              <w:adjustRightInd/>
              <w:rPr>
                <w:sz w:val="22"/>
                <w:szCs w:val="22"/>
                <w:lang w:eastAsia="en-US"/>
              </w:rPr>
            </w:pPr>
            <w:r w:rsidRPr="00CA0AE3">
              <w:rPr>
                <w:color w:val="auto"/>
                <w:sz w:val="22"/>
                <w:szCs w:val="22"/>
              </w:rPr>
              <w:t>Establish relationships with home health and/or other community-based providers to provide home-based education, monitoring, and self-care support for patients with significant barriers to care.</w:t>
            </w:r>
          </w:p>
          <w:p w:rsidR="005F46C3" w:rsidRPr="00CA0AE3" w:rsidRDefault="005F46C3" w:rsidP="005F46C3">
            <w:pPr>
              <w:pStyle w:val="Default"/>
              <w:adjustRightInd/>
              <w:ind w:left="576"/>
              <w:rPr>
                <w:sz w:val="22"/>
                <w:szCs w:val="22"/>
              </w:rPr>
            </w:pPr>
            <w:r w:rsidRPr="00CA0AE3">
              <w:rPr>
                <w:sz w:val="22"/>
                <w:szCs w:val="22"/>
              </w:rPr>
              <w:t xml:space="preserve"> </w:t>
            </w:r>
          </w:p>
          <w:p w:rsidR="005F46C3" w:rsidRPr="00CA0AE3" w:rsidRDefault="005F46C3" w:rsidP="005F46C3">
            <w:pPr>
              <w:spacing w:after="0" w:line="240" w:lineRule="auto"/>
              <w:rPr>
                <w:b/>
                <w:color w:val="000000"/>
              </w:rPr>
            </w:pPr>
            <w:r w:rsidRPr="00CA0AE3">
              <w:rPr>
                <w:b/>
                <w:color w:val="000000"/>
              </w:rPr>
              <w:t>Reliably connect patients and families to necessary health resources and services in community</w:t>
            </w:r>
          </w:p>
          <w:p w:rsidR="005F46C3" w:rsidRPr="00CA0AE3" w:rsidRDefault="005F46C3" w:rsidP="005F46C3">
            <w:pPr>
              <w:pStyle w:val="Default"/>
              <w:numPr>
                <w:ilvl w:val="0"/>
                <w:numId w:val="85"/>
              </w:numPr>
              <w:adjustRightInd/>
              <w:rPr>
                <w:sz w:val="22"/>
                <w:szCs w:val="22"/>
              </w:rPr>
            </w:pPr>
            <w:r w:rsidRPr="00CA0AE3">
              <w:rPr>
                <w:sz w:val="22"/>
                <w:szCs w:val="22"/>
              </w:rPr>
              <w:t>Screen for social determinants of health conditions.</w:t>
            </w:r>
          </w:p>
          <w:p w:rsidR="005F46C3" w:rsidRPr="00CA0AE3" w:rsidRDefault="005F46C3" w:rsidP="005F46C3">
            <w:pPr>
              <w:pStyle w:val="Default"/>
              <w:numPr>
                <w:ilvl w:val="0"/>
                <w:numId w:val="85"/>
              </w:numPr>
              <w:adjustRightInd/>
              <w:rPr>
                <w:sz w:val="22"/>
                <w:szCs w:val="22"/>
              </w:rPr>
            </w:pPr>
            <w:r w:rsidRPr="00CA0AE3">
              <w:rPr>
                <w:sz w:val="22"/>
                <w:szCs w:val="22"/>
              </w:rPr>
              <w:t>Promote strategies for addressing social determinants of health in care planning.</w:t>
            </w:r>
          </w:p>
          <w:p w:rsidR="005F46C3" w:rsidRPr="00CA0AE3" w:rsidRDefault="005F46C3" w:rsidP="005F46C3">
            <w:pPr>
              <w:pStyle w:val="Default"/>
              <w:numPr>
                <w:ilvl w:val="0"/>
                <w:numId w:val="85"/>
              </w:numPr>
              <w:adjustRightInd/>
              <w:rPr>
                <w:sz w:val="22"/>
                <w:szCs w:val="22"/>
              </w:rPr>
            </w:pPr>
            <w:r w:rsidRPr="00CA0AE3">
              <w:rPr>
                <w:sz w:val="22"/>
                <w:szCs w:val="22"/>
              </w:rPr>
              <w:t>Develop collaborative referral relationships with appropriate community-based services.</w:t>
            </w:r>
          </w:p>
          <w:p w:rsidR="005F46C3" w:rsidRPr="00CA0AE3" w:rsidRDefault="005F46C3" w:rsidP="005F46C3">
            <w:pPr>
              <w:pStyle w:val="Default"/>
              <w:numPr>
                <w:ilvl w:val="0"/>
                <w:numId w:val="85"/>
              </w:numPr>
              <w:adjustRightInd/>
              <w:rPr>
                <w:sz w:val="22"/>
                <w:szCs w:val="22"/>
              </w:rPr>
            </w:pPr>
            <w:r w:rsidRPr="00CA0AE3">
              <w:rPr>
                <w:sz w:val="22"/>
                <w:szCs w:val="22"/>
              </w:rPr>
              <w:t>Evaluate progress in addressing social determinants of health in the population served.</w:t>
            </w:r>
          </w:p>
          <w:p w:rsidR="005F46C3" w:rsidRPr="00CA0AE3" w:rsidRDefault="005F46C3" w:rsidP="005F46C3">
            <w:pPr>
              <w:pStyle w:val="Default"/>
              <w:numPr>
                <w:ilvl w:val="0"/>
                <w:numId w:val="85"/>
              </w:numPr>
              <w:adjustRightInd/>
              <w:rPr>
                <w:sz w:val="22"/>
                <w:szCs w:val="22"/>
              </w:rPr>
            </w:pPr>
            <w:r w:rsidRPr="00CA0AE3">
              <w:rPr>
                <w:sz w:val="22"/>
                <w:szCs w:val="22"/>
              </w:rPr>
              <w:t>Collaborate with community-based partners to reduce the impact of social factors on health outcomes.</w:t>
            </w:r>
          </w:p>
          <w:p w:rsidR="005F46C3" w:rsidRPr="00CA0AE3" w:rsidRDefault="005F46C3" w:rsidP="005F46C3">
            <w:pPr>
              <w:pStyle w:val="Default"/>
              <w:numPr>
                <w:ilvl w:val="0"/>
                <w:numId w:val="85"/>
              </w:numPr>
              <w:adjustRightInd/>
              <w:rPr>
                <w:sz w:val="22"/>
                <w:szCs w:val="22"/>
              </w:rPr>
            </w:pPr>
            <w:r w:rsidRPr="00CA0AE3">
              <w:rPr>
                <w:sz w:val="22"/>
                <w:szCs w:val="22"/>
              </w:rPr>
              <w:t xml:space="preserve">Integrate community-based providers into care team meetings and discharge planning for hospitalized patients. </w:t>
            </w:r>
          </w:p>
          <w:p w:rsidR="005F46C3" w:rsidRPr="00CA0AE3" w:rsidRDefault="005F46C3" w:rsidP="005F46C3">
            <w:pPr>
              <w:pStyle w:val="Default"/>
              <w:adjustRightInd/>
              <w:ind w:left="576"/>
              <w:rPr>
                <w:sz w:val="22"/>
                <w:szCs w:val="22"/>
              </w:rPr>
            </w:pPr>
          </w:p>
          <w:p w:rsidR="005F46C3" w:rsidRPr="00CA0AE3" w:rsidRDefault="005F46C3" w:rsidP="005F46C3">
            <w:pPr>
              <w:pStyle w:val="Default"/>
              <w:rPr>
                <w:sz w:val="22"/>
                <w:szCs w:val="22"/>
              </w:rPr>
            </w:pPr>
            <w:r w:rsidRPr="00CA0AE3">
              <w:rPr>
                <w:b/>
                <w:sz w:val="22"/>
                <w:szCs w:val="22"/>
              </w:rPr>
              <w:t>Develop a clinical workforce that successfully integrates medical and behavioral health care</w:t>
            </w:r>
          </w:p>
          <w:p w:rsidR="005F46C3" w:rsidRPr="00CA0AE3" w:rsidRDefault="005F46C3" w:rsidP="005F46C3">
            <w:pPr>
              <w:pStyle w:val="Default"/>
              <w:numPr>
                <w:ilvl w:val="0"/>
                <w:numId w:val="54"/>
              </w:numPr>
              <w:adjustRightInd/>
              <w:ind w:left="288" w:hanging="288"/>
              <w:rPr>
                <w:sz w:val="22"/>
                <w:szCs w:val="22"/>
              </w:rPr>
            </w:pPr>
            <w:r w:rsidRPr="00CA0AE3">
              <w:rPr>
                <w:sz w:val="22"/>
                <w:szCs w:val="22"/>
              </w:rPr>
              <w:t>Provide training and education in strategies that address the unique self-management challenges posed by co-morbid physical and behavioral health conditions.</w:t>
            </w:r>
          </w:p>
          <w:p w:rsidR="005F46C3" w:rsidRPr="00CA0AE3" w:rsidRDefault="005F46C3" w:rsidP="005F46C3">
            <w:pPr>
              <w:pStyle w:val="Default"/>
              <w:numPr>
                <w:ilvl w:val="0"/>
                <w:numId w:val="55"/>
              </w:numPr>
              <w:adjustRightInd/>
              <w:ind w:left="288" w:hanging="288"/>
              <w:rPr>
                <w:sz w:val="22"/>
                <w:szCs w:val="22"/>
              </w:rPr>
            </w:pPr>
            <w:r w:rsidRPr="00CA0AE3">
              <w:rPr>
                <w:sz w:val="22"/>
                <w:szCs w:val="22"/>
              </w:rPr>
              <w:t>Provide team-based consultation designed to improve clinical skills and treatment plans for individuals with such co-morbid conditions.</w:t>
            </w:r>
          </w:p>
          <w:p w:rsidR="005F46C3" w:rsidRPr="00CA0AE3" w:rsidRDefault="005F46C3" w:rsidP="005F46C3">
            <w:pPr>
              <w:pStyle w:val="Default"/>
              <w:numPr>
                <w:ilvl w:val="0"/>
                <w:numId w:val="55"/>
              </w:numPr>
              <w:adjustRightInd/>
              <w:ind w:left="288" w:hanging="288"/>
              <w:rPr>
                <w:sz w:val="22"/>
                <w:szCs w:val="22"/>
              </w:rPr>
            </w:pPr>
            <w:r w:rsidRPr="00CA0AE3">
              <w:rPr>
                <w:sz w:val="22"/>
                <w:szCs w:val="22"/>
              </w:rPr>
              <w:t>Provide education in behavioral medicine for providers across the care delivery system.</w:t>
            </w:r>
          </w:p>
          <w:p w:rsidR="005F46C3" w:rsidRPr="00CA0AE3" w:rsidRDefault="005F46C3" w:rsidP="005F46C3">
            <w:pPr>
              <w:pStyle w:val="Default"/>
              <w:numPr>
                <w:ilvl w:val="0"/>
                <w:numId w:val="55"/>
              </w:numPr>
              <w:adjustRightInd/>
              <w:ind w:left="288" w:hanging="288"/>
              <w:rPr>
                <w:sz w:val="22"/>
                <w:szCs w:val="22"/>
              </w:rPr>
            </w:pPr>
            <w:r w:rsidRPr="00CA0AE3">
              <w:rPr>
                <w:sz w:val="22"/>
                <w:szCs w:val="22"/>
              </w:rPr>
              <w:t>Align competency assessment with goals for improving clinical outcomes for population served.</w:t>
            </w:r>
          </w:p>
          <w:p w:rsidR="005F46C3" w:rsidRPr="00CA0AE3" w:rsidRDefault="005F46C3" w:rsidP="005F46C3">
            <w:pPr>
              <w:pStyle w:val="Default"/>
              <w:numPr>
                <w:ilvl w:val="0"/>
                <w:numId w:val="55"/>
              </w:numPr>
              <w:adjustRightInd/>
              <w:ind w:left="288" w:hanging="288"/>
              <w:rPr>
                <w:sz w:val="22"/>
                <w:szCs w:val="22"/>
              </w:rPr>
            </w:pPr>
            <w:r w:rsidRPr="00CA0AE3">
              <w:rPr>
                <w:sz w:val="22"/>
                <w:szCs w:val="22"/>
              </w:rPr>
              <w:t>Provide training for the next generation of clinicians and providers that incorporates strategies for integrating medical and behavioral health care.</w:t>
            </w:r>
          </w:p>
        </w:tc>
      </w:tr>
    </w:tbl>
    <w:p w:rsidR="005F46C3" w:rsidRPr="00CA0AE3" w:rsidRDefault="005F46C3"/>
    <w:p w:rsidR="00E37119" w:rsidRPr="00CA0AE3" w:rsidRDefault="00E37119" w:rsidP="00E37119">
      <w:pPr>
        <w:pStyle w:val="ListParagraph"/>
        <w:autoSpaceDE w:val="0"/>
        <w:autoSpaceDN w:val="0"/>
        <w:adjustRightInd w:val="0"/>
        <w:spacing w:after="0" w:line="240" w:lineRule="auto"/>
        <w:ind w:left="1080"/>
        <w:jc w:val="both"/>
      </w:pPr>
    </w:p>
    <w:p w:rsidR="00ED4745" w:rsidRPr="00CA0AE3" w:rsidRDefault="00E37119">
      <w:pPr>
        <w:spacing w:after="0" w:line="240" w:lineRule="auto"/>
        <w:sectPr w:rsidR="00ED4745" w:rsidRPr="00CA0AE3" w:rsidSect="00147DA7">
          <w:footerReference w:type="default" r:id="rId15"/>
          <w:pgSz w:w="12240" w:h="15840"/>
          <w:pgMar w:top="1440" w:right="1440" w:bottom="1440" w:left="1440" w:header="720" w:footer="720" w:gutter="0"/>
          <w:cols w:space="720"/>
          <w:docGrid w:linePitch="360"/>
        </w:sectPr>
      </w:pPr>
      <w:r w:rsidRPr="00CA0AE3">
        <w:br w:type="page"/>
      </w:r>
    </w:p>
    <w:tbl>
      <w:tblPr>
        <w:tblW w:w="5000" w:type="pct"/>
        <w:tblLayout w:type="fixed"/>
        <w:tblCellMar>
          <w:left w:w="0" w:type="dxa"/>
          <w:right w:w="0" w:type="dxa"/>
        </w:tblCellMar>
        <w:tblLook w:val="04A0" w:firstRow="1" w:lastRow="0" w:firstColumn="1" w:lastColumn="0" w:noHBand="0" w:noVBand="1"/>
      </w:tblPr>
      <w:tblGrid>
        <w:gridCol w:w="314"/>
        <w:gridCol w:w="1761"/>
        <w:gridCol w:w="984"/>
        <w:gridCol w:w="1436"/>
        <w:gridCol w:w="1439"/>
        <w:gridCol w:w="974"/>
        <w:gridCol w:w="11"/>
        <w:gridCol w:w="1077"/>
        <w:gridCol w:w="1077"/>
        <w:gridCol w:w="1075"/>
        <w:gridCol w:w="1077"/>
        <w:gridCol w:w="2075"/>
      </w:tblGrid>
      <w:tr w:rsidR="005F46C3" w:rsidRPr="00CA0AE3" w:rsidTr="003B0371">
        <w:trPr>
          <w:cantSplit/>
          <w:tblHeader/>
        </w:trPr>
        <w:tc>
          <w:tcPr>
            <w:tcW w:w="5000" w:type="pct"/>
            <w:gridSpan w:val="12"/>
            <w:tcBorders>
              <w:top w:val="single" w:sz="8" w:space="0" w:color="000000"/>
              <w:left w:val="single" w:sz="8" w:space="0" w:color="000000"/>
              <w:bottom w:val="single" w:sz="8" w:space="0" w:color="000000"/>
              <w:right w:val="single" w:sz="8" w:space="0" w:color="000000"/>
            </w:tcBorders>
            <w:shd w:val="clear" w:color="auto" w:fill="C6D9F1"/>
            <w:vAlign w:val="center"/>
          </w:tcPr>
          <w:p w:rsidR="005F46C3" w:rsidRPr="00CA0AE3" w:rsidRDefault="005F46C3" w:rsidP="005F46C3">
            <w:pPr>
              <w:spacing w:after="0" w:line="240" w:lineRule="auto"/>
              <w:rPr>
                <w:rFonts w:eastAsia="Times New Roman"/>
                <w:b/>
                <w:bCs/>
                <w:kern w:val="24"/>
                <w:sz w:val="20"/>
                <w:szCs w:val="20"/>
              </w:rPr>
            </w:pPr>
            <w:r w:rsidRPr="00CA0AE3">
              <w:rPr>
                <w:rFonts w:eastAsia="Times New Roman"/>
                <w:b/>
                <w:bCs/>
                <w:kern w:val="24"/>
                <w:sz w:val="20"/>
                <w:szCs w:val="20"/>
              </w:rPr>
              <w:lastRenderedPageBreak/>
              <w:t>Required Measure Slate:  Improvement and Outcomes Measures</w:t>
            </w:r>
          </w:p>
          <w:p w:rsidR="005F46C3" w:rsidRPr="00CA0AE3" w:rsidRDefault="005F46C3" w:rsidP="00045BF4">
            <w:pPr>
              <w:spacing w:after="0" w:line="240" w:lineRule="auto"/>
              <w:rPr>
                <w:rFonts w:eastAsia="Times New Roman"/>
                <w:b/>
                <w:bCs/>
                <w:kern w:val="24"/>
                <w:sz w:val="20"/>
                <w:szCs w:val="20"/>
              </w:rPr>
            </w:pPr>
            <w:r w:rsidRPr="00CA0AE3">
              <w:rPr>
                <w:b/>
                <w:i/>
                <w:sz w:val="20"/>
                <w:szCs w:val="20"/>
              </w:rPr>
              <w:t>(Achieve 2 out of 5 in Year 1, 5 of 1</w:t>
            </w:r>
            <w:r w:rsidR="00045BF4" w:rsidRPr="00CA0AE3">
              <w:rPr>
                <w:b/>
                <w:i/>
                <w:sz w:val="20"/>
                <w:szCs w:val="20"/>
              </w:rPr>
              <w:t>3</w:t>
            </w:r>
            <w:r w:rsidRPr="00CA0AE3">
              <w:rPr>
                <w:b/>
                <w:i/>
                <w:sz w:val="20"/>
                <w:szCs w:val="20"/>
              </w:rPr>
              <w:t xml:space="preserve"> Outcome Measures in Year 2, </w:t>
            </w:r>
            <w:r w:rsidR="00045BF4" w:rsidRPr="00CA0AE3">
              <w:rPr>
                <w:b/>
                <w:i/>
                <w:sz w:val="20"/>
                <w:szCs w:val="20"/>
              </w:rPr>
              <w:t>7</w:t>
            </w:r>
            <w:r w:rsidRPr="00CA0AE3">
              <w:rPr>
                <w:b/>
                <w:i/>
                <w:sz w:val="20"/>
                <w:szCs w:val="20"/>
              </w:rPr>
              <w:t xml:space="preserve"> out of </w:t>
            </w:r>
            <w:proofErr w:type="gramStart"/>
            <w:r w:rsidRPr="00CA0AE3">
              <w:rPr>
                <w:b/>
                <w:i/>
                <w:sz w:val="20"/>
                <w:szCs w:val="20"/>
              </w:rPr>
              <w:t>1</w:t>
            </w:r>
            <w:r w:rsidR="00045BF4" w:rsidRPr="00CA0AE3">
              <w:rPr>
                <w:b/>
                <w:i/>
                <w:sz w:val="20"/>
                <w:szCs w:val="20"/>
              </w:rPr>
              <w:t>3</w:t>
            </w:r>
            <w:r w:rsidRPr="00CA0AE3">
              <w:rPr>
                <w:b/>
                <w:i/>
                <w:sz w:val="20"/>
                <w:szCs w:val="20"/>
              </w:rPr>
              <w:t xml:space="preserve">  in</w:t>
            </w:r>
            <w:proofErr w:type="gramEnd"/>
            <w:r w:rsidRPr="00CA0AE3">
              <w:rPr>
                <w:b/>
                <w:i/>
                <w:sz w:val="20"/>
                <w:szCs w:val="20"/>
              </w:rPr>
              <w:t xml:space="preserve"> Year 3, </w:t>
            </w:r>
            <w:r w:rsidR="00045BF4" w:rsidRPr="00CA0AE3">
              <w:rPr>
                <w:b/>
                <w:i/>
                <w:sz w:val="20"/>
                <w:szCs w:val="20"/>
              </w:rPr>
              <w:t>8</w:t>
            </w:r>
            <w:r w:rsidRPr="00CA0AE3">
              <w:rPr>
                <w:b/>
                <w:i/>
                <w:sz w:val="20"/>
                <w:szCs w:val="20"/>
              </w:rPr>
              <w:t xml:space="preserve"> out of 1</w:t>
            </w:r>
            <w:r w:rsidR="00045BF4" w:rsidRPr="00CA0AE3">
              <w:rPr>
                <w:b/>
                <w:i/>
                <w:sz w:val="20"/>
                <w:szCs w:val="20"/>
              </w:rPr>
              <w:t>3</w:t>
            </w:r>
            <w:r w:rsidRPr="00CA0AE3">
              <w:rPr>
                <w:b/>
                <w:i/>
                <w:sz w:val="20"/>
                <w:szCs w:val="20"/>
              </w:rPr>
              <w:t xml:space="preserve"> in Year 4, and </w:t>
            </w:r>
            <w:r w:rsidR="00045BF4" w:rsidRPr="00CA0AE3">
              <w:rPr>
                <w:b/>
                <w:i/>
                <w:sz w:val="20"/>
                <w:szCs w:val="20"/>
              </w:rPr>
              <w:t>8</w:t>
            </w:r>
            <w:r w:rsidRPr="00CA0AE3">
              <w:rPr>
                <w:b/>
                <w:i/>
                <w:sz w:val="20"/>
                <w:szCs w:val="20"/>
              </w:rPr>
              <w:t xml:space="preserve"> out of 1</w:t>
            </w:r>
            <w:r w:rsidR="00045BF4" w:rsidRPr="00CA0AE3">
              <w:rPr>
                <w:b/>
                <w:i/>
                <w:sz w:val="20"/>
                <w:szCs w:val="20"/>
              </w:rPr>
              <w:t>3</w:t>
            </w:r>
            <w:r w:rsidRPr="00CA0AE3">
              <w:rPr>
                <w:b/>
                <w:i/>
                <w:sz w:val="20"/>
                <w:szCs w:val="20"/>
              </w:rPr>
              <w:t xml:space="preserve"> in Year 5).</w:t>
            </w:r>
          </w:p>
        </w:tc>
      </w:tr>
      <w:tr w:rsidR="005F46C3" w:rsidRPr="00CA0AE3" w:rsidTr="004C5B7C">
        <w:trPr>
          <w:cantSplit/>
          <w:tblHeader/>
        </w:trPr>
        <w:tc>
          <w:tcPr>
            <w:tcW w:w="780" w:type="pct"/>
            <w:gridSpan w:val="2"/>
            <w:tcBorders>
              <w:top w:val="single" w:sz="8" w:space="0" w:color="000000"/>
              <w:left w:val="single" w:sz="8" w:space="0" w:color="000000"/>
              <w:bottom w:val="single" w:sz="8" w:space="0" w:color="000000"/>
              <w:right w:val="single" w:sz="8" w:space="0" w:color="000000"/>
            </w:tcBorders>
            <w:shd w:val="clear" w:color="auto" w:fill="C6D9F1"/>
            <w:vAlign w:val="center"/>
          </w:tcPr>
          <w:p w:rsidR="005F46C3" w:rsidRPr="00CA0AE3" w:rsidRDefault="005F46C3" w:rsidP="005F46C3">
            <w:pPr>
              <w:spacing w:after="0" w:line="240" w:lineRule="auto"/>
              <w:jc w:val="center"/>
              <w:rPr>
                <w:rFonts w:eastAsia="Times New Roman"/>
                <w:b/>
                <w:bCs/>
                <w:kern w:val="24"/>
                <w:sz w:val="20"/>
                <w:szCs w:val="20"/>
              </w:rPr>
            </w:pPr>
            <w:r w:rsidRPr="00CA0AE3">
              <w:rPr>
                <w:rFonts w:eastAsia="Times New Roman"/>
                <w:b/>
                <w:bCs/>
                <w:kern w:val="24"/>
                <w:sz w:val="20"/>
                <w:szCs w:val="20"/>
              </w:rPr>
              <w:t>Measure Slate 2</w:t>
            </w:r>
          </w:p>
        </w:tc>
        <w:tc>
          <w:tcPr>
            <w:tcW w:w="1451" w:type="pct"/>
            <w:gridSpan w:val="3"/>
            <w:tcBorders>
              <w:top w:val="single" w:sz="8" w:space="0" w:color="000000"/>
              <w:left w:val="single" w:sz="8" w:space="0" w:color="000000"/>
              <w:bottom w:val="single" w:sz="8" w:space="0" w:color="000000"/>
              <w:right w:val="single" w:sz="8" w:space="0" w:color="000000"/>
            </w:tcBorders>
            <w:shd w:val="clear" w:color="auto" w:fill="C6D9F1"/>
            <w:tcMar>
              <w:top w:w="13" w:type="dxa"/>
              <w:left w:w="93" w:type="dxa"/>
              <w:bottom w:w="0" w:type="dxa"/>
              <w:right w:w="93" w:type="dxa"/>
            </w:tcMar>
            <w:vAlign w:val="center"/>
            <w:hideMark/>
          </w:tcPr>
          <w:p w:rsidR="005F46C3" w:rsidRPr="00CA0AE3" w:rsidRDefault="005F46C3" w:rsidP="005F46C3">
            <w:pPr>
              <w:spacing w:after="0" w:line="240" w:lineRule="auto"/>
              <w:jc w:val="center"/>
              <w:rPr>
                <w:rFonts w:eastAsia="Times New Roman"/>
                <w:b/>
                <w:bCs/>
                <w:kern w:val="24"/>
                <w:sz w:val="20"/>
                <w:szCs w:val="20"/>
              </w:rPr>
            </w:pPr>
            <w:r w:rsidRPr="00CA0AE3">
              <w:rPr>
                <w:rFonts w:eastAsia="Times New Roman"/>
                <w:b/>
                <w:bCs/>
                <w:kern w:val="24"/>
                <w:sz w:val="20"/>
                <w:szCs w:val="20"/>
              </w:rPr>
              <w:t>2: Comprehensive Systems for Treating Mental Health &amp; Substance Use (MHSU) Conditions</w:t>
            </w:r>
          </w:p>
        </w:tc>
        <w:tc>
          <w:tcPr>
            <w:tcW w:w="366" w:type="pct"/>
            <w:tcBorders>
              <w:top w:val="single" w:sz="8" w:space="0" w:color="000000"/>
              <w:left w:val="single" w:sz="8" w:space="0" w:color="000000"/>
              <w:bottom w:val="single" w:sz="8" w:space="0" w:color="000000"/>
              <w:right w:val="single" w:sz="8" w:space="0" w:color="000000"/>
            </w:tcBorders>
            <w:shd w:val="clear" w:color="auto" w:fill="C6D9F1"/>
            <w:vAlign w:val="center"/>
          </w:tcPr>
          <w:p w:rsidR="003B0371" w:rsidRPr="00CA0AE3" w:rsidRDefault="005F46C3" w:rsidP="005F46C3">
            <w:pPr>
              <w:spacing w:after="0" w:line="240" w:lineRule="auto"/>
              <w:jc w:val="center"/>
              <w:rPr>
                <w:rFonts w:eastAsia="Times New Roman"/>
                <w:b/>
                <w:bCs/>
                <w:kern w:val="24"/>
                <w:sz w:val="20"/>
                <w:szCs w:val="20"/>
              </w:rPr>
            </w:pPr>
            <w:r w:rsidRPr="00CA0AE3">
              <w:rPr>
                <w:rFonts w:eastAsia="Times New Roman"/>
                <w:b/>
                <w:bCs/>
                <w:kern w:val="24"/>
                <w:sz w:val="20"/>
                <w:szCs w:val="20"/>
              </w:rPr>
              <w:t xml:space="preserve">Achieve 2 of 5 </w:t>
            </w:r>
          </w:p>
          <w:p w:rsidR="005F46C3" w:rsidRPr="00CA0AE3" w:rsidRDefault="005F46C3" w:rsidP="005F46C3">
            <w:pPr>
              <w:spacing w:after="0" w:line="240" w:lineRule="auto"/>
              <w:jc w:val="center"/>
              <w:rPr>
                <w:rFonts w:eastAsia="Times New Roman"/>
                <w:b/>
                <w:bCs/>
                <w:kern w:val="24"/>
                <w:sz w:val="20"/>
                <w:szCs w:val="20"/>
              </w:rPr>
            </w:pPr>
            <w:r w:rsidRPr="00CA0AE3">
              <w:rPr>
                <w:rFonts w:eastAsia="Times New Roman"/>
                <w:b/>
                <w:bCs/>
                <w:kern w:val="24"/>
                <w:sz w:val="20"/>
                <w:szCs w:val="20"/>
              </w:rPr>
              <w:t>Measures</w:t>
            </w:r>
          </w:p>
        </w:tc>
        <w:tc>
          <w:tcPr>
            <w:tcW w:w="409" w:type="pct"/>
            <w:gridSpan w:val="2"/>
            <w:tcBorders>
              <w:top w:val="single" w:sz="8" w:space="0" w:color="000000"/>
              <w:left w:val="single" w:sz="8" w:space="0" w:color="000000"/>
              <w:bottom w:val="single" w:sz="8" w:space="0" w:color="000000"/>
              <w:right w:val="single" w:sz="8" w:space="0" w:color="000000"/>
            </w:tcBorders>
            <w:shd w:val="clear" w:color="auto" w:fill="C6D9F1"/>
            <w:tcMar>
              <w:top w:w="13" w:type="dxa"/>
              <w:left w:w="93" w:type="dxa"/>
              <w:bottom w:w="0" w:type="dxa"/>
              <w:right w:w="93" w:type="dxa"/>
            </w:tcMar>
            <w:vAlign w:val="center"/>
            <w:hideMark/>
          </w:tcPr>
          <w:p w:rsidR="005F46C3" w:rsidRPr="00CA0AE3" w:rsidRDefault="005F46C3" w:rsidP="00045BF4">
            <w:pPr>
              <w:spacing w:after="0" w:line="240" w:lineRule="auto"/>
              <w:jc w:val="center"/>
              <w:rPr>
                <w:rFonts w:eastAsia="Times New Roman"/>
                <w:b/>
                <w:bCs/>
                <w:kern w:val="24"/>
                <w:sz w:val="20"/>
                <w:szCs w:val="20"/>
              </w:rPr>
            </w:pPr>
            <w:r w:rsidRPr="00CA0AE3">
              <w:rPr>
                <w:rFonts w:eastAsia="Times New Roman"/>
                <w:b/>
                <w:bCs/>
                <w:kern w:val="24"/>
                <w:sz w:val="20"/>
                <w:szCs w:val="20"/>
              </w:rPr>
              <w:t>Achieve 5 of 1</w:t>
            </w:r>
            <w:r w:rsidR="00045BF4" w:rsidRPr="00CA0AE3">
              <w:rPr>
                <w:rFonts w:eastAsia="Times New Roman"/>
                <w:b/>
                <w:bCs/>
                <w:kern w:val="24"/>
                <w:sz w:val="20"/>
                <w:szCs w:val="20"/>
              </w:rPr>
              <w:t>3</w:t>
            </w:r>
            <w:r w:rsidRPr="00CA0AE3">
              <w:rPr>
                <w:rFonts w:eastAsia="Times New Roman"/>
                <w:b/>
                <w:bCs/>
                <w:kern w:val="24"/>
                <w:sz w:val="20"/>
                <w:szCs w:val="20"/>
              </w:rPr>
              <w:t xml:space="preserve"> Measures</w:t>
            </w:r>
          </w:p>
        </w:tc>
        <w:tc>
          <w:tcPr>
            <w:tcW w:w="405" w:type="pct"/>
            <w:tcBorders>
              <w:top w:val="single" w:sz="8" w:space="0" w:color="000000"/>
              <w:left w:val="single" w:sz="8" w:space="0" w:color="000000"/>
              <w:bottom w:val="single" w:sz="8" w:space="0" w:color="000000"/>
              <w:right w:val="single" w:sz="8" w:space="0" w:color="000000"/>
            </w:tcBorders>
            <w:shd w:val="clear" w:color="auto" w:fill="C6D9F1"/>
            <w:tcMar>
              <w:top w:w="13" w:type="dxa"/>
              <w:left w:w="93" w:type="dxa"/>
              <w:bottom w:w="0" w:type="dxa"/>
              <w:right w:w="93" w:type="dxa"/>
            </w:tcMar>
            <w:vAlign w:val="center"/>
            <w:hideMark/>
          </w:tcPr>
          <w:p w:rsidR="005F46C3" w:rsidRPr="00CA0AE3" w:rsidRDefault="005F46C3" w:rsidP="00045BF4">
            <w:pPr>
              <w:spacing w:after="0" w:line="240" w:lineRule="auto"/>
              <w:jc w:val="center"/>
              <w:rPr>
                <w:rFonts w:eastAsia="Times New Roman"/>
                <w:b/>
                <w:bCs/>
                <w:kern w:val="24"/>
                <w:sz w:val="20"/>
                <w:szCs w:val="20"/>
              </w:rPr>
            </w:pPr>
            <w:r w:rsidRPr="00CA0AE3">
              <w:rPr>
                <w:rFonts w:eastAsia="Times New Roman"/>
                <w:b/>
                <w:bCs/>
                <w:kern w:val="24"/>
                <w:sz w:val="20"/>
                <w:szCs w:val="20"/>
              </w:rPr>
              <w:t xml:space="preserve">Achieve </w:t>
            </w:r>
            <w:r w:rsidR="00045BF4" w:rsidRPr="00CA0AE3">
              <w:rPr>
                <w:rFonts w:eastAsia="Times New Roman"/>
                <w:b/>
                <w:bCs/>
                <w:kern w:val="24"/>
                <w:sz w:val="20"/>
                <w:szCs w:val="20"/>
              </w:rPr>
              <w:t>7</w:t>
            </w:r>
            <w:r w:rsidRPr="00CA0AE3">
              <w:rPr>
                <w:rFonts w:eastAsia="Times New Roman"/>
                <w:b/>
                <w:bCs/>
                <w:kern w:val="24"/>
                <w:sz w:val="20"/>
                <w:szCs w:val="20"/>
              </w:rPr>
              <w:t xml:space="preserve"> of 1</w:t>
            </w:r>
            <w:r w:rsidR="00045BF4" w:rsidRPr="00CA0AE3">
              <w:rPr>
                <w:rFonts w:eastAsia="Times New Roman"/>
                <w:b/>
                <w:bCs/>
                <w:kern w:val="24"/>
                <w:sz w:val="20"/>
                <w:szCs w:val="20"/>
              </w:rPr>
              <w:t>3</w:t>
            </w:r>
            <w:r w:rsidRPr="00CA0AE3">
              <w:rPr>
                <w:rFonts w:eastAsia="Times New Roman"/>
                <w:b/>
                <w:bCs/>
                <w:kern w:val="24"/>
                <w:sz w:val="20"/>
                <w:szCs w:val="20"/>
              </w:rPr>
              <w:t xml:space="preserve"> Measures</w:t>
            </w:r>
          </w:p>
        </w:tc>
        <w:tc>
          <w:tcPr>
            <w:tcW w:w="404" w:type="pct"/>
            <w:tcBorders>
              <w:top w:val="single" w:sz="8" w:space="0" w:color="000000"/>
              <w:left w:val="single" w:sz="8" w:space="0" w:color="000000"/>
              <w:bottom w:val="single" w:sz="8" w:space="0" w:color="000000"/>
              <w:right w:val="single" w:sz="8" w:space="0" w:color="000000"/>
            </w:tcBorders>
            <w:shd w:val="clear" w:color="auto" w:fill="C6D9F1"/>
            <w:tcMar>
              <w:top w:w="13" w:type="dxa"/>
              <w:left w:w="93" w:type="dxa"/>
              <w:bottom w:w="0" w:type="dxa"/>
              <w:right w:w="93" w:type="dxa"/>
            </w:tcMar>
            <w:vAlign w:val="center"/>
            <w:hideMark/>
          </w:tcPr>
          <w:p w:rsidR="005F46C3" w:rsidRPr="00CA0AE3" w:rsidRDefault="005F46C3" w:rsidP="00045BF4">
            <w:pPr>
              <w:spacing w:after="0" w:line="240" w:lineRule="auto"/>
              <w:jc w:val="center"/>
              <w:rPr>
                <w:rFonts w:eastAsia="Times New Roman"/>
                <w:b/>
                <w:bCs/>
                <w:kern w:val="24"/>
                <w:sz w:val="20"/>
                <w:szCs w:val="20"/>
              </w:rPr>
            </w:pPr>
            <w:r w:rsidRPr="00CA0AE3">
              <w:rPr>
                <w:rFonts w:eastAsia="Times New Roman"/>
                <w:b/>
                <w:bCs/>
                <w:kern w:val="24"/>
                <w:sz w:val="20"/>
                <w:szCs w:val="20"/>
              </w:rPr>
              <w:t xml:space="preserve">Achieve </w:t>
            </w:r>
            <w:r w:rsidR="00045BF4" w:rsidRPr="00CA0AE3">
              <w:rPr>
                <w:rFonts w:eastAsia="Times New Roman"/>
                <w:b/>
                <w:bCs/>
                <w:kern w:val="24"/>
                <w:sz w:val="20"/>
                <w:szCs w:val="20"/>
              </w:rPr>
              <w:t>8</w:t>
            </w:r>
            <w:r w:rsidRPr="00CA0AE3">
              <w:rPr>
                <w:rFonts w:eastAsia="Times New Roman"/>
                <w:b/>
                <w:bCs/>
                <w:kern w:val="24"/>
                <w:sz w:val="20"/>
                <w:szCs w:val="20"/>
              </w:rPr>
              <w:t xml:space="preserve"> of 1</w:t>
            </w:r>
            <w:r w:rsidR="00045BF4" w:rsidRPr="00CA0AE3">
              <w:rPr>
                <w:rFonts w:eastAsia="Times New Roman"/>
                <w:b/>
                <w:bCs/>
                <w:kern w:val="24"/>
                <w:sz w:val="20"/>
                <w:szCs w:val="20"/>
              </w:rPr>
              <w:t>3</w:t>
            </w:r>
            <w:r w:rsidRPr="00CA0AE3">
              <w:rPr>
                <w:rFonts w:eastAsia="Times New Roman"/>
                <w:b/>
                <w:bCs/>
                <w:kern w:val="24"/>
                <w:sz w:val="20"/>
                <w:szCs w:val="20"/>
              </w:rPr>
              <w:t xml:space="preserve"> Measures</w:t>
            </w:r>
          </w:p>
        </w:tc>
        <w:tc>
          <w:tcPr>
            <w:tcW w:w="405" w:type="pct"/>
            <w:tcBorders>
              <w:top w:val="single" w:sz="8" w:space="0" w:color="000000"/>
              <w:left w:val="single" w:sz="8" w:space="0" w:color="000000"/>
              <w:bottom w:val="single" w:sz="8" w:space="0" w:color="000000"/>
              <w:right w:val="single" w:sz="8" w:space="0" w:color="000000"/>
            </w:tcBorders>
            <w:shd w:val="clear" w:color="auto" w:fill="C6D9F1"/>
            <w:tcMar>
              <w:top w:w="13" w:type="dxa"/>
              <w:left w:w="93" w:type="dxa"/>
              <w:bottom w:w="0" w:type="dxa"/>
              <w:right w:w="93" w:type="dxa"/>
            </w:tcMar>
            <w:vAlign w:val="center"/>
            <w:hideMark/>
          </w:tcPr>
          <w:p w:rsidR="005F46C3" w:rsidRPr="00CA0AE3" w:rsidRDefault="005F46C3" w:rsidP="00045BF4">
            <w:pPr>
              <w:spacing w:after="0" w:line="240" w:lineRule="auto"/>
              <w:jc w:val="center"/>
              <w:rPr>
                <w:rFonts w:eastAsia="Times New Roman"/>
                <w:b/>
                <w:bCs/>
                <w:kern w:val="24"/>
                <w:sz w:val="20"/>
                <w:szCs w:val="20"/>
              </w:rPr>
            </w:pPr>
            <w:r w:rsidRPr="00CA0AE3">
              <w:rPr>
                <w:rFonts w:eastAsia="Times New Roman"/>
                <w:b/>
                <w:bCs/>
                <w:kern w:val="24"/>
                <w:sz w:val="20"/>
                <w:szCs w:val="20"/>
              </w:rPr>
              <w:t xml:space="preserve">Achieve </w:t>
            </w:r>
            <w:r w:rsidR="00045BF4" w:rsidRPr="00CA0AE3">
              <w:rPr>
                <w:rFonts w:eastAsia="Times New Roman"/>
                <w:b/>
                <w:bCs/>
                <w:kern w:val="24"/>
                <w:sz w:val="20"/>
                <w:szCs w:val="20"/>
              </w:rPr>
              <w:t>8</w:t>
            </w:r>
            <w:r w:rsidRPr="00CA0AE3">
              <w:rPr>
                <w:rFonts w:eastAsia="Times New Roman"/>
                <w:b/>
                <w:bCs/>
                <w:kern w:val="24"/>
                <w:sz w:val="20"/>
                <w:szCs w:val="20"/>
              </w:rPr>
              <w:t xml:space="preserve"> of 1</w:t>
            </w:r>
            <w:r w:rsidR="00045BF4" w:rsidRPr="00CA0AE3">
              <w:rPr>
                <w:rFonts w:eastAsia="Times New Roman"/>
                <w:b/>
                <w:bCs/>
                <w:kern w:val="24"/>
                <w:sz w:val="20"/>
                <w:szCs w:val="20"/>
              </w:rPr>
              <w:t>3</w:t>
            </w:r>
            <w:r w:rsidRPr="00CA0AE3">
              <w:rPr>
                <w:rFonts w:eastAsia="Times New Roman"/>
                <w:b/>
                <w:bCs/>
                <w:kern w:val="24"/>
                <w:sz w:val="20"/>
                <w:szCs w:val="20"/>
              </w:rPr>
              <w:t xml:space="preserve"> Measures</w:t>
            </w:r>
          </w:p>
        </w:tc>
        <w:tc>
          <w:tcPr>
            <w:tcW w:w="780" w:type="pct"/>
            <w:tcBorders>
              <w:top w:val="single" w:sz="8" w:space="0" w:color="000000"/>
              <w:left w:val="single" w:sz="8" w:space="0" w:color="000000"/>
              <w:bottom w:val="single" w:sz="8" w:space="0" w:color="000000"/>
              <w:right w:val="single" w:sz="8" w:space="0" w:color="000000"/>
            </w:tcBorders>
            <w:shd w:val="clear" w:color="auto" w:fill="C6D9F1"/>
            <w:vAlign w:val="center"/>
          </w:tcPr>
          <w:p w:rsidR="005F46C3" w:rsidRPr="00CA0AE3" w:rsidRDefault="005F46C3" w:rsidP="005F46C3">
            <w:pPr>
              <w:spacing w:after="0" w:line="240" w:lineRule="auto"/>
              <w:jc w:val="center"/>
              <w:rPr>
                <w:rFonts w:eastAsia="Times New Roman"/>
                <w:b/>
                <w:bCs/>
                <w:kern w:val="24"/>
                <w:sz w:val="20"/>
                <w:szCs w:val="20"/>
              </w:rPr>
            </w:pPr>
          </w:p>
        </w:tc>
      </w:tr>
      <w:tr w:rsidR="00E62662" w:rsidRPr="00CA0AE3" w:rsidTr="005011EC">
        <w:trPr>
          <w:cantSplit/>
          <w:tblHeader/>
        </w:trPr>
        <w:tc>
          <w:tcPr>
            <w:tcW w:w="118" w:type="pct"/>
            <w:tcBorders>
              <w:top w:val="single" w:sz="8" w:space="0" w:color="000000"/>
              <w:left w:val="single" w:sz="8" w:space="0" w:color="000000"/>
              <w:bottom w:val="single" w:sz="8" w:space="0" w:color="000000"/>
              <w:right w:val="single" w:sz="8" w:space="0" w:color="auto"/>
            </w:tcBorders>
            <w:shd w:val="clear" w:color="auto" w:fill="C6D9F1"/>
            <w:vAlign w:val="center"/>
          </w:tcPr>
          <w:p w:rsidR="005F46C3" w:rsidRPr="00CA0AE3" w:rsidRDefault="005F46C3" w:rsidP="005F46C3">
            <w:pPr>
              <w:spacing w:after="0" w:line="240" w:lineRule="auto"/>
              <w:jc w:val="center"/>
              <w:rPr>
                <w:rFonts w:eastAsia="Times New Roman"/>
                <w:b/>
                <w:bCs/>
                <w:kern w:val="24"/>
                <w:sz w:val="20"/>
                <w:szCs w:val="20"/>
              </w:rPr>
            </w:pPr>
            <w:r w:rsidRPr="00CA0AE3">
              <w:rPr>
                <w:rFonts w:eastAsia="Times New Roman"/>
                <w:b/>
                <w:bCs/>
                <w:kern w:val="24"/>
                <w:sz w:val="20"/>
                <w:szCs w:val="20"/>
              </w:rPr>
              <w:t>#</w:t>
            </w:r>
          </w:p>
        </w:tc>
        <w:tc>
          <w:tcPr>
            <w:tcW w:w="662" w:type="pct"/>
            <w:tcBorders>
              <w:top w:val="single" w:sz="8" w:space="0" w:color="000000"/>
              <w:left w:val="single" w:sz="8" w:space="0" w:color="auto"/>
              <w:bottom w:val="single" w:sz="8" w:space="0" w:color="auto"/>
              <w:right w:val="single" w:sz="8" w:space="0" w:color="000000"/>
            </w:tcBorders>
            <w:shd w:val="clear" w:color="auto" w:fill="C6D9F1"/>
            <w:tcMar>
              <w:top w:w="13" w:type="dxa"/>
              <w:left w:w="93" w:type="dxa"/>
              <w:bottom w:w="0" w:type="dxa"/>
              <w:right w:w="93" w:type="dxa"/>
            </w:tcMar>
            <w:vAlign w:val="center"/>
            <w:hideMark/>
          </w:tcPr>
          <w:p w:rsidR="005F46C3" w:rsidRPr="00CA0AE3" w:rsidRDefault="005F46C3" w:rsidP="005F46C3">
            <w:pPr>
              <w:spacing w:after="0" w:line="240" w:lineRule="auto"/>
              <w:jc w:val="center"/>
              <w:rPr>
                <w:rFonts w:eastAsia="Times New Roman"/>
                <w:sz w:val="20"/>
                <w:szCs w:val="20"/>
              </w:rPr>
            </w:pPr>
            <w:r w:rsidRPr="00CA0AE3">
              <w:rPr>
                <w:rFonts w:eastAsia="Times New Roman"/>
                <w:b/>
                <w:bCs/>
                <w:kern w:val="24"/>
                <w:sz w:val="20"/>
                <w:szCs w:val="20"/>
              </w:rPr>
              <w:t>Measure Description</w:t>
            </w:r>
          </w:p>
        </w:tc>
        <w:tc>
          <w:tcPr>
            <w:tcW w:w="370" w:type="pct"/>
            <w:tcBorders>
              <w:top w:val="single" w:sz="8" w:space="0" w:color="000000"/>
              <w:left w:val="single" w:sz="8" w:space="0" w:color="000000"/>
              <w:bottom w:val="single" w:sz="8" w:space="0" w:color="000000"/>
              <w:right w:val="single" w:sz="8" w:space="0" w:color="000000"/>
            </w:tcBorders>
            <w:shd w:val="clear" w:color="auto" w:fill="C6D9F1"/>
            <w:tcMar>
              <w:top w:w="13" w:type="dxa"/>
              <w:left w:w="93" w:type="dxa"/>
              <w:bottom w:w="0" w:type="dxa"/>
              <w:right w:w="93" w:type="dxa"/>
            </w:tcMar>
            <w:vAlign w:val="center"/>
            <w:hideMark/>
          </w:tcPr>
          <w:p w:rsidR="005F46C3" w:rsidRPr="00CA0AE3" w:rsidRDefault="005F46C3" w:rsidP="005F46C3">
            <w:pPr>
              <w:spacing w:after="0" w:line="240" w:lineRule="auto"/>
              <w:jc w:val="center"/>
              <w:rPr>
                <w:rFonts w:eastAsia="Times New Roman"/>
                <w:kern w:val="24"/>
                <w:sz w:val="20"/>
                <w:szCs w:val="20"/>
              </w:rPr>
            </w:pPr>
            <w:r w:rsidRPr="00CA0AE3">
              <w:rPr>
                <w:rFonts w:eastAsia="Times New Roman"/>
                <w:b/>
                <w:bCs/>
                <w:kern w:val="24"/>
                <w:sz w:val="20"/>
                <w:szCs w:val="20"/>
              </w:rPr>
              <w:t>Measure Steward</w:t>
            </w:r>
          </w:p>
          <w:p w:rsidR="005F46C3" w:rsidRPr="00CA0AE3" w:rsidRDefault="005F46C3" w:rsidP="005F46C3">
            <w:pPr>
              <w:spacing w:after="0" w:line="240" w:lineRule="auto"/>
              <w:jc w:val="center"/>
              <w:rPr>
                <w:rFonts w:eastAsia="Times New Roman"/>
                <w:b/>
                <w:sz w:val="20"/>
                <w:szCs w:val="20"/>
              </w:rPr>
            </w:pPr>
            <w:r w:rsidRPr="00CA0AE3">
              <w:rPr>
                <w:rFonts w:eastAsia="Times New Roman"/>
                <w:b/>
                <w:kern w:val="24"/>
                <w:sz w:val="20"/>
                <w:szCs w:val="20"/>
              </w:rPr>
              <w:t>NQF#</w:t>
            </w:r>
          </w:p>
        </w:tc>
        <w:tc>
          <w:tcPr>
            <w:tcW w:w="540" w:type="pct"/>
            <w:tcBorders>
              <w:top w:val="single" w:sz="8" w:space="0" w:color="000000"/>
              <w:left w:val="single" w:sz="8" w:space="0" w:color="000000"/>
              <w:bottom w:val="single" w:sz="8" w:space="0" w:color="000000"/>
              <w:right w:val="single" w:sz="8" w:space="0" w:color="000000"/>
            </w:tcBorders>
            <w:shd w:val="clear" w:color="auto" w:fill="C6D9F1"/>
            <w:tcMar>
              <w:top w:w="13" w:type="dxa"/>
              <w:left w:w="93" w:type="dxa"/>
              <w:bottom w:w="0" w:type="dxa"/>
              <w:right w:w="93" w:type="dxa"/>
            </w:tcMar>
            <w:vAlign w:val="center"/>
            <w:hideMark/>
          </w:tcPr>
          <w:p w:rsidR="005F46C3" w:rsidRPr="00CA0AE3" w:rsidRDefault="005F46C3" w:rsidP="005F46C3">
            <w:pPr>
              <w:spacing w:after="0" w:line="240" w:lineRule="auto"/>
              <w:jc w:val="center"/>
              <w:rPr>
                <w:rFonts w:eastAsia="Times New Roman"/>
                <w:sz w:val="20"/>
                <w:szCs w:val="20"/>
              </w:rPr>
            </w:pPr>
            <w:r w:rsidRPr="00CA0AE3">
              <w:rPr>
                <w:rFonts w:eastAsia="Times New Roman"/>
                <w:b/>
                <w:bCs/>
                <w:kern w:val="24"/>
                <w:sz w:val="20"/>
                <w:szCs w:val="20"/>
              </w:rPr>
              <w:t>Benchmark</w:t>
            </w:r>
          </w:p>
        </w:tc>
        <w:tc>
          <w:tcPr>
            <w:tcW w:w="541" w:type="pct"/>
            <w:tcBorders>
              <w:top w:val="single" w:sz="8" w:space="0" w:color="000000"/>
              <w:left w:val="single" w:sz="8" w:space="0" w:color="000000"/>
              <w:bottom w:val="single" w:sz="8" w:space="0" w:color="000000"/>
              <w:right w:val="single" w:sz="8" w:space="0" w:color="000000"/>
            </w:tcBorders>
            <w:shd w:val="clear" w:color="auto" w:fill="C6D9F1"/>
            <w:tcMar>
              <w:top w:w="13" w:type="dxa"/>
              <w:left w:w="93" w:type="dxa"/>
              <w:bottom w:w="0" w:type="dxa"/>
              <w:right w:w="93" w:type="dxa"/>
            </w:tcMar>
            <w:vAlign w:val="center"/>
            <w:hideMark/>
          </w:tcPr>
          <w:p w:rsidR="005F46C3" w:rsidRPr="00CA0AE3" w:rsidRDefault="005F46C3" w:rsidP="005F46C3">
            <w:pPr>
              <w:spacing w:after="0" w:line="240" w:lineRule="auto"/>
              <w:jc w:val="center"/>
              <w:rPr>
                <w:rFonts w:eastAsia="Times New Roman"/>
                <w:sz w:val="20"/>
                <w:szCs w:val="20"/>
              </w:rPr>
            </w:pPr>
            <w:r w:rsidRPr="00CA0AE3">
              <w:rPr>
                <w:rFonts w:eastAsia="Times New Roman"/>
                <w:b/>
                <w:bCs/>
                <w:kern w:val="24"/>
                <w:sz w:val="20"/>
                <w:szCs w:val="20"/>
              </w:rPr>
              <w:t>Improvement Methodology</w:t>
            </w:r>
          </w:p>
        </w:tc>
        <w:tc>
          <w:tcPr>
            <w:tcW w:w="366" w:type="pct"/>
            <w:tcBorders>
              <w:top w:val="single" w:sz="8" w:space="0" w:color="000000"/>
              <w:left w:val="single" w:sz="8" w:space="0" w:color="000000"/>
              <w:bottom w:val="single" w:sz="8" w:space="0" w:color="000000"/>
              <w:right w:val="single" w:sz="8" w:space="0" w:color="000000"/>
            </w:tcBorders>
            <w:shd w:val="clear" w:color="auto" w:fill="C6D9F1"/>
            <w:tcMar>
              <w:top w:w="13" w:type="dxa"/>
              <w:left w:w="93" w:type="dxa"/>
              <w:bottom w:w="0" w:type="dxa"/>
              <w:right w:w="93" w:type="dxa"/>
            </w:tcMar>
            <w:vAlign w:val="center"/>
            <w:hideMark/>
          </w:tcPr>
          <w:p w:rsidR="005F46C3" w:rsidRPr="00CA0AE3" w:rsidRDefault="005F46C3" w:rsidP="005F46C3">
            <w:pPr>
              <w:spacing w:after="0" w:line="240" w:lineRule="auto"/>
              <w:jc w:val="center"/>
              <w:rPr>
                <w:rFonts w:eastAsia="Times New Roman"/>
                <w:kern w:val="24"/>
                <w:sz w:val="20"/>
                <w:szCs w:val="20"/>
              </w:rPr>
            </w:pPr>
            <w:r w:rsidRPr="00CA0AE3">
              <w:rPr>
                <w:rFonts w:eastAsia="Times New Roman"/>
                <w:b/>
                <w:bCs/>
                <w:kern w:val="24"/>
                <w:sz w:val="20"/>
                <w:szCs w:val="20"/>
              </w:rPr>
              <w:t>Year 1</w:t>
            </w:r>
          </w:p>
          <w:p w:rsidR="005F46C3" w:rsidRPr="00CA0AE3" w:rsidRDefault="005F46C3" w:rsidP="005F46C3">
            <w:pPr>
              <w:spacing w:after="0" w:line="240" w:lineRule="auto"/>
              <w:jc w:val="center"/>
              <w:rPr>
                <w:rFonts w:eastAsia="Times New Roman"/>
                <w:sz w:val="20"/>
                <w:szCs w:val="20"/>
              </w:rPr>
            </w:pPr>
            <w:r w:rsidRPr="00CA0AE3">
              <w:rPr>
                <w:rFonts w:eastAsia="Times New Roman"/>
                <w:kern w:val="24"/>
                <w:sz w:val="20"/>
                <w:szCs w:val="20"/>
              </w:rPr>
              <w:t>SFY 2018</w:t>
            </w:r>
          </w:p>
        </w:tc>
        <w:tc>
          <w:tcPr>
            <w:tcW w:w="409" w:type="pct"/>
            <w:gridSpan w:val="2"/>
            <w:tcBorders>
              <w:top w:val="single" w:sz="8" w:space="0" w:color="000000"/>
              <w:left w:val="single" w:sz="8" w:space="0" w:color="000000"/>
              <w:bottom w:val="single" w:sz="8" w:space="0" w:color="000000"/>
              <w:right w:val="single" w:sz="8" w:space="0" w:color="000000"/>
            </w:tcBorders>
            <w:shd w:val="clear" w:color="auto" w:fill="C6D9F1"/>
            <w:tcMar>
              <w:top w:w="13" w:type="dxa"/>
              <w:left w:w="93" w:type="dxa"/>
              <w:bottom w:w="0" w:type="dxa"/>
              <w:right w:w="93" w:type="dxa"/>
            </w:tcMar>
            <w:vAlign w:val="center"/>
            <w:hideMark/>
          </w:tcPr>
          <w:p w:rsidR="005F46C3" w:rsidRPr="00CA0AE3" w:rsidRDefault="005F46C3" w:rsidP="005F46C3">
            <w:pPr>
              <w:spacing w:after="0" w:line="240" w:lineRule="auto"/>
              <w:jc w:val="center"/>
              <w:rPr>
                <w:rFonts w:eastAsia="Times New Roman"/>
                <w:kern w:val="24"/>
                <w:sz w:val="20"/>
                <w:szCs w:val="20"/>
              </w:rPr>
            </w:pPr>
            <w:r w:rsidRPr="00CA0AE3">
              <w:rPr>
                <w:rFonts w:eastAsia="Times New Roman"/>
                <w:b/>
                <w:bCs/>
                <w:kern w:val="24"/>
                <w:sz w:val="20"/>
                <w:szCs w:val="20"/>
              </w:rPr>
              <w:t>Year 2</w:t>
            </w:r>
          </w:p>
          <w:p w:rsidR="005F46C3" w:rsidRPr="00CA0AE3" w:rsidRDefault="005F46C3" w:rsidP="005F46C3">
            <w:pPr>
              <w:spacing w:after="0" w:line="240" w:lineRule="auto"/>
              <w:jc w:val="center"/>
              <w:rPr>
                <w:rFonts w:eastAsia="Times New Roman"/>
                <w:sz w:val="20"/>
                <w:szCs w:val="20"/>
              </w:rPr>
            </w:pPr>
            <w:r w:rsidRPr="00CA0AE3">
              <w:rPr>
                <w:rFonts w:eastAsia="Times New Roman"/>
                <w:kern w:val="24"/>
                <w:sz w:val="20"/>
                <w:szCs w:val="20"/>
              </w:rPr>
              <w:t>SFY 2019</w:t>
            </w:r>
          </w:p>
        </w:tc>
        <w:tc>
          <w:tcPr>
            <w:tcW w:w="405" w:type="pct"/>
            <w:tcBorders>
              <w:top w:val="single" w:sz="8" w:space="0" w:color="000000"/>
              <w:left w:val="single" w:sz="8" w:space="0" w:color="000000"/>
              <w:bottom w:val="single" w:sz="8" w:space="0" w:color="000000"/>
              <w:right w:val="single" w:sz="8" w:space="0" w:color="000000"/>
            </w:tcBorders>
            <w:shd w:val="clear" w:color="auto" w:fill="C6D9F1"/>
            <w:tcMar>
              <w:top w:w="13" w:type="dxa"/>
              <w:left w:w="93" w:type="dxa"/>
              <w:bottom w:w="0" w:type="dxa"/>
              <w:right w:w="93" w:type="dxa"/>
            </w:tcMar>
            <w:vAlign w:val="center"/>
            <w:hideMark/>
          </w:tcPr>
          <w:p w:rsidR="005F46C3" w:rsidRPr="00CA0AE3" w:rsidRDefault="005F46C3" w:rsidP="005F46C3">
            <w:pPr>
              <w:spacing w:after="0" w:line="240" w:lineRule="auto"/>
              <w:jc w:val="center"/>
              <w:rPr>
                <w:rFonts w:eastAsia="Times New Roman"/>
                <w:kern w:val="24"/>
                <w:sz w:val="20"/>
                <w:szCs w:val="20"/>
              </w:rPr>
            </w:pPr>
            <w:r w:rsidRPr="00CA0AE3">
              <w:rPr>
                <w:rFonts w:eastAsia="Times New Roman"/>
                <w:b/>
                <w:bCs/>
                <w:kern w:val="24"/>
                <w:sz w:val="20"/>
                <w:szCs w:val="20"/>
              </w:rPr>
              <w:t>Year 3</w:t>
            </w:r>
          </w:p>
          <w:p w:rsidR="005F46C3" w:rsidRPr="00CA0AE3" w:rsidRDefault="005F46C3" w:rsidP="005F46C3">
            <w:pPr>
              <w:spacing w:after="0" w:line="240" w:lineRule="auto"/>
              <w:jc w:val="center"/>
              <w:rPr>
                <w:rFonts w:eastAsia="Times New Roman"/>
                <w:sz w:val="20"/>
                <w:szCs w:val="20"/>
              </w:rPr>
            </w:pPr>
            <w:r w:rsidRPr="00CA0AE3">
              <w:rPr>
                <w:rFonts w:eastAsia="Times New Roman"/>
                <w:kern w:val="24"/>
                <w:sz w:val="20"/>
                <w:szCs w:val="20"/>
              </w:rPr>
              <w:t>SFY 2020</w:t>
            </w:r>
          </w:p>
        </w:tc>
        <w:tc>
          <w:tcPr>
            <w:tcW w:w="404" w:type="pct"/>
            <w:tcBorders>
              <w:top w:val="single" w:sz="8" w:space="0" w:color="000000"/>
              <w:left w:val="single" w:sz="8" w:space="0" w:color="000000"/>
              <w:bottom w:val="single" w:sz="8" w:space="0" w:color="000000"/>
              <w:right w:val="single" w:sz="8" w:space="0" w:color="000000"/>
            </w:tcBorders>
            <w:shd w:val="clear" w:color="auto" w:fill="C6D9F1"/>
            <w:tcMar>
              <w:top w:w="13" w:type="dxa"/>
              <w:left w:w="93" w:type="dxa"/>
              <w:bottom w:w="0" w:type="dxa"/>
              <w:right w:w="93" w:type="dxa"/>
            </w:tcMar>
            <w:vAlign w:val="center"/>
            <w:hideMark/>
          </w:tcPr>
          <w:p w:rsidR="005F46C3" w:rsidRPr="00CA0AE3" w:rsidRDefault="005F46C3" w:rsidP="005F46C3">
            <w:pPr>
              <w:spacing w:after="0" w:line="240" w:lineRule="auto"/>
              <w:jc w:val="center"/>
              <w:rPr>
                <w:rFonts w:eastAsia="Times New Roman"/>
                <w:kern w:val="24"/>
                <w:sz w:val="20"/>
                <w:szCs w:val="20"/>
              </w:rPr>
            </w:pPr>
            <w:r w:rsidRPr="00CA0AE3">
              <w:rPr>
                <w:rFonts w:eastAsia="Times New Roman"/>
                <w:b/>
                <w:bCs/>
                <w:kern w:val="24"/>
                <w:sz w:val="20"/>
                <w:szCs w:val="20"/>
              </w:rPr>
              <w:t>Year 4</w:t>
            </w:r>
          </w:p>
          <w:p w:rsidR="005F46C3" w:rsidRPr="00CA0AE3" w:rsidRDefault="005F46C3" w:rsidP="005F46C3">
            <w:pPr>
              <w:spacing w:after="0" w:line="240" w:lineRule="auto"/>
              <w:jc w:val="center"/>
              <w:rPr>
                <w:rFonts w:eastAsia="Times New Roman"/>
                <w:sz w:val="20"/>
                <w:szCs w:val="20"/>
              </w:rPr>
            </w:pPr>
            <w:r w:rsidRPr="00CA0AE3">
              <w:rPr>
                <w:rFonts w:eastAsia="Times New Roman"/>
                <w:kern w:val="24"/>
                <w:sz w:val="20"/>
                <w:szCs w:val="20"/>
              </w:rPr>
              <w:t>SFY 2021</w:t>
            </w:r>
          </w:p>
        </w:tc>
        <w:tc>
          <w:tcPr>
            <w:tcW w:w="405" w:type="pct"/>
            <w:tcBorders>
              <w:top w:val="single" w:sz="8" w:space="0" w:color="000000"/>
              <w:left w:val="single" w:sz="8" w:space="0" w:color="000000"/>
              <w:bottom w:val="single" w:sz="8" w:space="0" w:color="000000"/>
              <w:right w:val="single" w:sz="8" w:space="0" w:color="000000"/>
            </w:tcBorders>
            <w:shd w:val="clear" w:color="auto" w:fill="C6D9F1"/>
            <w:tcMar>
              <w:top w:w="13" w:type="dxa"/>
              <w:left w:w="93" w:type="dxa"/>
              <w:bottom w:w="0" w:type="dxa"/>
              <w:right w:w="93" w:type="dxa"/>
            </w:tcMar>
            <w:vAlign w:val="center"/>
            <w:hideMark/>
          </w:tcPr>
          <w:p w:rsidR="005F46C3" w:rsidRPr="00CA0AE3" w:rsidRDefault="005F46C3" w:rsidP="005F46C3">
            <w:pPr>
              <w:spacing w:after="0" w:line="240" w:lineRule="auto"/>
              <w:jc w:val="center"/>
              <w:rPr>
                <w:rFonts w:eastAsia="Times New Roman"/>
                <w:kern w:val="24"/>
                <w:sz w:val="20"/>
                <w:szCs w:val="20"/>
              </w:rPr>
            </w:pPr>
            <w:r w:rsidRPr="00CA0AE3">
              <w:rPr>
                <w:rFonts w:eastAsia="Times New Roman"/>
                <w:b/>
                <w:bCs/>
                <w:kern w:val="24"/>
                <w:sz w:val="20"/>
                <w:szCs w:val="20"/>
              </w:rPr>
              <w:t>Year 5</w:t>
            </w:r>
          </w:p>
          <w:p w:rsidR="005F46C3" w:rsidRPr="00CA0AE3" w:rsidRDefault="005F46C3" w:rsidP="005F46C3">
            <w:pPr>
              <w:spacing w:after="0" w:line="240" w:lineRule="auto"/>
              <w:jc w:val="center"/>
              <w:rPr>
                <w:rFonts w:eastAsia="Times New Roman"/>
                <w:sz w:val="20"/>
                <w:szCs w:val="20"/>
              </w:rPr>
            </w:pPr>
            <w:r w:rsidRPr="00CA0AE3">
              <w:rPr>
                <w:rFonts w:eastAsia="Times New Roman"/>
                <w:kern w:val="24"/>
                <w:sz w:val="20"/>
                <w:szCs w:val="20"/>
              </w:rPr>
              <w:t>SFY 2022</w:t>
            </w:r>
          </w:p>
        </w:tc>
        <w:tc>
          <w:tcPr>
            <w:tcW w:w="780" w:type="pct"/>
            <w:tcBorders>
              <w:top w:val="single" w:sz="8" w:space="0" w:color="000000"/>
              <w:left w:val="single" w:sz="8" w:space="0" w:color="000000"/>
              <w:bottom w:val="single" w:sz="8" w:space="0" w:color="000000"/>
              <w:right w:val="single" w:sz="8" w:space="0" w:color="000000"/>
            </w:tcBorders>
            <w:shd w:val="clear" w:color="auto" w:fill="C6D9F1"/>
            <w:vAlign w:val="center"/>
          </w:tcPr>
          <w:p w:rsidR="005F46C3" w:rsidRPr="00CA0AE3" w:rsidRDefault="005F46C3" w:rsidP="005F46C3">
            <w:pPr>
              <w:spacing w:after="0" w:line="240" w:lineRule="auto"/>
              <w:jc w:val="center"/>
              <w:rPr>
                <w:rFonts w:eastAsia="Times New Roman"/>
                <w:b/>
                <w:bCs/>
                <w:kern w:val="24"/>
                <w:sz w:val="20"/>
                <w:szCs w:val="20"/>
              </w:rPr>
            </w:pPr>
            <w:r w:rsidRPr="00CA0AE3">
              <w:rPr>
                <w:rFonts w:eastAsia="Times New Roman"/>
                <w:b/>
                <w:bCs/>
                <w:kern w:val="24"/>
                <w:sz w:val="20"/>
                <w:szCs w:val="20"/>
              </w:rPr>
              <w:t>Rationale for Improvement Target</w:t>
            </w:r>
          </w:p>
        </w:tc>
      </w:tr>
      <w:tr w:rsidR="00E62662" w:rsidRPr="00CA0AE3" w:rsidTr="005011EC">
        <w:trPr>
          <w:cantSplit/>
        </w:trPr>
        <w:tc>
          <w:tcPr>
            <w:tcW w:w="118" w:type="pct"/>
            <w:tcBorders>
              <w:top w:val="single" w:sz="8" w:space="0" w:color="000000"/>
              <w:left w:val="single" w:sz="8" w:space="0" w:color="000000"/>
              <w:bottom w:val="single" w:sz="8" w:space="0" w:color="000000"/>
              <w:right w:val="single" w:sz="8" w:space="0" w:color="000000"/>
            </w:tcBorders>
            <w:shd w:val="clear" w:color="auto" w:fill="auto"/>
            <w:vAlign w:val="center"/>
          </w:tcPr>
          <w:p w:rsidR="005F46C3" w:rsidRPr="00CA0AE3" w:rsidRDefault="005F46C3" w:rsidP="005F46C3">
            <w:pPr>
              <w:spacing w:after="0" w:line="240" w:lineRule="auto"/>
              <w:jc w:val="center"/>
              <w:rPr>
                <w:rFonts w:eastAsia="Times New Roman"/>
                <w:bCs/>
                <w:kern w:val="24"/>
                <w:sz w:val="16"/>
                <w:szCs w:val="16"/>
              </w:rPr>
            </w:pPr>
            <w:r w:rsidRPr="00CA0AE3">
              <w:rPr>
                <w:rFonts w:eastAsia="Times New Roman"/>
                <w:bCs/>
                <w:kern w:val="24"/>
                <w:sz w:val="16"/>
                <w:szCs w:val="16"/>
              </w:rPr>
              <w:t>1</w:t>
            </w:r>
          </w:p>
        </w:tc>
        <w:tc>
          <w:tcPr>
            <w:tcW w:w="662" w:type="pct"/>
            <w:tcBorders>
              <w:top w:val="single" w:sz="8" w:space="0" w:color="auto"/>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5F46C3" w:rsidRPr="00CA0AE3" w:rsidRDefault="005F46C3" w:rsidP="003B0371">
            <w:pPr>
              <w:spacing w:after="0" w:line="240" w:lineRule="auto"/>
              <w:rPr>
                <w:rFonts w:eastAsia="Cambria"/>
                <w:bCs/>
                <w:sz w:val="16"/>
                <w:szCs w:val="16"/>
              </w:rPr>
            </w:pPr>
            <w:r w:rsidRPr="00CA0AE3">
              <w:rPr>
                <w:rFonts w:eastAsia="Cambria"/>
                <w:bCs/>
                <w:sz w:val="16"/>
                <w:szCs w:val="16"/>
              </w:rPr>
              <w:t>Controlling high blood pressure for people with serious mental illness (for BH Home population)</w:t>
            </w:r>
          </w:p>
        </w:tc>
        <w:tc>
          <w:tcPr>
            <w:tcW w:w="370"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5F46C3" w:rsidRPr="00CA0AE3" w:rsidRDefault="005F46C3" w:rsidP="005F46C3">
            <w:pPr>
              <w:spacing w:after="0" w:line="240" w:lineRule="auto"/>
              <w:jc w:val="center"/>
              <w:rPr>
                <w:rFonts w:eastAsia="Cambria"/>
                <w:bCs/>
                <w:sz w:val="16"/>
                <w:szCs w:val="16"/>
              </w:rPr>
            </w:pPr>
            <w:r w:rsidRPr="00CA0AE3">
              <w:rPr>
                <w:rFonts w:eastAsia="Cambria"/>
                <w:bCs/>
                <w:sz w:val="16"/>
                <w:szCs w:val="16"/>
              </w:rPr>
              <w:t>NQF 2602</w:t>
            </w:r>
          </w:p>
        </w:tc>
        <w:tc>
          <w:tcPr>
            <w:tcW w:w="540"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5F46C3" w:rsidRPr="00CA0AE3" w:rsidRDefault="005F46C3" w:rsidP="00B44BD0">
            <w:pPr>
              <w:spacing w:after="0" w:line="240" w:lineRule="auto"/>
              <w:jc w:val="center"/>
              <w:rPr>
                <w:rFonts w:eastAsia="Cambria"/>
                <w:bCs/>
                <w:sz w:val="16"/>
                <w:szCs w:val="16"/>
              </w:rPr>
            </w:pPr>
            <w:r w:rsidRPr="00CA0AE3">
              <w:rPr>
                <w:rFonts w:eastAsia="Cambria"/>
                <w:bCs/>
                <w:sz w:val="16"/>
                <w:szCs w:val="16"/>
              </w:rPr>
              <w:t>MA Medicaid (HEDIS) 201</w:t>
            </w:r>
            <w:r w:rsidR="00B44BD0" w:rsidRPr="00CA0AE3">
              <w:rPr>
                <w:rFonts w:eastAsia="Cambria"/>
                <w:bCs/>
                <w:sz w:val="16"/>
                <w:szCs w:val="16"/>
              </w:rPr>
              <w:t>5</w:t>
            </w:r>
            <w:r w:rsidRPr="00CA0AE3">
              <w:rPr>
                <w:rFonts w:eastAsia="Cambria"/>
                <w:bCs/>
                <w:sz w:val="16"/>
                <w:szCs w:val="16"/>
              </w:rPr>
              <w:t xml:space="preserve"> </w:t>
            </w:r>
            <w:r w:rsidR="00B44BD0" w:rsidRPr="00CA0AE3">
              <w:rPr>
                <w:rFonts w:eastAsia="Cambria"/>
                <w:bCs/>
                <w:sz w:val="16"/>
                <w:szCs w:val="16"/>
              </w:rPr>
              <w:t>75</w:t>
            </w:r>
            <w:r w:rsidRPr="00CA0AE3">
              <w:rPr>
                <w:rFonts w:eastAsia="Cambria"/>
                <w:bCs/>
                <w:sz w:val="16"/>
                <w:szCs w:val="16"/>
                <w:vertAlign w:val="superscript"/>
              </w:rPr>
              <w:t>th</w:t>
            </w:r>
            <w:r w:rsidRPr="00CA0AE3">
              <w:rPr>
                <w:rFonts w:eastAsia="Cambria"/>
                <w:bCs/>
                <w:sz w:val="16"/>
                <w:szCs w:val="16"/>
              </w:rPr>
              <w:t xml:space="preserve"> percentile: </w:t>
            </w:r>
            <w:r w:rsidR="00B44BD0" w:rsidRPr="00CA0AE3">
              <w:rPr>
                <w:rFonts w:eastAsia="Cambria"/>
                <w:bCs/>
                <w:sz w:val="16"/>
                <w:szCs w:val="16"/>
              </w:rPr>
              <w:t>65.09</w:t>
            </w:r>
            <w:r w:rsidRPr="00CA0AE3">
              <w:rPr>
                <w:rFonts w:eastAsia="Cambria"/>
                <w:bCs/>
                <w:sz w:val="16"/>
                <w:szCs w:val="16"/>
              </w:rPr>
              <w:t xml:space="preserve">% </w:t>
            </w:r>
            <w:r w:rsidR="00B44BD0" w:rsidRPr="00CA0AE3">
              <w:rPr>
                <w:rFonts w:eastAsia="Cambria"/>
                <w:bCs/>
                <w:sz w:val="16"/>
                <w:szCs w:val="16"/>
              </w:rPr>
              <w:t>(proxy benchmark from NQF 0018 for overall population)</w:t>
            </w:r>
          </w:p>
        </w:tc>
        <w:tc>
          <w:tcPr>
            <w:tcW w:w="541"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5F46C3" w:rsidRPr="00CA0AE3" w:rsidRDefault="005F46C3" w:rsidP="005F46C3">
            <w:pPr>
              <w:spacing w:after="0" w:line="240" w:lineRule="auto"/>
              <w:jc w:val="center"/>
              <w:rPr>
                <w:rFonts w:eastAsia="Cambria"/>
                <w:bCs/>
                <w:sz w:val="16"/>
                <w:szCs w:val="16"/>
              </w:rPr>
            </w:pPr>
            <w:r w:rsidRPr="00CA0AE3">
              <w:rPr>
                <w:rFonts w:eastAsia="Cambria"/>
                <w:bCs/>
                <w:sz w:val="16"/>
                <w:szCs w:val="16"/>
              </w:rPr>
              <w:t>Gap to Goal (10%) or attainment at target</w:t>
            </w:r>
          </w:p>
        </w:tc>
        <w:tc>
          <w:tcPr>
            <w:tcW w:w="366"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5F46C3" w:rsidRPr="00CA0AE3" w:rsidRDefault="005F46C3" w:rsidP="005F46C3">
            <w:pPr>
              <w:spacing w:after="0" w:line="240" w:lineRule="auto"/>
              <w:jc w:val="center"/>
              <w:rPr>
                <w:rFonts w:eastAsia="Times New Roman"/>
                <w:b/>
                <w:bCs/>
                <w:kern w:val="24"/>
                <w:sz w:val="16"/>
                <w:szCs w:val="16"/>
              </w:rPr>
            </w:pPr>
            <w:r w:rsidRPr="00CA0AE3">
              <w:rPr>
                <w:rFonts w:eastAsia="Times New Roman"/>
                <w:b/>
                <w:bCs/>
                <w:kern w:val="24"/>
                <w:sz w:val="16"/>
                <w:szCs w:val="16"/>
              </w:rPr>
              <w:t>O</w:t>
            </w:r>
          </w:p>
        </w:tc>
        <w:tc>
          <w:tcPr>
            <w:tcW w:w="409" w:type="pct"/>
            <w:gridSpan w:val="2"/>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5F46C3" w:rsidRPr="00CA0AE3" w:rsidRDefault="005F46C3" w:rsidP="005F46C3">
            <w:pPr>
              <w:spacing w:after="0" w:line="240" w:lineRule="auto"/>
              <w:jc w:val="center"/>
              <w:rPr>
                <w:rFonts w:eastAsia="Times New Roman"/>
                <w:b/>
                <w:bCs/>
                <w:kern w:val="24"/>
                <w:sz w:val="16"/>
                <w:szCs w:val="16"/>
              </w:rPr>
            </w:pPr>
            <w:r w:rsidRPr="00CA0AE3">
              <w:rPr>
                <w:rFonts w:eastAsia="Times New Roman"/>
                <w:b/>
                <w:bCs/>
                <w:kern w:val="24"/>
                <w:sz w:val="16"/>
                <w:szCs w:val="16"/>
              </w:rPr>
              <w:t>O</w:t>
            </w:r>
          </w:p>
        </w:tc>
        <w:tc>
          <w:tcPr>
            <w:tcW w:w="405"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5F46C3" w:rsidRPr="00CA0AE3" w:rsidRDefault="005F46C3" w:rsidP="005F46C3">
            <w:pPr>
              <w:spacing w:after="0" w:line="240" w:lineRule="auto"/>
              <w:jc w:val="center"/>
              <w:rPr>
                <w:rFonts w:eastAsia="Times New Roman"/>
                <w:b/>
                <w:bCs/>
                <w:kern w:val="24"/>
                <w:sz w:val="16"/>
                <w:szCs w:val="16"/>
              </w:rPr>
            </w:pPr>
            <w:r w:rsidRPr="00CA0AE3">
              <w:rPr>
                <w:rFonts w:eastAsia="Times New Roman"/>
                <w:b/>
                <w:bCs/>
                <w:kern w:val="24"/>
                <w:sz w:val="16"/>
                <w:szCs w:val="16"/>
              </w:rPr>
              <w:t>O</w:t>
            </w:r>
          </w:p>
        </w:tc>
        <w:tc>
          <w:tcPr>
            <w:tcW w:w="404"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5F46C3" w:rsidRPr="00CA0AE3" w:rsidRDefault="005F46C3" w:rsidP="005F46C3">
            <w:pPr>
              <w:spacing w:after="0" w:line="240" w:lineRule="auto"/>
              <w:jc w:val="center"/>
              <w:rPr>
                <w:rFonts w:eastAsia="Times New Roman"/>
                <w:b/>
                <w:bCs/>
                <w:kern w:val="24"/>
                <w:sz w:val="16"/>
                <w:szCs w:val="16"/>
              </w:rPr>
            </w:pPr>
            <w:r w:rsidRPr="00CA0AE3">
              <w:rPr>
                <w:rFonts w:eastAsia="Times New Roman"/>
                <w:b/>
                <w:bCs/>
                <w:kern w:val="24"/>
                <w:sz w:val="16"/>
                <w:szCs w:val="16"/>
              </w:rPr>
              <w:t>O</w:t>
            </w:r>
          </w:p>
        </w:tc>
        <w:tc>
          <w:tcPr>
            <w:tcW w:w="405"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5F46C3" w:rsidRPr="00CA0AE3" w:rsidRDefault="005F46C3" w:rsidP="005F46C3">
            <w:pPr>
              <w:spacing w:after="0" w:line="240" w:lineRule="auto"/>
              <w:jc w:val="center"/>
              <w:rPr>
                <w:rFonts w:eastAsia="Times New Roman"/>
                <w:b/>
                <w:sz w:val="16"/>
                <w:szCs w:val="16"/>
              </w:rPr>
            </w:pPr>
            <w:r w:rsidRPr="00CA0AE3">
              <w:rPr>
                <w:rFonts w:eastAsia="Times New Roman"/>
                <w:b/>
                <w:sz w:val="16"/>
                <w:szCs w:val="16"/>
              </w:rPr>
              <w:t>O</w:t>
            </w:r>
          </w:p>
        </w:tc>
        <w:tc>
          <w:tcPr>
            <w:tcW w:w="780" w:type="pct"/>
            <w:tcBorders>
              <w:top w:val="single" w:sz="8" w:space="0" w:color="000000"/>
              <w:left w:val="single" w:sz="8" w:space="0" w:color="000000"/>
              <w:bottom w:val="single" w:sz="8" w:space="0" w:color="000000"/>
              <w:right w:val="single" w:sz="8" w:space="0" w:color="000000"/>
            </w:tcBorders>
            <w:vAlign w:val="center"/>
          </w:tcPr>
          <w:p w:rsidR="005F46C3" w:rsidRPr="00CA0AE3" w:rsidRDefault="005F46C3" w:rsidP="005F46C3">
            <w:pPr>
              <w:spacing w:after="0" w:line="240" w:lineRule="auto"/>
              <w:rPr>
                <w:rFonts w:eastAsia="Cambria"/>
                <w:bCs/>
                <w:sz w:val="16"/>
                <w:szCs w:val="16"/>
              </w:rPr>
            </w:pPr>
            <w:r w:rsidRPr="00CA0AE3">
              <w:rPr>
                <w:rFonts w:eastAsia="Cambria"/>
                <w:bCs/>
                <w:sz w:val="16"/>
                <w:szCs w:val="16"/>
              </w:rPr>
              <w:t>Using related benchmark for NQF 0018 for overall population.</w:t>
            </w:r>
          </w:p>
        </w:tc>
      </w:tr>
      <w:tr w:rsidR="00E62662" w:rsidRPr="00CA0AE3" w:rsidTr="005011EC">
        <w:trPr>
          <w:cantSplit/>
        </w:trPr>
        <w:tc>
          <w:tcPr>
            <w:tcW w:w="118" w:type="pct"/>
            <w:tcBorders>
              <w:top w:val="single" w:sz="8" w:space="0" w:color="000000"/>
              <w:left w:val="single" w:sz="8" w:space="0" w:color="000000"/>
              <w:bottom w:val="single" w:sz="8" w:space="0" w:color="000000"/>
              <w:right w:val="single" w:sz="8" w:space="0" w:color="000000"/>
            </w:tcBorders>
            <w:shd w:val="clear" w:color="auto" w:fill="auto"/>
            <w:vAlign w:val="center"/>
          </w:tcPr>
          <w:p w:rsidR="005F46C3" w:rsidRPr="00CA0AE3" w:rsidRDefault="006374A3" w:rsidP="006374A3">
            <w:pPr>
              <w:spacing w:after="0" w:line="240" w:lineRule="auto"/>
              <w:jc w:val="center"/>
              <w:rPr>
                <w:rFonts w:eastAsia="Times New Roman"/>
                <w:bCs/>
                <w:kern w:val="24"/>
                <w:sz w:val="16"/>
                <w:szCs w:val="16"/>
              </w:rPr>
            </w:pPr>
            <w:r w:rsidRPr="00CA0AE3">
              <w:rPr>
                <w:rFonts w:eastAsia="Times New Roman"/>
                <w:bCs/>
                <w:kern w:val="24"/>
                <w:sz w:val="16"/>
                <w:szCs w:val="16"/>
              </w:rPr>
              <w:t>2</w:t>
            </w:r>
          </w:p>
        </w:tc>
        <w:tc>
          <w:tcPr>
            <w:tcW w:w="662"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5F46C3" w:rsidRPr="00CA0AE3" w:rsidRDefault="005F46C3" w:rsidP="003B0371">
            <w:pPr>
              <w:spacing w:after="0" w:line="240" w:lineRule="auto"/>
              <w:rPr>
                <w:rFonts w:eastAsia="Cambria"/>
                <w:bCs/>
                <w:sz w:val="16"/>
                <w:szCs w:val="16"/>
              </w:rPr>
            </w:pPr>
            <w:r w:rsidRPr="00CA0AE3">
              <w:rPr>
                <w:rFonts w:eastAsia="Cambria"/>
                <w:bCs/>
                <w:sz w:val="16"/>
                <w:szCs w:val="16"/>
              </w:rPr>
              <w:t>Proportion of patients with identified opioid use disorder accessing medication-assisted treatment (MAT)</w:t>
            </w:r>
          </w:p>
        </w:tc>
        <w:tc>
          <w:tcPr>
            <w:tcW w:w="370"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5F46C3" w:rsidRPr="00CA0AE3" w:rsidRDefault="005F46C3" w:rsidP="005F46C3">
            <w:pPr>
              <w:spacing w:after="0" w:line="240" w:lineRule="auto"/>
              <w:jc w:val="center"/>
              <w:rPr>
                <w:rFonts w:eastAsia="Cambria"/>
                <w:bCs/>
                <w:sz w:val="16"/>
                <w:szCs w:val="16"/>
              </w:rPr>
            </w:pPr>
            <w:r w:rsidRPr="00CA0AE3">
              <w:rPr>
                <w:rFonts w:eastAsia="Cambria"/>
                <w:bCs/>
                <w:sz w:val="16"/>
                <w:szCs w:val="16"/>
              </w:rPr>
              <w:t>N/A</w:t>
            </w:r>
          </w:p>
        </w:tc>
        <w:tc>
          <w:tcPr>
            <w:tcW w:w="540"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5F46C3" w:rsidRPr="00CA0AE3" w:rsidRDefault="005F46C3" w:rsidP="005F46C3">
            <w:pPr>
              <w:spacing w:after="0" w:line="240" w:lineRule="auto"/>
              <w:jc w:val="center"/>
              <w:rPr>
                <w:rFonts w:eastAsia="Cambria"/>
                <w:sz w:val="16"/>
                <w:szCs w:val="16"/>
              </w:rPr>
            </w:pPr>
            <w:r w:rsidRPr="00CA0AE3">
              <w:rPr>
                <w:rFonts w:eastAsia="Cambria"/>
                <w:sz w:val="16"/>
                <w:szCs w:val="16"/>
              </w:rPr>
              <w:t xml:space="preserve">No external benchmark; </w:t>
            </w:r>
            <w:r w:rsidRPr="00CA0AE3">
              <w:rPr>
                <w:rFonts w:eastAsia="Cambria"/>
                <w:bCs/>
                <w:sz w:val="16"/>
                <w:szCs w:val="16"/>
              </w:rPr>
              <w:t>Hospital target = 50.00%</w:t>
            </w:r>
          </w:p>
        </w:tc>
        <w:tc>
          <w:tcPr>
            <w:tcW w:w="541"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5F46C3" w:rsidRPr="00CA0AE3" w:rsidRDefault="005F46C3" w:rsidP="005F46C3">
            <w:pPr>
              <w:spacing w:after="0" w:line="240" w:lineRule="auto"/>
              <w:jc w:val="center"/>
              <w:rPr>
                <w:rFonts w:eastAsia="Cambria"/>
                <w:bCs/>
                <w:sz w:val="16"/>
                <w:szCs w:val="16"/>
              </w:rPr>
            </w:pPr>
            <w:r w:rsidRPr="00CA0AE3">
              <w:rPr>
                <w:rFonts w:eastAsia="Cambria"/>
                <w:bCs/>
                <w:sz w:val="16"/>
                <w:szCs w:val="16"/>
              </w:rPr>
              <w:t>Gap to Goal (10%) or attainment at target</w:t>
            </w:r>
          </w:p>
        </w:tc>
        <w:tc>
          <w:tcPr>
            <w:tcW w:w="366"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5F46C3" w:rsidRPr="00CA0AE3" w:rsidRDefault="005F46C3" w:rsidP="005F46C3">
            <w:pPr>
              <w:spacing w:after="0" w:line="240" w:lineRule="auto"/>
              <w:jc w:val="center"/>
              <w:rPr>
                <w:rFonts w:eastAsia="Times New Roman"/>
                <w:b/>
                <w:bCs/>
                <w:kern w:val="24"/>
                <w:sz w:val="16"/>
                <w:szCs w:val="16"/>
              </w:rPr>
            </w:pPr>
            <w:r w:rsidRPr="00CA0AE3">
              <w:rPr>
                <w:rFonts w:eastAsia="Times New Roman"/>
                <w:b/>
                <w:bCs/>
                <w:kern w:val="24"/>
                <w:sz w:val="16"/>
                <w:szCs w:val="16"/>
              </w:rPr>
              <w:t>B</w:t>
            </w:r>
          </w:p>
        </w:tc>
        <w:tc>
          <w:tcPr>
            <w:tcW w:w="409" w:type="pct"/>
            <w:gridSpan w:val="2"/>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5F46C3" w:rsidRPr="00CA0AE3" w:rsidRDefault="005F46C3" w:rsidP="005F46C3">
            <w:pPr>
              <w:spacing w:after="0" w:line="240" w:lineRule="auto"/>
              <w:jc w:val="center"/>
              <w:rPr>
                <w:rFonts w:eastAsia="Times New Roman"/>
                <w:b/>
                <w:bCs/>
                <w:kern w:val="24"/>
                <w:sz w:val="16"/>
                <w:szCs w:val="16"/>
              </w:rPr>
            </w:pPr>
            <w:r w:rsidRPr="00CA0AE3">
              <w:rPr>
                <w:rFonts w:eastAsia="Times New Roman"/>
                <w:b/>
                <w:bCs/>
                <w:kern w:val="24"/>
                <w:sz w:val="16"/>
                <w:szCs w:val="16"/>
              </w:rPr>
              <w:t>O</w:t>
            </w:r>
          </w:p>
        </w:tc>
        <w:tc>
          <w:tcPr>
            <w:tcW w:w="405"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5F46C3" w:rsidRPr="00CA0AE3" w:rsidRDefault="005F46C3" w:rsidP="005F46C3">
            <w:pPr>
              <w:spacing w:after="0" w:line="240" w:lineRule="auto"/>
              <w:jc w:val="center"/>
              <w:rPr>
                <w:rFonts w:eastAsia="Times New Roman"/>
                <w:b/>
                <w:bCs/>
                <w:kern w:val="24"/>
                <w:sz w:val="16"/>
                <w:szCs w:val="16"/>
              </w:rPr>
            </w:pPr>
            <w:r w:rsidRPr="00CA0AE3">
              <w:rPr>
                <w:rFonts w:eastAsia="Times New Roman"/>
                <w:b/>
                <w:bCs/>
                <w:kern w:val="24"/>
                <w:sz w:val="16"/>
                <w:szCs w:val="16"/>
              </w:rPr>
              <w:t>O</w:t>
            </w:r>
          </w:p>
        </w:tc>
        <w:tc>
          <w:tcPr>
            <w:tcW w:w="404"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5F46C3" w:rsidRPr="00CA0AE3" w:rsidRDefault="005F46C3" w:rsidP="005F46C3">
            <w:pPr>
              <w:spacing w:after="0" w:line="240" w:lineRule="auto"/>
              <w:jc w:val="center"/>
              <w:rPr>
                <w:rFonts w:eastAsia="Times New Roman"/>
                <w:b/>
                <w:bCs/>
                <w:kern w:val="24"/>
                <w:sz w:val="16"/>
                <w:szCs w:val="16"/>
              </w:rPr>
            </w:pPr>
            <w:r w:rsidRPr="00CA0AE3">
              <w:rPr>
                <w:rFonts w:eastAsia="Times New Roman"/>
                <w:b/>
                <w:bCs/>
                <w:kern w:val="24"/>
                <w:sz w:val="16"/>
                <w:szCs w:val="16"/>
              </w:rPr>
              <w:t>O</w:t>
            </w:r>
          </w:p>
        </w:tc>
        <w:tc>
          <w:tcPr>
            <w:tcW w:w="405"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5F46C3" w:rsidRPr="00CA0AE3" w:rsidRDefault="005F46C3" w:rsidP="005F46C3">
            <w:pPr>
              <w:spacing w:after="0" w:line="240" w:lineRule="auto"/>
              <w:jc w:val="center"/>
              <w:rPr>
                <w:rFonts w:eastAsia="Times New Roman"/>
                <w:b/>
                <w:bCs/>
                <w:kern w:val="24"/>
                <w:sz w:val="16"/>
                <w:szCs w:val="16"/>
              </w:rPr>
            </w:pPr>
            <w:r w:rsidRPr="00CA0AE3">
              <w:rPr>
                <w:rFonts w:eastAsia="Times New Roman"/>
                <w:b/>
                <w:bCs/>
                <w:kern w:val="24"/>
                <w:sz w:val="16"/>
                <w:szCs w:val="16"/>
              </w:rPr>
              <w:t>O</w:t>
            </w:r>
          </w:p>
        </w:tc>
        <w:tc>
          <w:tcPr>
            <w:tcW w:w="780" w:type="pct"/>
            <w:tcBorders>
              <w:top w:val="single" w:sz="8" w:space="0" w:color="000000"/>
              <w:left w:val="single" w:sz="8" w:space="0" w:color="000000"/>
              <w:bottom w:val="single" w:sz="8" w:space="0" w:color="000000"/>
              <w:right w:val="single" w:sz="8" w:space="0" w:color="000000"/>
            </w:tcBorders>
            <w:vAlign w:val="center"/>
          </w:tcPr>
          <w:p w:rsidR="005F46C3" w:rsidRPr="00CA0AE3" w:rsidRDefault="005F46C3" w:rsidP="005F46C3">
            <w:pPr>
              <w:spacing w:after="0" w:line="240" w:lineRule="auto"/>
              <w:rPr>
                <w:rFonts w:eastAsia="Cambria"/>
                <w:bCs/>
                <w:sz w:val="16"/>
                <w:szCs w:val="16"/>
              </w:rPr>
            </w:pPr>
            <w:r w:rsidRPr="00CA0AE3">
              <w:rPr>
                <w:rFonts w:eastAsia="Cambria"/>
                <w:bCs/>
                <w:sz w:val="16"/>
                <w:szCs w:val="16"/>
              </w:rPr>
              <w:t>Target of 50% informed by experience with patient engagement in opioid treatment</w:t>
            </w:r>
          </w:p>
        </w:tc>
      </w:tr>
      <w:tr w:rsidR="00E62662" w:rsidRPr="00CA0AE3" w:rsidTr="005011EC">
        <w:trPr>
          <w:cantSplit/>
        </w:trPr>
        <w:tc>
          <w:tcPr>
            <w:tcW w:w="118" w:type="pct"/>
            <w:tcBorders>
              <w:top w:val="single" w:sz="8" w:space="0" w:color="000000"/>
              <w:left w:val="single" w:sz="8" w:space="0" w:color="000000"/>
              <w:bottom w:val="single" w:sz="8" w:space="0" w:color="000000"/>
              <w:right w:val="single" w:sz="8" w:space="0" w:color="000000"/>
            </w:tcBorders>
            <w:shd w:val="clear" w:color="auto" w:fill="auto"/>
            <w:vAlign w:val="center"/>
          </w:tcPr>
          <w:p w:rsidR="005F46C3" w:rsidRPr="00CA0AE3" w:rsidRDefault="006374A3" w:rsidP="006374A3">
            <w:pPr>
              <w:spacing w:after="0" w:line="240" w:lineRule="auto"/>
              <w:jc w:val="center"/>
              <w:rPr>
                <w:rFonts w:eastAsia="Times New Roman"/>
                <w:bCs/>
                <w:kern w:val="24"/>
                <w:sz w:val="16"/>
                <w:szCs w:val="16"/>
              </w:rPr>
            </w:pPr>
            <w:r w:rsidRPr="00CA0AE3">
              <w:rPr>
                <w:rFonts w:eastAsia="Times New Roman"/>
                <w:bCs/>
                <w:kern w:val="24"/>
                <w:sz w:val="16"/>
                <w:szCs w:val="16"/>
              </w:rPr>
              <w:t>3</w:t>
            </w:r>
          </w:p>
        </w:tc>
        <w:tc>
          <w:tcPr>
            <w:tcW w:w="662"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5F46C3" w:rsidRPr="00CA0AE3" w:rsidRDefault="005F46C3" w:rsidP="003B0371">
            <w:pPr>
              <w:spacing w:after="0" w:line="240" w:lineRule="auto"/>
              <w:rPr>
                <w:rFonts w:eastAsia="Cambria"/>
                <w:bCs/>
                <w:sz w:val="16"/>
                <w:szCs w:val="16"/>
              </w:rPr>
            </w:pPr>
            <w:r w:rsidRPr="00CA0AE3">
              <w:rPr>
                <w:rFonts w:eastAsia="Cambria"/>
                <w:bCs/>
                <w:sz w:val="16"/>
                <w:szCs w:val="16"/>
              </w:rPr>
              <w:t>Hospitalized patients screened within 72 hours of admission using a validated screening tool for unhealthy alcohol use (all public hospital system inpatient psychiatric discharges, age 18 and above)</w:t>
            </w:r>
          </w:p>
        </w:tc>
        <w:tc>
          <w:tcPr>
            <w:tcW w:w="370"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5F46C3" w:rsidRPr="00CA0AE3" w:rsidRDefault="005F46C3" w:rsidP="005F46C3">
            <w:pPr>
              <w:spacing w:after="0" w:line="240" w:lineRule="auto"/>
              <w:jc w:val="center"/>
              <w:rPr>
                <w:rFonts w:eastAsia="Cambria"/>
                <w:bCs/>
                <w:sz w:val="16"/>
                <w:szCs w:val="16"/>
              </w:rPr>
            </w:pPr>
            <w:r w:rsidRPr="00CA0AE3">
              <w:rPr>
                <w:rFonts w:eastAsia="Cambria"/>
                <w:bCs/>
                <w:sz w:val="16"/>
                <w:szCs w:val="16"/>
              </w:rPr>
              <w:t>NQF 1661</w:t>
            </w:r>
          </w:p>
          <w:p w:rsidR="005F46C3" w:rsidRPr="00CA0AE3" w:rsidRDefault="005F46C3" w:rsidP="005F46C3">
            <w:pPr>
              <w:spacing w:after="0" w:line="240" w:lineRule="auto"/>
              <w:jc w:val="center"/>
              <w:rPr>
                <w:rFonts w:eastAsia="Cambria"/>
                <w:bCs/>
                <w:sz w:val="16"/>
                <w:szCs w:val="16"/>
              </w:rPr>
            </w:pPr>
            <w:r w:rsidRPr="00CA0AE3">
              <w:rPr>
                <w:rFonts w:eastAsia="Cambria"/>
                <w:bCs/>
                <w:sz w:val="16"/>
                <w:szCs w:val="16"/>
              </w:rPr>
              <w:t>SUB-1</w:t>
            </w:r>
          </w:p>
        </w:tc>
        <w:tc>
          <w:tcPr>
            <w:tcW w:w="540"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5F46C3" w:rsidRPr="00CA0AE3" w:rsidRDefault="005F46C3" w:rsidP="005F46C3">
            <w:pPr>
              <w:spacing w:after="0" w:line="240" w:lineRule="auto"/>
              <w:jc w:val="center"/>
              <w:rPr>
                <w:rFonts w:eastAsia="Cambria"/>
                <w:sz w:val="16"/>
                <w:szCs w:val="16"/>
              </w:rPr>
            </w:pPr>
            <w:r w:rsidRPr="00CA0AE3">
              <w:rPr>
                <w:rFonts w:eastAsia="Cambria"/>
                <w:sz w:val="16"/>
                <w:szCs w:val="16"/>
              </w:rPr>
              <w:t>Joint Commission (2014) 75</w:t>
            </w:r>
            <w:r w:rsidRPr="00CA0AE3">
              <w:rPr>
                <w:rFonts w:eastAsia="Cambria"/>
                <w:sz w:val="16"/>
                <w:szCs w:val="16"/>
                <w:vertAlign w:val="superscript"/>
              </w:rPr>
              <w:t>th</w:t>
            </w:r>
            <w:r w:rsidRPr="00CA0AE3">
              <w:rPr>
                <w:rFonts w:eastAsia="Cambria"/>
                <w:sz w:val="16"/>
                <w:szCs w:val="16"/>
              </w:rPr>
              <w:t xml:space="preserve">  percentile = 94.20%</w:t>
            </w:r>
          </w:p>
        </w:tc>
        <w:tc>
          <w:tcPr>
            <w:tcW w:w="541"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5F46C3" w:rsidRPr="00CA0AE3" w:rsidRDefault="005F46C3" w:rsidP="005F46C3">
            <w:pPr>
              <w:spacing w:after="0" w:line="240" w:lineRule="auto"/>
              <w:jc w:val="center"/>
              <w:rPr>
                <w:rFonts w:eastAsia="Cambria"/>
                <w:bCs/>
                <w:sz w:val="16"/>
                <w:szCs w:val="16"/>
              </w:rPr>
            </w:pPr>
            <w:r w:rsidRPr="00CA0AE3">
              <w:rPr>
                <w:rFonts w:eastAsia="Cambria"/>
                <w:bCs/>
                <w:sz w:val="16"/>
                <w:szCs w:val="16"/>
              </w:rPr>
              <w:t>Gap to Goal (10%) or attainment at target</w:t>
            </w:r>
          </w:p>
        </w:tc>
        <w:tc>
          <w:tcPr>
            <w:tcW w:w="366"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5F46C3" w:rsidRPr="00CA0AE3" w:rsidRDefault="005F46C3" w:rsidP="005F46C3">
            <w:pPr>
              <w:spacing w:after="0" w:line="240" w:lineRule="auto"/>
              <w:jc w:val="center"/>
              <w:rPr>
                <w:rFonts w:eastAsia="Times New Roman"/>
                <w:b/>
                <w:bCs/>
                <w:kern w:val="24"/>
                <w:sz w:val="16"/>
                <w:szCs w:val="16"/>
              </w:rPr>
            </w:pPr>
            <w:r w:rsidRPr="00CA0AE3">
              <w:rPr>
                <w:rFonts w:eastAsia="Times New Roman"/>
                <w:b/>
                <w:bCs/>
                <w:kern w:val="24"/>
                <w:sz w:val="16"/>
                <w:szCs w:val="16"/>
              </w:rPr>
              <w:t>O</w:t>
            </w:r>
          </w:p>
          <w:p w:rsidR="005F46C3" w:rsidRPr="00CA0AE3" w:rsidRDefault="005F46C3" w:rsidP="005F46C3">
            <w:pPr>
              <w:spacing w:after="0" w:line="240" w:lineRule="auto"/>
              <w:jc w:val="center"/>
              <w:rPr>
                <w:rFonts w:eastAsia="Times New Roman"/>
                <w:bCs/>
                <w:kern w:val="24"/>
                <w:sz w:val="16"/>
                <w:szCs w:val="16"/>
              </w:rPr>
            </w:pPr>
            <w:r w:rsidRPr="00CA0AE3">
              <w:rPr>
                <w:rFonts w:eastAsia="Times New Roman"/>
                <w:bCs/>
                <w:kern w:val="24"/>
                <w:sz w:val="16"/>
                <w:szCs w:val="16"/>
              </w:rPr>
              <w:t>(CY2017)</w:t>
            </w:r>
          </w:p>
        </w:tc>
        <w:tc>
          <w:tcPr>
            <w:tcW w:w="409" w:type="pct"/>
            <w:gridSpan w:val="2"/>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5F46C3" w:rsidRPr="00CA0AE3" w:rsidRDefault="005F46C3" w:rsidP="005F46C3">
            <w:pPr>
              <w:spacing w:after="0" w:line="240" w:lineRule="auto"/>
              <w:jc w:val="center"/>
              <w:rPr>
                <w:rFonts w:eastAsia="Times New Roman"/>
                <w:b/>
                <w:bCs/>
                <w:kern w:val="24"/>
                <w:sz w:val="16"/>
                <w:szCs w:val="16"/>
              </w:rPr>
            </w:pPr>
            <w:r w:rsidRPr="00CA0AE3">
              <w:rPr>
                <w:rFonts w:eastAsia="Times New Roman"/>
                <w:b/>
                <w:bCs/>
                <w:kern w:val="24"/>
                <w:sz w:val="16"/>
                <w:szCs w:val="16"/>
              </w:rPr>
              <w:t>O</w:t>
            </w:r>
          </w:p>
          <w:p w:rsidR="005F46C3" w:rsidRPr="00CA0AE3" w:rsidRDefault="005F46C3" w:rsidP="005F46C3">
            <w:pPr>
              <w:spacing w:after="0" w:line="240" w:lineRule="auto"/>
              <w:jc w:val="center"/>
              <w:rPr>
                <w:rFonts w:eastAsia="Times New Roman"/>
                <w:bCs/>
                <w:kern w:val="24"/>
                <w:sz w:val="16"/>
                <w:szCs w:val="16"/>
              </w:rPr>
            </w:pPr>
            <w:r w:rsidRPr="00CA0AE3">
              <w:rPr>
                <w:rFonts w:eastAsia="Times New Roman"/>
                <w:bCs/>
                <w:kern w:val="24"/>
                <w:sz w:val="16"/>
                <w:szCs w:val="16"/>
              </w:rPr>
              <w:t>(CY2018)</w:t>
            </w:r>
          </w:p>
        </w:tc>
        <w:tc>
          <w:tcPr>
            <w:tcW w:w="405"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5F46C3" w:rsidRPr="00CA0AE3" w:rsidRDefault="005F46C3" w:rsidP="005F46C3">
            <w:pPr>
              <w:spacing w:after="0" w:line="240" w:lineRule="auto"/>
              <w:jc w:val="center"/>
              <w:rPr>
                <w:rFonts w:eastAsia="Times New Roman"/>
                <w:bCs/>
                <w:kern w:val="24"/>
                <w:sz w:val="16"/>
                <w:szCs w:val="16"/>
              </w:rPr>
            </w:pPr>
            <w:r w:rsidRPr="00CA0AE3">
              <w:rPr>
                <w:rFonts w:eastAsia="Times New Roman"/>
                <w:b/>
                <w:bCs/>
                <w:kern w:val="24"/>
                <w:sz w:val="16"/>
                <w:szCs w:val="16"/>
              </w:rPr>
              <w:t>O</w:t>
            </w:r>
          </w:p>
          <w:p w:rsidR="005F46C3" w:rsidRPr="00CA0AE3" w:rsidRDefault="005F46C3" w:rsidP="005F46C3">
            <w:pPr>
              <w:spacing w:after="0" w:line="240" w:lineRule="auto"/>
              <w:jc w:val="center"/>
              <w:rPr>
                <w:rFonts w:eastAsia="Times New Roman"/>
                <w:bCs/>
                <w:kern w:val="24"/>
                <w:sz w:val="16"/>
                <w:szCs w:val="16"/>
              </w:rPr>
            </w:pPr>
            <w:r w:rsidRPr="00CA0AE3">
              <w:rPr>
                <w:rFonts w:eastAsia="Times New Roman"/>
                <w:bCs/>
                <w:kern w:val="24"/>
                <w:sz w:val="16"/>
                <w:szCs w:val="16"/>
              </w:rPr>
              <w:t>(CY2019)</w:t>
            </w:r>
          </w:p>
        </w:tc>
        <w:tc>
          <w:tcPr>
            <w:tcW w:w="404"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5F46C3" w:rsidRPr="00CA0AE3" w:rsidRDefault="005F46C3" w:rsidP="005F46C3">
            <w:pPr>
              <w:spacing w:after="0" w:line="240" w:lineRule="auto"/>
              <w:jc w:val="center"/>
              <w:rPr>
                <w:rFonts w:eastAsia="Times New Roman"/>
                <w:bCs/>
                <w:kern w:val="24"/>
                <w:sz w:val="16"/>
                <w:szCs w:val="16"/>
              </w:rPr>
            </w:pPr>
            <w:r w:rsidRPr="00CA0AE3">
              <w:rPr>
                <w:rFonts w:eastAsia="Times New Roman"/>
                <w:b/>
                <w:bCs/>
                <w:kern w:val="24"/>
                <w:sz w:val="16"/>
                <w:szCs w:val="16"/>
              </w:rPr>
              <w:t>O</w:t>
            </w:r>
          </w:p>
          <w:p w:rsidR="005F46C3" w:rsidRPr="00CA0AE3" w:rsidRDefault="005F46C3" w:rsidP="005F46C3">
            <w:pPr>
              <w:spacing w:after="0" w:line="240" w:lineRule="auto"/>
              <w:jc w:val="center"/>
              <w:rPr>
                <w:rFonts w:eastAsia="Times New Roman"/>
                <w:bCs/>
                <w:kern w:val="24"/>
                <w:sz w:val="16"/>
                <w:szCs w:val="16"/>
              </w:rPr>
            </w:pPr>
            <w:r w:rsidRPr="00CA0AE3">
              <w:rPr>
                <w:rFonts w:eastAsia="Times New Roman"/>
                <w:bCs/>
                <w:kern w:val="24"/>
                <w:sz w:val="16"/>
                <w:szCs w:val="16"/>
              </w:rPr>
              <w:t>(CY2020)</w:t>
            </w:r>
          </w:p>
        </w:tc>
        <w:tc>
          <w:tcPr>
            <w:tcW w:w="405"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5F46C3" w:rsidRPr="00CA0AE3" w:rsidRDefault="005F46C3" w:rsidP="005F46C3">
            <w:pPr>
              <w:spacing w:after="0" w:line="240" w:lineRule="auto"/>
              <w:jc w:val="center"/>
              <w:rPr>
                <w:rFonts w:eastAsia="Times New Roman"/>
                <w:b/>
                <w:sz w:val="16"/>
                <w:szCs w:val="16"/>
              </w:rPr>
            </w:pPr>
            <w:r w:rsidRPr="00CA0AE3">
              <w:rPr>
                <w:rFonts w:eastAsia="Times New Roman"/>
                <w:b/>
                <w:sz w:val="16"/>
                <w:szCs w:val="16"/>
              </w:rPr>
              <w:t>O</w:t>
            </w:r>
          </w:p>
          <w:p w:rsidR="005F46C3" w:rsidRPr="00CA0AE3" w:rsidRDefault="005F46C3" w:rsidP="005F46C3">
            <w:pPr>
              <w:spacing w:after="0" w:line="240" w:lineRule="auto"/>
              <w:jc w:val="center"/>
              <w:rPr>
                <w:rFonts w:eastAsia="Times New Roman"/>
                <w:sz w:val="16"/>
                <w:szCs w:val="16"/>
              </w:rPr>
            </w:pPr>
            <w:r w:rsidRPr="00CA0AE3">
              <w:rPr>
                <w:rFonts w:eastAsia="Times New Roman"/>
                <w:bCs/>
                <w:kern w:val="24"/>
                <w:sz w:val="16"/>
                <w:szCs w:val="16"/>
              </w:rPr>
              <w:t>(CY2021)</w:t>
            </w:r>
          </w:p>
        </w:tc>
        <w:tc>
          <w:tcPr>
            <w:tcW w:w="780" w:type="pct"/>
            <w:tcBorders>
              <w:top w:val="single" w:sz="8" w:space="0" w:color="000000"/>
              <w:left w:val="single" w:sz="8" w:space="0" w:color="000000"/>
              <w:bottom w:val="single" w:sz="8" w:space="0" w:color="000000"/>
              <w:right w:val="single" w:sz="8" w:space="0" w:color="000000"/>
            </w:tcBorders>
            <w:vAlign w:val="center"/>
          </w:tcPr>
          <w:p w:rsidR="005F46C3" w:rsidRPr="00CA0AE3" w:rsidRDefault="005F46C3" w:rsidP="005F46C3">
            <w:pPr>
              <w:spacing w:after="0" w:line="240" w:lineRule="auto"/>
              <w:rPr>
                <w:rFonts w:eastAsia="Cambria"/>
                <w:bCs/>
                <w:sz w:val="16"/>
                <w:szCs w:val="16"/>
              </w:rPr>
            </w:pPr>
          </w:p>
          <w:p w:rsidR="005F46C3" w:rsidRPr="00CA0AE3" w:rsidRDefault="005F46C3" w:rsidP="005F46C3">
            <w:pPr>
              <w:spacing w:after="0" w:line="240" w:lineRule="auto"/>
              <w:rPr>
                <w:rFonts w:eastAsia="Cambria"/>
                <w:bCs/>
                <w:sz w:val="16"/>
                <w:szCs w:val="16"/>
              </w:rPr>
            </w:pPr>
            <w:r w:rsidRPr="00CA0AE3">
              <w:rPr>
                <w:rFonts w:eastAsia="Cambria"/>
                <w:bCs/>
                <w:sz w:val="16"/>
                <w:szCs w:val="16"/>
              </w:rPr>
              <w:t>Using Joint Commission benchmark for SUB-1</w:t>
            </w:r>
          </w:p>
        </w:tc>
      </w:tr>
      <w:tr w:rsidR="00E62662" w:rsidRPr="00CA0AE3" w:rsidTr="005011EC">
        <w:trPr>
          <w:cantSplit/>
        </w:trPr>
        <w:tc>
          <w:tcPr>
            <w:tcW w:w="118" w:type="pct"/>
            <w:tcBorders>
              <w:top w:val="single" w:sz="8" w:space="0" w:color="000000"/>
              <w:left w:val="single" w:sz="8" w:space="0" w:color="000000"/>
              <w:bottom w:val="single" w:sz="8" w:space="0" w:color="000000"/>
              <w:right w:val="single" w:sz="8" w:space="0" w:color="000000"/>
            </w:tcBorders>
            <w:shd w:val="clear" w:color="auto" w:fill="auto"/>
            <w:vAlign w:val="center"/>
          </w:tcPr>
          <w:p w:rsidR="005F46C3" w:rsidRPr="00CA0AE3" w:rsidRDefault="006374A3" w:rsidP="006374A3">
            <w:pPr>
              <w:spacing w:after="0" w:line="240" w:lineRule="auto"/>
              <w:jc w:val="center"/>
              <w:rPr>
                <w:rFonts w:eastAsia="Times New Roman"/>
                <w:bCs/>
                <w:kern w:val="24"/>
                <w:sz w:val="16"/>
                <w:szCs w:val="16"/>
              </w:rPr>
            </w:pPr>
            <w:r w:rsidRPr="00CA0AE3">
              <w:rPr>
                <w:rFonts w:eastAsia="Times New Roman"/>
                <w:bCs/>
                <w:kern w:val="24"/>
                <w:sz w:val="16"/>
                <w:szCs w:val="16"/>
              </w:rPr>
              <w:t>4</w:t>
            </w:r>
          </w:p>
        </w:tc>
        <w:tc>
          <w:tcPr>
            <w:tcW w:w="662"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5F46C3" w:rsidRPr="00CA0AE3" w:rsidRDefault="005F46C3" w:rsidP="003B0371">
            <w:pPr>
              <w:spacing w:after="0" w:line="240" w:lineRule="auto"/>
              <w:rPr>
                <w:rFonts w:eastAsia="Cambria"/>
                <w:bCs/>
                <w:sz w:val="16"/>
                <w:szCs w:val="16"/>
              </w:rPr>
            </w:pPr>
            <w:r w:rsidRPr="00CA0AE3">
              <w:rPr>
                <w:rFonts w:eastAsia="Cambria"/>
                <w:bCs/>
                <w:sz w:val="16"/>
                <w:szCs w:val="16"/>
              </w:rPr>
              <w:t>Alcohol use brief intervention provided or offered (during public hospital system psychiatric hospitalization, age 18 and above)</w:t>
            </w:r>
          </w:p>
        </w:tc>
        <w:tc>
          <w:tcPr>
            <w:tcW w:w="370"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5F46C3" w:rsidRPr="00CA0AE3" w:rsidRDefault="005F46C3" w:rsidP="003B0371">
            <w:pPr>
              <w:spacing w:after="0" w:line="240" w:lineRule="auto"/>
              <w:jc w:val="center"/>
              <w:rPr>
                <w:rFonts w:eastAsia="Cambria"/>
                <w:bCs/>
                <w:sz w:val="16"/>
                <w:szCs w:val="16"/>
              </w:rPr>
            </w:pPr>
            <w:r w:rsidRPr="00CA0AE3">
              <w:rPr>
                <w:rFonts w:eastAsia="Cambria"/>
                <w:bCs/>
                <w:sz w:val="16"/>
                <w:szCs w:val="16"/>
              </w:rPr>
              <w:t>NQF 1663</w:t>
            </w:r>
          </w:p>
          <w:p w:rsidR="005F46C3" w:rsidRPr="00CA0AE3" w:rsidRDefault="005F46C3" w:rsidP="003B0371">
            <w:pPr>
              <w:spacing w:after="0" w:line="240" w:lineRule="auto"/>
              <w:jc w:val="center"/>
              <w:rPr>
                <w:rFonts w:eastAsia="Cambria"/>
                <w:bCs/>
                <w:sz w:val="16"/>
                <w:szCs w:val="16"/>
              </w:rPr>
            </w:pPr>
            <w:r w:rsidRPr="00CA0AE3">
              <w:rPr>
                <w:rFonts w:eastAsia="Cambria"/>
                <w:bCs/>
                <w:sz w:val="16"/>
                <w:szCs w:val="16"/>
              </w:rPr>
              <w:t>SUB-2</w:t>
            </w:r>
          </w:p>
        </w:tc>
        <w:tc>
          <w:tcPr>
            <w:tcW w:w="540"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5F46C3" w:rsidRPr="00CA0AE3" w:rsidRDefault="005F46C3" w:rsidP="003B0371">
            <w:pPr>
              <w:spacing w:after="0" w:line="240" w:lineRule="auto"/>
              <w:jc w:val="center"/>
              <w:rPr>
                <w:rFonts w:eastAsia="Cambria"/>
                <w:sz w:val="16"/>
                <w:szCs w:val="16"/>
              </w:rPr>
            </w:pPr>
            <w:r w:rsidRPr="00CA0AE3">
              <w:rPr>
                <w:rFonts w:eastAsia="Cambria"/>
                <w:sz w:val="16"/>
                <w:szCs w:val="16"/>
              </w:rPr>
              <w:t>Joint Commission (2014) average = 48.20%</w:t>
            </w:r>
          </w:p>
        </w:tc>
        <w:tc>
          <w:tcPr>
            <w:tcW w:w="541"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5F46C3" w:rsidRPr="00CA0AE3" w:rsidRDefault="005F46C3" w:rsidP="003B0371">
            <w:pPr>
              <w:spacing w:after="0" w:line="240" w:lineRule="auto"/>
              <w:jc w:val="center"/>
              <w:rPr>
                <w:rFonts w:eastAsia="Cambria"/>
                <w:bCs/>
                <w:sz w:val="16"/>
                <w:szCs w:val="16"/>
              </w:rPr>
            </w:pPr>
            <w:r w:rsidRPr="00CA0AE3">
              <w:rPr>
                <w:rFonts w:eastAsia="Cambria"/>
                <w:bCs/>
                <w:sz w:val="16"/>
                <w:szCs w:val="16"/>
              </w:rPr>
              <w:t>Gap to Goal (10%) or attainment at target</w:t>
            </w:r>
          </w:p>
        </w:tc>
        <w:tc>
          <w:tcPr>
            <w:tcW w:w="370" w:type="pct"/>
            <w:gridSpan w:val="2"/>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5F46C3" w:rsidRPr="00CA0AE3" w:rsidRDefault="005F46C3" w:rsidP="003B0371">
            <w:pPr>
              <w:spacing w:after="0" w:line="240" w:lineRule="auto"/>
              <w:jc w:val="center"/>
              <w:rPr>
                <w:rFonts w:eastAsia="Times New Roman"/>
                <w:b/>
                <w:bCs/>
                <w:kern w:val="24"/>
                <w:sz w:val="16"/>
                <w:szCs w:val="16"/>
              </w:rPr>
            </w:pPr>
            <w:r w:rsidRPr="00CA0AE3">
              <w:rPr>
                <w:rFonts w:eastAsia="Times New Roman"/>
                <w:b/>
                <w:bCs/>
                <w:kern w:val="24"/>
                <w:sz w:val="16"/>
                <w:szCs w:val="16"/>
              </w:rPr>
              <w:t>B</w:t>
            </w:r>
          </w:p>
          <w:p w:rsidR="005F46C3" w:rsidRPr="00CA0AE3" w:rsidRDefault="005F46C3" w:rsidP="003B0371">
            <w:pPr>
              <w:spacing w:after="0" w:line="240" w:lineRule="auto"/>
              <w:jc w:val="center"/>
              <w:rPr>
                <w:rFonts w:eastAsia="Times New Roman"/>
                <w:bCs/>
                <w:kern w:val="24"/>
                <w:sz w:val="16"/>
                <w:szCs w:val="16"/>
              </w:rPr>
            </w:pPr>
            <w:r w:rsidRPr="00CA0AE3">
              <w:rPr>
                <w:rFonts w:eastAsia="Times New Roman"/>
                <w:bCs/>
                <w:kern w:val="24"/>
                <w:sz w:val="16"/>
                <w:szCs w:val="16"/>
              </w:rPr>
              <w:t>(CY2017)</w:t>
            </w:r>
          </w:p>
        </w:tc>
        <w:tc>
          <w:tcPr>
            <w:tcW w:w="405"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5F46C3" w:rsidRPr="00CA0AE3" w:rsidRDefault="005F46C3" w:rsidP="003B0371">
            <w:pPr>
              <w:spacing w:after="0" w:line="240" w:lineRule="auto"/>
              <w:jc w:val="center"/>
              <w:rPr>
                <w:rFonts w:eastAsia="Times New Roman"/>
                <w:b/>
                <w:bCs/>
                <w:kern w:val="24"/>
                <w:sz w:val="16"/>
                <w:szCs w:val="16"/>
              </w:rPr>
            </w:pPr>
            <w:r w:rsidRPr="00CA0AE3">
              <w:rPr>
                <w:rFonts w:eastAsia="Times New Roman"/>
                <w:b/>
                <w:bCs/>
                <w:kern w:val="24"/>
                <w:sz w:val="16"/>
                <w:szCs w:val="16"/>
              </w:rPr>
              <w:t>O</w:t>
            </w:r>
          </w:p>
          <w:p w:rsidR="005F46C3" w:rsidRPr="00CA0AE3" w:rsidRDefault="005F46C3" w:rsidP="003B0371">
            <w:pPr>
              <w:spacing w:after="0" w:line="240" w:lineRule="auto"/>
              <w:jc w:val="center"/>
              <w:rPr>
                <w:rFonts w:eastAsia="Times New Roman"/>
                <w:bCs/>
                <w:kern w:val="24"/>
                <w:sz w:val="16"/>
                <w:szCs w:val="16"/>
              </w:rPr>
            </w:pPr>
            <w:r w:rsidRPr="00CA0AE3">
              <w:rPr>
                <w:rFonts w:eastAsia="Times New Roman"/>
                <w:bCs/>
                <w:kern w:val="24"/>
                <w:sz w:val="16"/>
                <w:szCs w:val="16"/>
              </w:rPr>
              <w:t>(CY2018)</w:t>
            </w:r>
          </w:p>
        </w:tc>
        <w:tc>
          <w:tcPr>
            <w:tcW w:w="405"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5F46C3" w:rsidRPr="00CA0AE3" w:rsidRDefault="005F46C3" w:rsidP="003B0371">
            <w:pPr>
              <w:spacing w:after="0" w:line="240" w:lineRule="auto"/>
              <w:jc w:val="center"/>
              <w:rPr>
                <w:rFonts w:eastAsia="Times New Roman"/>
                <w:bCs/>
                <w:kern w:val="24"/>
                <w:sz w:val="16"/>
                <w:szCs w:val="16"/>
              </w:rPr>
            </w:pPr>
            <w:r w:rsidRPr="00CA0AE3">
              <w:rPr>
                <w:rFonts w:eastAsia="Times New Roman"/>
                <w:b/>
                <w:bCs/>
                <w:kern w:val="24"/>
                <w:sz w:val="16"/>
                <w:szCs w:val="16"/>
              </w:rPr>
              <w:t>O</w:t>
            </w:r>
          </w:p>
          <w:p w:rsidR="005F46C3" w:rsidRPr="00CA0AE3" w:rsidRDefault="005F46C3" w:rsidP="003B0371">
            <w:pPr>
              <w:spacing w:after="0" w:line="240" w:lineRule="auto"/>
              <w:jc w:val="center"/>
              <w:rPr>
                <w:rFonts w:eastAsia="Times New Roman"/>
                <w:bCs/>
                <w:kern w:val="24"/>
                <w:sz w:val="16"/>
                <w:szCs w:val="16"/>
              </w:rPr>
            </w:pPr>
            <w:r w:rsidRPr="00CA0AE3">
              <w:rPr>
                <w:rFonts w:eastAsia="Times New Roman"/>
                <w:bCs/>
                <w:kern w:val="24"/>
                <w:sz w:val="16"/>
                <w:szCs w:val="16"/>
              </w:rPr>
              <w:t>(CY2019)</w:t>
            </w:r>
          </w:p>
        </w:tc>
        <w:tc>
          <w:tcPr>
            <w:tcW w:w="404"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5F46C3" w:rsidRPr="00CA0AE3" w:rsidRDefault="005F46C3" w:rsidP="003B0371">
            <w:pPr>
              <w:spacing w:after="0" w:line="240" w:lineRule="auto"/>
              <w:jc w:val="center"/>
              <w:rPr>
                <w:rFonts w:eastAsia="Times New Roman"/>
                <w:bCs/>
                <w:kern w:val="24"/>
                <w:sz w:val="16"/>
                <w:szCs w:val="16"/>
              </w:rPr>
            </w:pPr>
            <w:r w:rsidRPr="00CA0AE3">
              <w:rPr>
                <w:rFonts w:eastAsia="Times New Roman"/>
                <w:b/>
                <w:bCs/>
                <w:kern w:val="24"/>
                <w:sz w:val="16"/>
                <w:szCs w:val="16"/>
              </w:rPr>
              <w:t>O</w:t>
            </w:r>
          </w:p>
          <w:p w:rsidR="005F46C3" w:rsidRPr="00CA0AE3" w:rsidRDefault="005F46C3" w:rsidP="003B0371">
            <w:pPr>
              <w:spacing w:after="0" w:line="240" w:lineRule="auto"/>
              <w:jc w:val="center"/>
              <w:rPr>
                <w:rFonts w:eastAsia="Times New Roman"/>
                <w:bCs/>
                <w:kern w:val="24"/>
                <w:sz w:val="16"/>
                <w:szCs w:val="16"/>
              </w:rPr>
            </w:pPr>
            <w:r w:rsidRPr="00CA0AE3">
              <w:rPr>
                <w:rFonts w:eastAsia="Times New Roman"/>
                <w:bCs/>
                <w:kern w:val="24"/>
                <w:sz w:val="16"/>
                <w:szCs w:val="16"/>
              </w:rPr>
              <w:t>(CY2020)</w:t>
            </w:r>
          </w:p>
        </w:tc>
        <w:tc>
          <w:tcPr>
            <w:tcW w:w="405"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5F46C3" w:rsidRPr="00CA0AE3" w:rsidRDefault="005F46C3" w:rsidP="003B0371">
            <w:pPr>
              <w:spacing w:after="0" w:line="240" w:lineRule="auto"/>
              <w:jc w:val="center"/>
              <w:rPr>
                <w:rFonts w:eastAsia="Times New Roman"/>
                <w:b/>
                <w:sz w:val="16"/>
                <w:szCs w:val="16"/>
              </w:rPr>
            </w:pPr>
            <w:r w:rsidRPr="00CA0AE3">
              <w:rPr>
                <w:rFonts w:eastAsia="Times New Roman"/>
                <w:b/>
                <w:sz w:val="16"/>
                <w:szCs w:val="16"/>
              </w:rPr>
              <w:t>O</w:t>
            </w:r>
          </w:p>
          <w:p w:rsidR="005F46C3" w:rsidRPr="00CA0AE3" w:rsidRDefault="005F46C3" w:rsidP="003B0371">
            <w:pPr>
              <w:spacing w:after="0" w:line="240" w:lineRule="auto"/>
              <w:jc w:val="center"/>
              <w:rPr>
                <w:rFonts w:eastAsia="Times New Roman"/>
                <w:sz w:val="16"/>
                <w:szCs w:val="16"/>
              </w:rPr>
            </w:pPr>
            <w:r w:rsidRPr="00CA0AE3">
              <w:rPr>
                <w:rFonts w:eastAsia="Times New Roman"/>
                <w:bCs/>
                <w:kern w:val="24"/>
                <w:sz w:val="16"/>
                <w:szCs w:val="16"/>
              </w:rPr>
              <w:t>(CY2021)</w:t>
            </w:r>
          </w:p>
        </w:tc>
        <w:tc>
          <w:tcPr>
            <w:tcW w:w="780" w:type="pct"/>
            <w:tcBorders>
              <w:top w:val="single" w:sz="8" w:space="0" w:color="000000"/>
              <w:left w:val="single" w:sz="8" w:space="0" w:color="000000"/>
              <w:bottom w:val="single" w:sz="8" w:space="0" w:color="000000"/>
              <w:right w:val="single" w:sz="8" w:space="0" w:color="000000"/>
            </w:tcBorders>
            <w:vAlign w:val="center"/>
          </w:tcPr>
          <w:p w:rsidR="005F46C3" w:rsidRPr="00CA0AE3" w:rsidRDefault="005F46C3" w:rsidP="003B0371">
            <w:pPr>
              <w:spacing w:after="0" w:line="240" w:lineRule="auto"/>
              <w:rPr>
                <w:rFonts w:eastAsia="Cambria"/>
                <w:sz w:val="16"/>
                <w:szCs w:val="16"/>
              </w:rPr>
            </w:pPr>
            <w:r w:rsidRPr="00CA0AE3">
              <w:rPr>
                <w:rFonts w:eastAsia="Cambria"/>
                <w:bCs/>
                <w:sz w:val="16"/>
                <w:szCs w:val="16"/>
              </w:rPr>
              <w:t>New measure as of 1/1/16; using related benchmark for NQF 1663, which is a similar measure for all inpatient admissions</w:t>
            </w:r>
          </w:p>
        </w:tc>
      </w:tr>
      <w:tr w:rsidR="00E62662" w:rsidRPr="00CA0AE3" w:rsidTr="005011EC">
        <w:trPr>
          <w:cantSplit/>
        </w:trPr>
        <w:tc>
          <w:tcPr>
            <w:tcW w:w="118" w:type="pct"/>
            <w:tcBorders>
              <w:top w:val="single" w:sz="8" w:space="0" w:color="000000"/>
              <w:left w:val="single" w:sz="8" w:space="0" w:color="000000"/>
              <w:bottom w:val="single" w:sz="8" w:space="0" w:color="000000"/>
              <w:right w:val="single" w:sz="8" w:space="0" w:color="000000"/>
            </w:tcBorders>
            <w:shd w:val="clear" w:color="auto" w:fill="auto"/>
            <w:vAlign w:val="center"/>
          </w:tcPr>
          <w:p w:rsidR="005F46C3" w:rsidRPr="00CA0AE3" w:rsidRDefault="006374A3" w:rsidP="006374A3">
            <w:pPr>
              <w:spacing w:after="0" w:line="240" w:lineRule="auto"/>
              <w:jc w:val="center"/>
              <w:rPr>
                <w:rFonts w:eastAsia="Times New Roman"/>
                <w:bCs/>
                <w:kern w:val="24"/>
                <w:sz w:val="16"/>
                <w:szCs w:val="16"/>
              </w:rPr>
            </w:pPr>
            <w:r w:rsidRPr="00CA0AE3">
              <w:rPr>
                <w:rFonts w:eastAsia="Times New Roman"/>
                <w:bCs/>
                <w:kern w:val="24"/>
                <w:sz w:val="16"/>
                <w:szCs w:val="16"/>
              </w:rPr>
              <w:t>5</w:t>
            </w:r>
          </w:p>
        </w:tc>
        <w:tc>
          <w:tcPr>
            <w:tcW w:w="662"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5F46C3" w:rsidRPr="00CA0AE3" w:rsidRDefault="005F46C3" w:rsidP="003B0371">
            <w:pPr>
              <w:spacing w:after="0" w:line="240" w:lineRule="auto"/>
              <w:rPr>
                <w:rFonts w:eastAsia="Cambria"/>
                <w:bCs/>
                <w:sz w:val="16"/>
                <w:szCs w:val="16"/>
              </w:rPr>
            </w:pPr>
            <w:r w:rsidRPr="00CA0AE3">
              <w:rPr>
                <w:rFonts w:eastAsia="Cambria"/>
                <w:bCs/>
                <w:sz w:val="16"/>
                <w:szCs w:val="16"/>
              </w:rPr>
              <w:t xml:space="preserve">Follow-up after hospitalization for mental illness (for BH Home population) – </w:t>
            </w:r>
          </w:p>
          <w:p w:rsidR="005F46C3" w:rsidRPr="00CA0AE3" w:rsidRDefault="005F46C3" w:rsidP="003B0371">
            <w:pPr>
              <w:spacing w:after="0" w:line="240" w:lineRule="auto"/>
              <w:rPr>
                <w:rFonts w:eastAsia="Cambria"/>
                <w:bCs/>
                <w:sz w:val="16"/>
                <w:szCs w:val="16"/>
              </w:rPr>
            </w:pPr>
            <w:r w:rsidRPr="00CA0AE3">
              <w:rPr>
                <w:rFonts w:eastAsia="Cambria"/>
                <w:bCs/>
                <w:sz w:val="16"/>
                <w:szCs w:val="16"/>
              </w:rPr>
              <w:t>7 days for public hospital system hospitalizations</w:t>
            </w:r>
          </w:p>
        </w:tc>
        <w:tc>
          <w:tcPr>
            <w:tcW w:w="370"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5F46C3" w:rsidRPr="00CA0AE3" w:rsidRDefault="005F46C3" w:rsidP="003B0371">
            <w:pPr>
              <w:spacing w:after="0" w:line="240" w:lineRule="auto"/>
              <w:jc w:val="center"/>
              <w:rPr>
                <w:rFonts w:eastAsia="Cambria"/>
                <w:bCs/>
                <w:sz w:val="16"/>
                <w:szCs w:val="16"/>
              </w:rPr>
            </w:pPr>
            <w:r w:rsidRPr="00CA0AE3">
              <w:rPr>
                <w:rFonts w:eastAsia="Cambria"/>
                <w:bCs/>
                <w:sz w:val="16"/>
                <w:szCs w:val="16"/>
              </w:rPr>
              <w:t xml:space="preserve">NQF 0576 </w:t>
            </w:r>
          </w:p>
          <w:p w:rsidR="005F46C3" w:rsidRPr="00CA0AE3" w:rsidRDefault="005F46C3" w:rsidP="003B0371">
            <w:pPr>
              <w:spacing w:after="0" w:line="240" w:lineRule="auto"/>
              <w:jc w:val="center"/>
              <w:rPr>
                <w:rFonts w:eastAsia="Cambria"/>
                <w:bCs/>
                <w:sz w:val="16"/>
                <w:szCs w:val="16"/>
              </w:rPr>
            </w:pPr>
            <w:r w:rsidRPr="00CA0AE3">
              <w:rPr>
                <w:rFonts w:eastAsia="Cambria"/>
                <w:bCs/>
                <w:sz w:val="16"/>
                <w:szCs w:val="16"/>
              </w:rPr>
              <w:t>(7-day)</w:t>
            </w:r>
          </w:p>
          <w:p w:rsidR="005F46C3" w:rsidRPr="00CA0AE3" w:rsidRDefault="005F46C3" w:rsidP="003B0371">
            <w:pPr>
              <w:spacing w:after="0" w:line="240" w:lineRule="auto"/>
              <w:jc w:val="center"/>
              <w:rPr>
                <w:rFonts w:eastAsia="Cambria"/>
                <w:bCs/>
                <w:sz w:val="16"/>
                <w:szCs w:val="16"/>
              </w:rPr>
            </w:pPr>
          </w:p>
        </w:tc>
        <w:tc>
          <w:tcPr>
            <w:tcW w:w="540"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5F46C3" w:rsidRPr="00CA0AE3" w:rsidRDefault="005F46C3" w:rsidP="003B0371">
            <w:pPr>
              <w:spacing w:after="0" w:line="240" w:lineRule="auto"/>
              <w:jc w:val="center"/>
              <w:rPr>
                <w:rFonts w:eastAsia="Cambria"/>
                <w:sz w:val="16"/>
                <w:szCs w:val="16"/>
              </w:rPr>
            </w:pPr>
            <w:r w:rsidRPr="00CA0AE3">
              <w:rPr>
                <w:rFonts w:eastAsia="Cambria"/>
                <w:sz w:val="16"/>
                <w:szCs w:val="16"/>
              </w:rPr>
              <w:t>National (HEDIS)</w:t>
            </w:r>
          </w:p>
          <w:p w:rsidR="005F46C3" w:rsidRPr="00CA0AE3" w:rsidRDefault="005F46C3" w:rsidP="003B0371">
            <w:pPr>
              <w:spacing w:after="0" w:line="240" w:lineRule="auto"/>
              <w:jc w:val="center"/>
              <w:rPr>
                <w:rFonts w:eastAsia="Cambria"/>
                <w:sz w:val="16"/>
                <w:szCs w:val="16"/>
              </w:rPr>
            </w:pPr>
            <w:r w:rsidRPr="00CA0AE3">
              <w:rPr>
                <w:rFonts w:eastAsia="Cambria"/>
                <w:sz w:val="16"/>
                <w:szCs w:val="16"/>
              </w:rPr>
              <w:t>Medicaid 201</w:t>
            </w:r>
            <w:r w:rsidR="004B29D3" w:rsidRPr="00CA0AE3">
              <w:rPr>
                <w:rFonts w:eastAsia="Cambria"/>
                <w:sz w:val="16"/>
                <w:szCs w:val="16"/>
              </w:rPr>
              <w:t>5</w:t>
            </w:r>
          </w:p>
          <w:p w:rsidR="005F46C3" w:rsidRPr="00CA0AE3" w:rsidRDefault="005F46C3" w:rsidP="004B29D3">
            <w:pPr>
              <w:spacing w:after="0" w:line="240" w:lineRule="auto"/>
              <w:jc w:val="center"/>
              <w:rPr>
                <w:rFonts w:eastAsia="Cambria"/>
                <w:sz w:val="16"/>
                <w:szCs w:val="16"/>
              </w:rPr>
            </w:pPr>
            <w:r w:rsidRPr="00CA0AE3">
              <w:rPr>
                <w:rFonts w:eastAsia="Cambria"/>
                <w:sz w:val="16"/>
                <w:szCs w:val="16"/>
              </w:rPr>
              <w:t>90</w:t>
            </w:r>
            <w:r w:rsidRPr="00CA0AE3">
              <w:rPr>
                <w:rFonts w:eastAsia="Cambria"/>
                <w:sz w:val="16"/>
                <w:szCs w:val="16"/>
                <w:vertAlign w:val="superscript"/>
              </w:rPr>
              <w:t>th</w:t>
            </w:r>
            <w:r w:rsidRPr="00CA0AE3">
              <w:rPr>
                <w:rFonts w:eastAsia="Cambria"/>
                <w:sz w:val="16"/>
                <w:szCs w:val="16"/>
              </w:rPr>
              <w:t xml:space="preserve"> percentile = 63.</w:t>
            </w:r>
            <w:r w:rsidR="004B29D3" w:rsidRPr="00CA0AE3">
              <w:rPr>
                <w:rFonts w:eastAsia="Cambria"/>
                <w:sz w:val="16"/>
                <w:szCs w:val="16"/>
              </w:rPr>
              <w:t>85</w:t>
            </w:r>
            <w:r w:rsidRPr="00CA0AE3">
              <w:rPr>
                <w:rFonts w:eastAsia="Cambria"/>
                <w:sz w:val="16"/>
                <w:szCs w:val="16"/>
              </w:rPr>
              <w:t>%</w:t>
            </w:r>
          </w:p>
        </w:tc>
        <w:tc>
          <w:tcPr>
            <w:tcW w:w="541"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5F46C3" w:rsidRPr="00CA0AE3" w:rsidRDefault="005F46C3" w:rsidP="003B0371">
            <w:pPr>
              <w:spacing w:after="0" w:line="240" w:lineRule="auto"/>
              <w:jc w:val="center"/>
              <w:rPr>
                <w:rFonts w:eastAsia="Cambria"/>
                <w:bCs/>
                <w:sz w:val="16"/>
                <w:szCs w:val="16"/>
              </w:rPr>
            </w:pPr>
            <w:r w:rsidRPr="00CA0AE3">
              <w:rPr>
                <w:rFonts w:eastAsia="Cambria"/>
                <w:bCs/>
                <w:sz w:val="16"/>
                <w:szCs w:val="16"/>
              </w:rPr>
              <w:t xml:space="preserve">Gap to Goal (10%) or attainment at target </w:t>
            </w:r>
          </w:p>
        </w:tc>
        <w:tc>
          <w:tcPr>
            <w:tcW w:w="370" w:type="pct"/>
            <w:gridSpan w:val="2"/>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5F46C3" w:rsidRPr="00CA0AE3" w:rsidRDefault="005F46C3" w:rsidP="003B0371">
            <w:pPr>
              <w:spacing w:after="0" w:line="240" w:lineRule="auto"/>
              <w:jc w:val="center"/>
              <w:rPr>
                <w:rFonts w:eastAsia="Times New Roman"/>
                <w:b/>
                <w:bCs/>
                <w:kern w:val="24"/>
                <w:sz w:val="16"/>
                <w:szCs w:val="16"/>
              </w:rPr>
            </w:pPr>
            <w:r w:rsidRPr="00CA0AE3">
              <w:rPr>
                <w:rFonts w:eastAsia="Times New Roman"/>
                <w:b/>
                <w:bCs/>
                <w:kern w:val="24"/>
                <w:sz w:val="16"/>
                <w:szCs w:val="16"/>
              </w:rPr>
              <w:t>O</w:t>
            </w:r>
          </w:p>
        </w:tc>
        <w:tc>
          <w:tcPr>
            <w:tcW w:w="405"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5F46C3" w:rsidRPr="00CA0AE3" w:rsidRDefault="005F46C3" w:rsidP="003B0371">
            <w:pPr>
              <w:spacing w:after="0" w:line="240" w:lineRule="auto"/>
              <w:jc w:val="center"/>
              <w:rPr>
                <w:rFonts w:eastAsia="Times New Roman"/>
                <w:b/>
                <w:bCs/>
                <w:kern w:val="24"/>
                <w:sz w:val="16"/>
                <w:szCs w:val="16"/>
              </w:rPr>
            </w:pPr>
            <w:r w:rsidRPr="00CA0AE3">
              <w:rPr>
                <w:rFonts w:eastAsia="Times New Roman"/>
                <w:b/>
                <w:bCs/>
                <w:kern w:val="24"/>
                <w:sz w:val="16"/>
                <w:szCs w:val="16"/>
              </w:rPr>
              <w:t>O</w:t>
            </w:r>
          </w:p>
        </w:tc>
        <w:tc>
          <w:tcPr>
            <w:tcW w:w="405"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5F46C3" w:rsidRPr="00CA0AE3" w:rsidRDefault="005F46C3" w:rsidP="003B0371">
            <w:pPr>
              <w:spacing w:after="0" w:line="240" w:lineRule="auto"/>
              <w:jc w:val="center"/>
              <w:rPr>
                <w:rFonts w:eastAsia="Times New Roman"/>
                <w:b/>
                <w:bCs/>
                <w:kern w:val="24"/>
                <w:sz w:val="16"/>
                <w:szCs w:val="16"/>
              </w:rPr>
            </w:pPr>
            <w:r w:rsidRPr="00CA0AE3">
              <w:rPr>
                <w:rFonts w:eastAsia="Times New Roman"/>
                <w:b/>
                <w:bCs/>
                <w:kern w:val="24"/>
                <w:sz w:val="16"/>
                <w:szCs w:val="16"/>
              </w:rPr>
              <w:t>O</w:t>
            </w:r>
          </w:p>
        </w:tc>
        <w:tc>
          <w:tcPr>
            <w:tcW w:w="404"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5F46C3" w:rsidRPr="00CA0AE3" w:rsidRDefault="005F46C3" w:rsidP="003B0371">
            <w:pPr>
              <w:spacing w:after="0" w:line="240" w:lineRule="auto"/>
              <w:jc w:val="center"/>
              <w:rPr>
                <w:rFonts w:eastAsia="Times New Roman"/>
                <w:b/>
                <w:bCs/>
                <w:kern w:val="24"/>
                <w:sz w:val="16"/>
                <w:szCs w:val="16"/>
              </w:rPr>
            </w:pPr>
            <w:r w:rsidRPr="00CA0AE3">
              <w:rPr>
                <w:rFonts w:eastAsia="Times New Roman"/>
                <w:b/>
                <w:bCs/>
                <w:kern w:val="24"/>
                <w:sz w:val="16"/>
                <w:szCs w:val="16"/>
              </w:rPr>
              <w:t>O</w:t>
            </w:r>
          </w:p>
        </w:tc>
        <w:tc>
          <w:tcPr>
            <w:tcW w:w="405"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5F46C3" w:rsidRPr="00CA0AE3" w:rsidRDefault="005F46C3" w:rsidP="003B0371">
            <w:pPr>
              <w:spacing w:after="0" w:line="240" w:lineRule="auto"/>
              <w:jc w:val="center"/>
              <w:rPr>
                <w:rFonts w:eastAsia="Times New Roman"/>
                <w:b/>
                <w:sz w:val="16"/>
                <w:szCs w:val="16"/>
              </w:rPr>
            </w:pPr>
            <w:r w:rsidRPr="00CA0AE3">
              <w:rPr>
                <w:rFonts w:eastAsia="Times New Roman"/>
                <w:b/>
                <w:sz w:val="16"/>
                <w:szCs w:val="16"/>
              </w:rPr>
              <w:t>O</w:t>
            </w:r>
          </w:p>
        </w:tc>
        <w:tc>
          <w:tcPr>
            <w:tcW w:w="780" w:type="pct"/>
            <w:tcBorders>
              <w:top w:val="single" w:sz="8" w:space="0" w:color="000000"/>
              <w:left w:val="single" w:sz="8" w:space="0" w:color="000000"/>
              <w:bottom w:val="single" w:sz="8" w:space="0" w:color="000000"/>
              <w:right w:val="single" w:sz="8" w:space="0" w:color="000000"/>
            </w:tcBorders>
            <w:vAlign w:val="center"/>
          </w:tcPr>
          <w:p w:rsidR="005F46C3" w:rsidRPr="00CA0AE3" w:rsidRDefault="005F46C3" w:rsidP="003B0371">
            <w:pPr>
              <w:spacing w:after="0" w:line="240" w:lineRule="auto"/>
              <w:rPr>
                <w:rFonts w:eastAsia="Cambria"/>
                <w:sz w:val="16"/>
                <w:szCs w:val="16"/>
              </w:rPr>
            </w:pPr>
          </w:p>
        </w:tc>
      </w:tr>
      <w:tr w:rsidR="003B0371" w:rsidRPr="00CA0AE3" w:rsidTr="005011EC">
        <w:trPr>
          <w:cantSplit/>
        </w:trPr>
        <w:tc>
          <w:tcPr>
            <w:tcW w:w="118" w:type="pct"/>
            <w:tcBorders>
              <w:top w:val="single" w:sz="8" w:space="0" w:color="000000"/>
              <w:left w:val="single" w:sz="8" w:space="0" w:color="000000"/>
              <w:bottom w:val="single" w:sz="8" w:space="0" w:color="000000"/>
              <w:right w:val="single" w:sz="8" w:space="0" w:color="000000"/>
            </w:tcBorders>
            <w:shd w:val="clear" w:color="auto" w:fill="auto"/>
            <w:vAlign w:val="center"/>
          </w:tcPr>
          <w:p w:rsidR="003B0371" w:rsidRPr="00CA0AE3" w:rsidRDefault="006374A3" w:rsidP="006374A3">
            <w:pPr>
              <w:spacing w:after="0" w:line="240" w:lineRule="auto"/>
              <w:jc w:val="center"/>
              <w:rPr>
                <w:rFonts w:eastAsia="Times New Roman"/>
                <w:bCs/>
                <w:kern w:val="24"/>
                <w:sz w:val="16"/>
                <w:szCs w:val="16"/>
              </w:rPr>
            </w:pPr>
            <w:r w:rsidRPr="00CA0AE3">
              <w:rPr>
                <w:rFonts w:eastAsia="Times New Roman"/>
                <w:bCs/>
                <w:kern w:val="24"/>
                <w:sz w:val="16"/>
                <w:szCs w:val="16"/>
              </w:rPr>
              <w:lastRenderedPageBreak/>
              <w:t>6</w:t>
            </w:r>
          </w:p>
        </w:tc>
        <w:tc>
          <w:tcPr>
            <w:tcW w:w="662"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3B0371" w:rsidRPr="00CA0AE3" w:rsidRDefault="003B0371" w:rsidP="003B0371">
            <w:pPr>
              <w:spacing w:after="0" w:line="240" w:lineRule="auto"/>
              <w:rPr>
                <w:rFonts w:eastAsia="Cambria"/>
                <w:bCs/>
                <w:sz w:val="16"/>
                <w:szCs w:val="16"/>
              </w:rPr>
            </w:pPr>
            <w:r w:rsidRPr="00CA0AE3">
              <w:rPr>
                <w:rFonts w:eastAsia="Cambria"/>
                <w:bCs/>
                <w:sz w:val="16"/>
                <w:szCs w:val="16"/>
              </w:rPr>
              <w:t>Transition record with specified elements received by discharged patients(for public hospital system psychiatric hospitalizations)</w:t>
            </w:r>
          </w:p>
        </w:tc>
        <w:tc>
          <w:tcPr>
            <w:tcW w:w="370"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3B0371" w:rsidRPr="00CA0AE3" w:rsidRDefault="003B0371" w:rsidP="003B0371">
            <w:pPr>
              <w:spacing w:after="0" w:line="240" w:lineRule="auto"/>
              <w:jc w:val="center"/>
              <w:rPr>
                <w:rFonts w:eastAsia="Cambria"/>
                <w:bCs/>
                <w:sz w:val="16"/>
                <w:szCs w:val="16"/>
              </w:rPr>
            </w:pPr>
            <w:r w:rsidRPr="00CA0AE3">
              <w:rPr>
                <w:rFonts w:eastAsia="Cambria"/>
                <w:bCs/>
                <w:sz w:val="16"/>
                <w:szCs w:val="16"/>
              </w:rPr>
              <w:t>NQF 0647</w:t>
            </w:r>
          </w:p>
        </w:tc>
        <w:tc>
          <w:tcPr>
            <w:tcW w:w="540"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3B0371" w:rsidRPr="00CA0AE3" w:rsidRDefault="003B0371" w:rsidP="003B0371">
            <w:pPr>
              <w:spacing w:after="0" w:line="240" w:lineRule="auto"/>
              <w:jc w:val="center"/>
              <w:rPr>
                <w:rFonts w:eastAsia="Cambria"/>
                <w:sz w:val="16"/>
                <w:szCs w:val="16"/>
              </w:rPr>
            </w:pPr>
            <w:r w:rsidRPr="00CA0AE3">
              <w:rPr>
                <w:rFonts w:eastAsia="Cambria"/>
                <w:sz w:val="16"/>
                <w:szCs w:val="16"/>
              </w:rPr>
              <w:t>MA IPFQR-HBIPS 2014 average = 83.27%</w:t>
            </w:r>
          </w:p>
        </w:tc>
        <w:tc>
          <w:tcPr>
            <w:tcW w:w="541"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3B0371" w:rsidRPr="00CA0AE3" w:rsidRDefault="003B0371" w:rsidP="003B0371">
            <w:pPr>
              <w:spacing w:after="0" w:line="240" w:lineRule="auto"/>
              <w:jc w:val="center"/>
              <w:rPr>
                <w:rFonts w:eastAsia="Cambria"/>
                <w:bCs/>
                <w:sz w:val="16"/>
                <w:szCs w:val="16"/>
              </w:rPr>
            </w:pPr>
            <w:r w:rsidRPr="00CA0AE3">
              <w:rPr>
                <w:rFonts w:eastAsia="Cambria"/>
                <w:bCs/>
                <w:sz w:val="16"/>
                <w:szCs w:val="16"/>
              </w:rPr>
              <w:t>Gap to Goal (10%) or attainment at target</w:t>
            </w:r>
          </w:p>
        </w:tc>
        <w:tc>
          <w:tcPr>
            <w:tcW w:w="370" w:type="pct"/>
            <w:gridSpan w:val="2"/>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3B0371" w:rsidRPr="00CA0AE3" w:rsidRDefault="003B0371" w:rsidP="003B0371">
            <w:pPr>
              <w:spacing w:after="0" w:line="240" w:lineRule="auto"/>
              <w:jc w:val="center"/>
              <w:rPr>
                <w:rFonts w:eastAsia="Times New Roman"/>
                <w:b/>
                <w:bCs/>
                <w:kern w:val="24"/>
                <w:sz w:val="16"/>
                <w:szCs w:val="16"/>
              </w:rPr>
            </w:pPr>
            <w:r w:rsidRPr="00CA0AE3">
              <w:rPr>
                <w:rFonts w:eastAsia="Times New Roman"/>
                <w:b/>
                <w:bCs/>
                <w:kern w:val="24"/>
                <w:sz w:val="16"/>
                <w:szCs w:val="16"/>
              </w:rPr>
              <w:t>B</w:t>
            </w:r>
          </w:p>
          <w:p w:rsidR="003B0371" w:rsidRPr="00CA0AE3" w:rsidRDefault="003B0371" w:rsidP="003B0371">
            <w:pPr>
              <w:spacing w:after="0" w:line="240" w:lineRule="auto"/>
              <w:jc w:val="center"/>
              <w:rPr>
                <w:rFonts w:eastAsia="Times New Roman"/>
                <w:bCs/>
                <w:kern w:val="24"/>
                <w:sz w:val="16"/>
                <w:szCs w:val="16"/>
              </w:rPr>
            </w:pPr>
            <w:r w:rsidRPr="00CA0AE3">
              <w:rPr>
                <w:rFonts w:eastAsia="Times New Roman"/>
                <w:bCs/>
                <w:kern w:val="24"/>
                <w:sz w:val="16"/>
                <w:szCs w:val="16"/>
              </w:rPr>
              <w:t>(CY2017)</w:t>
            </w:r>
          </w:p>
        </w:tc>
        <w:tc>
          <w:tcPr>
            <w:tcW w:w="405"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3B0371" w:rsidRPr="00CA0AE3" w:rsidRDefault="003B0371" w:rsidP="003B0371">
            <w:pPr>
              <w:spacing w:after="0" w:line="240" w:lineRule="auto"/>
              <w:jc w:val="center"/>
              <w:rPr>
                <w:rFonts w:eastAsia="Times New Roman"/>
                <w:b/>
                <w:bCs/>
                <w:kern w:val="24"/>
                <w:sz w:val="16"/>
                <w:szCs w:val="16"/>
              </w:rPr>
            </w:pPr>
            <w:r w:rsidRPr="00CA0AE3">
              <w:rPr>
                <w:rFonts w:eastAsia="Times New Roman"/>
                <w:b/>
                <w:bCs/>
                <w:kern w:val="24"/>
                <w:sz w:val="16"/>
                <w:szCs w:val="16"/>
              </w:rPr>
              <w:t>O</w:t>
            </w:r>
          </w:p>
          <w:p w:rsidR="003B0371" w:rsidRPr="00CA0AE3" w:rsidRDefault="003B0371" w:rsidP="003B0371">
            <w:pPr>
              <w:spacing w:after="0" w:line="240" w:lineRule="auto"/>
              <w:jc w:val="center"/>
              <w:rPr>
                <w:rFonts w:eastAsia="Times New Roman"/>
                <w:bCs/>
                <w:kern w:val="24"/>
                <w:sz w:val="16"/>
                <w:szCs w:val="16"/>
              </w:rPr>
            </w:pPr>
            <w:r w:rsidRPr="00CA0AE3">
              <w:rPr>
                <w:rFonts w:eastAsia="Times New Roman"/>
                <w:bCs/>
                <w:kern w:val="24"/>
                <w:sz w:val="16"/>
                <w:szCs w:val="16"/>
              </w:rPr>
              <w:t>(CY2018)</w:t>
            </w:r>
          </w:p>
        </w:tc>
        <w:tc>
          <w:tcPr>
            <w:tcW w:w="405"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3B0371" w:rsidRPr="00CA0AE3" w:rsidRDefault="003B0371" w:rsidP="003B0371">
            <w:pPr>
              <w:spacing w:after="0" w:line="240" w:lineRule="auto"/>
              <w:jc w:val="center"/>
              <w:rPr>
                <w:rFonts w:eastAsia="Times New Roman"/>
                <w:b/>
                <w:bCs/>
                <w:kern w:val="24"/>
                <w:sz w:val="16"/>
                <w:szCs w:val="16"/>
              </w:rPr>
            </w:pPr>
            <w:r w:rsidRPr="00CA0AE3">
              <w:rPr>
                <w:rFonts w:eastAsia="Times New Roman"/>
                <w:b/>
                <w:bCs/>
                <w:kern w:val="24"/>
                <w:sz w:val="16"/>
                <w:szCs w:val="16"/>
              </w:rPr>
              <w:t>O</w:t>
            </w:r>
          </w:p>
          <w:p w:rsidR="003B0371" w:rsidRPr="00CA0AE3" w:rsidRDefault="003B0371" w:rsidP="003B0371">
            <w:pPr>
              <w:spacing w:after="0" w:line="240" w:lineRule="auto"/>
              <w:jc w:val="center"/>
              <w:rPr>
                <w:rFonts w:eastAsia="Times New Roman"/>
                <w:bCs/>
                <w:kern w:val="24"/>
                <w:sz w:val="16"/>
                <w:szCs w:val="16"/>
              </w:rPr>
            </w:pPr>
            <w:r w:rsidRPr="00CA0AE3">
              <w:rPr>
                <w:rFonts w:eastAsia="Times New Roman"/>
                <w:bCs/>
                <w:kern w:val="24"/>
                <w:sz w:val="16"/>
                <w:szCs w:val="16"/>
              </w:rPr>
              <w:t>(CY2019)</w:t>
            </w:r>
          </w:p>
        </w:tc>
        <w:tc>
          <w:tcPr>
            <w:tcW w:w="404"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3B0371" w:rsidRPr="00CA0AE3" w:rsidRDefault="003B0371" w:rsidP="003B0371">
            <w:pPr>
              <w:spacing w:after="0" w:line="240" w:lineRule="auto"/>
              <w:jc w:val="center"/>
              <w:rPr>
                <w:rFonts w:eastAsia="Times New Roman"/>
                <w:b/>
                <w:bCs/>
                <w:kern w:val="24"/>
                <w:sz w:val="16"/>
                <w:szCs w:val="16"/>
              </w:rPr>
            </w:pPr>
            <w:r w:rsidRPr="00CA0AE3">
              <w:rPr>
                <w:rFonts w:eastAsia="Times New Roman"/>
                <w:b/>
                <w:bCs/>
                <w:kern w:val="24"/>
                <w:sz w:val="16"/>
                <w:szCs w:val="16"/>
              </w:rPr>
              <w:t>O</w:t>
            </w:r>
          </w:p>
          <w:p w:rsidR="003B0371" w:rsidRPr="00CA0AE3" w:rsidRDefault="003B0371" w:rsidP="003B0371">
            <w:pPr>
              <w:spacing w:after="0" w:line="240" w:lineRule="auto"/>
              <w:jc w:val="center"/>
              <w:rPr>
                <w:rFonts w:eastAsia="Times New Roman"/>
                <w:bCs/>
                <w:kern w:val="24"/>
                <w:sz w:val="16"/>
                <w:szCs w:val="16"/>
              </w:rPr>
            </w:pPr>
            <w:r w:rsidRPr="00CA0AE3">
              <w:rPr>
                <w:rFonts w:eastAsia="Times New Roman"/>
                <w:bCs/>
                <w:kern w:val="24"/>
                <w:sz w:val="16"/>
                <w:szCs w:val="16"/>
              </w:rPr>
              <w:t>(CY2020)</w:t>
            </w:r>
          </w:p>
        </w:tc>
        <w:tc>
          <w:tcPr>
            <w:tcW w:w="405"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3B0371" w:rsidRPr="00CA0AE3" w:rsidRDefault="003B0371" w:rsidP="003B0371">
            <w:pPr>
              <w:spacing w:after="0" w:line="240" w:lineRule="auto"/>
              <w:jc w:val="center"/>
              <w:rPr>
                <w:rFonts w:eastAsia="Times New Roman"/>
                <w:b/>
                <w:sz w:val="16"/>
                <w:szCs w:val="16"/>
              </w:rPr>
            </w:pPr>
            <w:r w:rsidRPr="00CA0AE3">
              <w:rPr>
                <w:rFonts w:eastAsia="Times New Roman"/>
                <w:b/>
                <w:sz w:val="16"/>
                <w:szCs w:val="16"/>
              </w:rPr>
              <w:t>O</w:t>
            </w:r>
          </w:p>
          <w:p w:rsidR="003B0371" w:rsidRPr="00CA0AE3" w:rsidRDefault="003B0371" w:rsidP="003B0371">
            <w:pPr>
              <w:spacing w:after="0" w:line="240" w:lineRule="auto"/>
              <w:jc w:val="center"/>
              <w:rPr>
                <w:rFonts w:eastAsia="Times New Roman"/>
                <w:sz w:val="16"/>
                <w:szCs w:val="16"/>
              </w:rPr>
            </w:pPr>
            <w:r w:rsidRPr="00CA0AE3">
              <w:rPr>
                <w:rFonts w:eastAsia="Times New Roman"/>
                <w:sz w:val="16"/>
                <w:szCs w:val="16"/>
              </w:rPr>
              <w:t>(CY2021)</w:t>
            </w:r>
          </w:p>
        </w:tc>
        <w:tc>
          <w:tcPr>
            <w:tcW w:w="780" w:type="pct"/>
            <w:tcBorders>
              <w:top w:val="single" w:sz="8" w:space="0" w:color="000000"/>
              <w:left w:val="single" w:sz="8" w:space="0" w:color="000000"/>
              <w:bottom w:val="single" w:sz="8" w:space="0" w:color="000000"/>
              <w:right w:val="single" w:sz="8" w:space="0" w:color="000000"/>
            </w:tcBorders>
            <w:vAlign w:val="center"/>
          </w:tcPr>
          <w:p w:rsidR="003B0371" w:rsidRPr="00CA0AE3" w:rsidRDefault="003B0371" w:rsidP="003B0371">
            <w:pPr>
              <w:spacing w:after="0" w:line="240" w:lineRule="auto"/>
              <w:rPr>
                <w:rFonts w:eastAsia="Cambria"/>
                <w:sz w:val="16"/>
                <w:szCs w:val="16"/>
              </w:rPr>
            </w:pPr>
            <w:r w:rsidRPr="00CA0AE3">
              <w:rPr>
                <w:rFonts w:eastAsia="Cambria"/>
                <w:sz w:val="16"/>
                <w:szCs w:val="16"/>
              </w:rPr>
              <w:t>New IPFQR measure to be implemented 1/1/17; using related measure for NQF 0557, which is HBIPS-6 for creation of the transition continuing care plan</w:t>
            </w:r>
          </w:p>
        </w:tc>
      </w:tr>
      <w:tr w:rsidR="003B0371" w:rsidRPr="00CA0AE3" w:rsidTr="005011EC">
        <w:trPr>
          <w:cantSplit/>
        </w:trPr>
        <w:tc>
          <w:tcPr>
            <w:tcW w:w="118" w:type="pct"/>
            <w:tcBorders>
              <w:top w:val="single" w:sz="8" w:space="0" w:color="000000"/>
              <w:left w:val="single" w:sz="8" w:space="0" w:color="000000"/>
              <w:bottom w:val="single" w:sz="8" w:space="0" w:color="000000"/>
              <w:right w:val="single" w:sz="8" w:space="0" w:color="000000"/>
            </w:tcBorders>
            <w:shd w:val="clear" w:color="auto" w:fill="auto"/>
            <w:vAlign w:val="center"/>
          </w:tcPr>
          <w:p w:rsidR="003B0371" w:rsidRPr="00CA0AE3" w:rsidRDefault="006374A3" w:rsidP="006374A3">
            <w:pPr>
              <w:spacing w:after="0" w:line="240" w:lineRule="auto"/>
              <w:jc w:val="center"/>
              <w:rPr>
                <w:rFonts w:eastAsia="Times New Roman"/>
                <w:bCs/>
                <w:kern w:val="24"/>
                <w:sz w:val="16"/>
                <w:szCs w:val="16"/>
              </w:rPr>
            </w:pPr>
            <w:r w:rsidRPr="00CA0AE3">
              <w:rPr>
                <w:rFonts w:eastAsia="Times New Roman"/>
                <w:bCs/>
                <w:kern w:val="24"/>
                <w:sz w:val="16"/>
                <w:szCs w:val="16"/>
              </w:rPr>
              <w:t>7</w:t>
            </w:r>
          </w:p>
        </w:tc>
        <w:tc>
          <w:tcPr>
            <w:tcW w:w="662"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3B0371" w:rsidRPr="00CA0AE3" w:rsidRDefault="003B0371" w:rsidP="003B0371">
            <w:pPr>
              <w:spacing w:after="0" w:line="240" w:lineRule="auto"/>
              <w:rPr>
                <w:rFonts w:eastAsia="Cambria"/>
                <w:bCs/>
                <w:sz w:val="16"/>
                <w:szCs w:val="16"/>
              </w:rPr>
            </w:pPr>
            <w:r w:rsidRPr="00CA0AE3">
              <w:rPr>
                <w:rFonts w:eastAsia="Cambria"/>
                <w:bCs/>
                <w:sz w:val="16"/>
                <w:szCs w:val="16"/>
              </w:rPr>
              <w:t>Access to public hospital system ambulatory mental health care: Scheduled intakes within 14 days of referral (for in-network referrals)</w:t>
            </w:r>
          </w:p>
        </w:tc>
        <w:tc>
          <w:tcPr>
            <w:tcW w:w="370"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3B0371" w:rsidRPr="00CA0AE3" w:rsidRDefault="003B0371" w:rsidP="003B0371">
            <w:pPr>
              <w:spacing w:after="0" w:line="240" w:lineRule="auto"/>
              <w:jc w:val="center"/>
              <w:rPr>
                <w:rFonts w:eastAsia="Cambria"/>
                <w:bCs/>
                <w:sz w:val="16"/>
                <w:szCs w:val="16"/>
              </w:rPr>
            </w:pPr>
            <w:r w:rsidRPr="00CA0AE3">
              <w:rPr>
                <w:rFonts w:eastAsia="Cambria"/>
                <w:bCs/>
                <w:sz w:val="16"/>
                <w:szCs w:val="16"/>
              </w:rPr>
              <w:t>N/A</w:t>
            </w:r>
          </w:p>
        </w:tc>
        <w:tc>
          <w:tcPr>
            <w:tcW w:w="540"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3B0371" w:rsidRPr="00CA0AE3" w:rsidRDefault="003B0371" w:rsidP="003B0371">
            <w:pPr>
              <w:spacing w:after="0" w:line="240" w:lineRule="auto"/>
              <w:jc w:val="center"/>
              <w:rPr>
                <w:rFonts w:eastAsia="Cambria"/>
                <w:sz w:val="16"/>
                <w:szCs w:val="16"/>
              </w:rPr>
            </w:pPr>
            <w:r w:rsidRPr="00CA0AE3">
              <w:rPr>
                <w:rFonts w:eastAsia="Cambria"/>
                <w:sz w:val="16"/>
                <w:szCs w:val="16"/>
              </w:rPr>
              <w:t>National Medicaid (HEDIS) 2015 90th percentile = 48.10%</w:t>
            </w:r>
          </w:p>
        </w:tc>
        <w:tc>
          <w:tcPr>
            <w:tcW w:w="541"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3B0371" w:rsidRPr="00CA0AE3" w:rsidRDefault="003B0371" w:rsidP="003B0371">
            <w:pPr>
              <w:spacing w:after="0" w:line="240" w:lineRule="auto"/>
              <w:jc w:val="center"/>
              <w:rPr>
                <w:rFonts w:eastAsia="Cambria"/>
                <w:bCs/>
                <w:sz w:val="16"/>
                <w:szCs w:val="16"/>
              </w:rPr>
            </w:pPr>
            <w:r w:rsidRPr="00CA0AE3">
              <w:rPr>
                <w:rFonts w:eastAsia="Cambria"/>
                <w:bCs/>
                <w:sz w:val="16"/>
                <w:szCs w:val="16"/>
              </w:rPr>
              <w:t>Gap to Goal (10%) or attainment at target</w:t>
            </w:r>
          </w:p>
        </w:tc>
        <w:tc>
          <w:tcPr>
            <w:tcW w:w="370" w:type="pct"/>
            <w:gridSpan w:val="2"/>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3B0371" w:rsidRPr="00CA0AE3" w:rsidRDefault="003B0371" w:rsidP="003B0371">
            <w:pPr>
              <w:spacing w:after="0" w:line="240" w:lineRule="auto"/>
              <w:jc w:val="center"/>
              <w:rPr>
                <w:rFonts w:eastAsia="Times New Roman"/>
                <w:b/>
                <w:bCs/>
                <w:kern w:val="24"/>
                <w:sz w:val="16"/>
                <w:szCs w:val="16"/>
              </w:rPr>
            </w:pPr>
            <w:r w:rsidRPr="00CA0AE3">
              <w:rPr>
                <w:rFonts w:eastAsia="Times New Roman"/>
                <w:b/>
                <w:bCs/>
                <w:kern w:val="24"/>
                <w:sz w:val="16"/>
                <w:szCs w:val="16"/>
              </w:rPr>
              <w:t xml:space="preserve"> B</w:t>
            </w:r>
          </w:p>
        </w:tc>
        <w:tc>
          <w:tcPr>
            <w:tcW w:w="405"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3B0371" w:rsidRPr="00CA0AE3" w:rsidRDefault="003B0371" w:rsidP="003B0371">
            <w:pPr>
              <w:spacing w:after="0" w:line="240" w:lineRule="auto"/>
              <w:jc w:val="center"/>
              <w:rPr>
                <w:rFonts w:eastAsia="Times New Roman"/>
                <w:b/>
                <w:bCs/>
                <w:kern w:val="24"/>
                <w:sz w:val="16"/>
                <w:szCs w:val="16"/>
              </w:rPr>
            </w:pPr>
            <w:r w:rsidRPr="00CA0AE3">
              <w:rPr>
                <w:rFonts w:eastAsia="Times New Roman"/>
                <w:b/>
                <w:bCs/>
                <w:kern w:val="24"/>
                <w:sz w:val="16"/>
                <w:szCs w:val="16"/>
              </w:rPr>
              <w:t>O</w:t>
            </w:r>
          </w:p>
        </w:tc>
        <w:tc>
          <w:tcPr>
            <w:tcW w:w="405"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3B0371" w:rsidRPr="00CA0AE3" w:rsidRDefault="003B0371" w:rsidP="003B0371">
            <w:pPr>
              <w:spacing w:after="0" w:line="240" w:lineRule="auto"/>
              <w:jc w:val="center"/>
              <w:rPr>
                <w:rFonts w:eastAsia="Times New Roman"/>
                <w:b/>
                <w:bCs/>
                <w:kern w:val="24"/>
                <w:sz w:val="16"/>
                <w:szCs w:val="16"/>
              </w:rPr>
            </w:pPr>
            <w:r w:rsidRPr="00CA0AE3">
              <w:rPr>
                <w:rFonts w:eastAsia="Times New Roman"/>
                <w:b/>
                <w:bCs/>
                <w:kern w:val="24"/>
                <w:sz w:val="16"/>
                <w:szCs w:val="16"/>
              </w:rPr>
              <w:t>O</w:t>
            </w:r>
          </w:p>
        </w:tc>
        <w:tc>
          <w:tcPr>
            <w:tcW w:w="404"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3B0371" w:rsidRPr="00CA0AE3" w:rsidRDefault="003B0371" w:rsidP="003B0371">
            <w:pPr>
              <w:spacing w:after="0" w:line="240" w:lineRule="auto"/>
              <w:jc w:val="center"/>
              <w:rPr>
                <w:rFonts w:eastAsia="Times New Roman"/>
                <w:b/>
                <w:bCs/>
                <w:kern w:val="24"/>
                <w:sz w:val="16"/>
                <w:szCs w:val="16"/>
              </w:rPr>
            </w:pPr>
            <w:r w:rsidRPr="00CA0AE3">
              <w:rPr>
                <w:rFonts w:eastAsia="Times New Roman"/>
                <w:b/>
                <w:bCs/>
                <w:kern w:val="24"/>
                <w:sz w:val="16"/>
                <w:szCs w:val="16"/>
              </w:rPr>
              <w:t>O</w:t>
            </w:r>
          </w:p>
        </w:tc>
        <w:tc>
          <w:tcPr>
            <w:tcW w:w="405"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3B0371" w:rsidRPr="00CA0AE3" w:rsidRDefault="003B0371" w:rsidP="003B0371">
            <w:pPr>
              <w:spacing w:after="0" w:line="240" w:lineRule="auto"/>
              <w:jc w:val="center"/>
              <w:rPr>
                <w:rFonts w:eastAsia="Times New Roman"/>
                <w:b/>
                <w:sz w:val="16"/>
                <w:szCs w:val="16"/>
              </w:rPr>
            </w:pPr>
            <w:r w:rsidRPr="00CA0AE3">
              <w:rPr>
                <w:rFonts w:eastAsia="Times New Roman"/>
                <w:b/>
                <w:sz w:val="16"/>
                <w:szCs w:val="16"/>
              </w:rPr>
              <w:t>O</w:t>
            </w:r>
          </w:p>
        </w:tc>
        <w:tc>
          <w:tcPr>
            <w:tcW w:w="780" w:type="pct"/>
            <w:tcBorders>
              <w:top w:val="single" w:sz="8" w:space="0" w:color="000000"/>
              <w:left w:val="single" w:sz="8" w:space="0" w:color="000000"/>
              <w:bottom w:val="single" w:sz="8" w:space="0" w:color="000000"/>
              <w:right w:val="single" w:sz="8" w:space="0" w:color="000000"/>
            </w:tcBorders>
            <w:vAlign w:val="center"/>
          </w:tcPr>
          <w:p w:rsidR="003B0371" w:rsidRPr="00CA0AE3" w:rsidRDefault="003B0371" w:rsidP="003B0371">
            <w:pPr>
              <w:spacing w:after="0" w:line="240" w:lineRule="auto"/>
              <w:rPr>
                <w:rFonts w:eastAsia="Cambria"/>
                <w:sz w:val="16"/>
                <w:szCs w:val="16"/>
              </w:rPr>
            </w:pPr>
            <w:r w:rsidRPr="00CA0AE3">
              <w:rPr>
                <w:rFonts w:eastAsia="Cambria"/>
                <w:sz w:val="16"/>
                <w:szCs w:val="16"/>
              </w:rPr>
              <w:t>Using proxy benchmark derived from National Medicaid (HEDIS) Initiation and Engagement of AOD treatment (initiation component only), NQF 0004.</w:t>
            </w:r>
          </w:p>
        </w:tc>
      </w:tr>
      <w:tr w:rsidR="003B0371" w:rsidRPr="00CA0AE3" w:rsidTr="005011EC">
        <w:trPr>
          <w:cantSplit/>
        </w:trPr>
        <w:tc>
          <w:tcPr>
            <w:tcW w:w="118" w:type="pct"/>
            <w:tcBorders>
              <w:top w:val="single" w:sz="8" w:space="0" w:color="000000"/>
              <w:left w:val="single" w:sz="8" w:space="0" w:color="000000"/>
              <w:bottom w:val="single" w:sz="8" w:space="0" w:color="000000"/>
              <w:right w:val="single" w:sz="8" w:space="0" w:color="000000"/>
            </w:tcBorders>
            <w:shd w:val="clear" w:color="auto" w:fill="auto"/>
            <w:vAlign w:val="center"/>
          </w:tcPr>
          <w:p w:rsidR="003B0371" w:rsidRPr="00CA0AE3" w:rsidRDefault="006374A3" w:rsidP="006374A3">
            <w:pPr>
              <w:spacing w:after="0" w:line="240" w:lineRule="auto"/>
              <w:jc w:val="center"/>
              <w:rPr>
                <w:rFonts w:eastAsia="Times New Roman"/>
                <w:bCs/>
                <w:kern w:val="24"/>
                <w:sz w:val="16"/>
                <w:szCs w:val="16"/>
              </w:rPr>
            </w:pPr>
            <w:r w:rsidRPr="00CA0AE3">
              <w:rPr>
                <w:rFonts w:eastAsia="Times New Roman"/>
                <w:bCs/>
                <w:kern w:val="24"/>
                <w:sz w:val="16"/>
                <w:szCs w:val="16"/>
              </w:rPr>
              <w:t>8</w:t>
            </w:r>
          </w:p>
        </w:tc>
        <w:tc>
          <w:tcPr>
            <w:tcW w:w="662"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3B0371" w:rsidRPr="00CA0AE3" w:rsidRDefault="003B0371" w:rsidP="003B0371">
            <w:pPr>
              <w:spacing w:after="0" w:line="240" w:lineRule="auto"/>
              <w:rPr>
                <w:rFonts w:eastAsia="Cambria"/>
                <w:bCs/>
                <w:sz w:val="16"/>
                <w:szCs w:val="16"/>
              </w:rPr>
            </w:pPr>
            <w:r w:rsidRPr="00CA0AE3">
              <w:rPr>
                <w:rFonts w:eastAsia="Cambria"/>
                <w:bCs/>
                <w:sz w:val="16"/>
                <w:szCs w:val="16"/>
              </w:rPr>
              <w:t>Increase number of synchronous and asynchronous tele-consultations with psychiatrists</w:t>
            </w:r>
          </w:p>
        </w:tc>
        <w:tc>
          <w:tcPr>
            <w:tcW w:w="370"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3B0371" w:rsidRPr="00CA0AE3" w:rsidRDefault="003B0371" w:rsidP="003B0371">
            <w:pPr>
              <w:spacing w:after="0" w:line="240" w:lineRule="auto"/>
              <w:jc w:val="center"/>
              <w:rPr>
                <w:rFonts w:eastAsia="Cambria"/>
                <w:bCs/>
                <w:sz w:val="16"/>
                <w:szCs w:val="16"/>
              </w:rPr>
            </w:pPr>
            <w:r w:rsidRPr="00CA0AE3">
              <w:rPr>
                <w:rFonts w:eastAsia="Cambria"/>
                <w:bCs/>
                <w:sz w:val="16"/>
                <w:szCs w:val="16"/>
              </w:rPr>
              <w:t>N/A</w:t>
            </w:r>
          </w:p>
        </w:tc>
        <w:tc>
          <w:tcPr>
            <w:tcW w:w="540"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3B0371" w:rsidRPr="00CA0AE3" w:rsidRDefault="003B0371" w:rsidP="003B0371">
            <w:pPr>
              <w:spacing w:after="0" w:line="240" w:lineRule="auto"/>
              <w:jc w:val="center"/>
              <w:rPr>
                <w:rFonts w:eastAsia="Cambria"/>
                <w:sz w:val="16"/>
                <w:szCs w:val="16"/>
              </w:rPr>
            </w:pPr>
            <w:r w:rsidRPr="00CA0AE3">
              <w:rPr>
                <w:rFonts w:eastAsia="Cambria"/>
                <w:sz w:val="16"/>
                <w:szCs w:val="16"/>
              </w:rPr>
              <w:t>No external benchmark;</w:t>
            </w:r>
          </w:p>
          <w:p w:rsidR="003B0371" w:rsidRPr="00CA0AE3" w:rsidRDefault="003B0371" w:rsidP="003B0371">
            <w:pPr>
              <w:spacing w:after="0" w:line="240" w:lineRule="auto"/>
              <w:jc w:val="center"/>
              <w:rPr>
                <w:rFonts w:eastAsia="Cambria"/>
                <w:sz w:val="16"/>
                <w:szCs w:val="16"/>
              </w:rPr>
            </w:pPr>
            <w:r w:rsidRPr="00CA0AE3">
              <w:rPr>
                <w:rFonts w:eastAsia="Cambria"/>
                <w:sz w:val="16"/>
                <w:szCs w:val="16"/>
              </w:rPr>
              <w:t>Hospital target = 400 per year</w:t>
            </w:r>
          </w:p>
        </w:tc>
        <w:tc>
          <w:tcPr>
            <w:tcW w:w="541"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3B0371" w:rsidRPr="00CA0AE3" w:rsidRDefault="003B0371" w:rsidP="003B0371">
            <w:pPr>
              <w:spacing w:after="0" w:line="240" w:lineRule="auto"/>
              <w:jc w:val="center"/>
              <w:rPr>
                <w:rFonts w:eastAsia="Cambria"/>
                <w:bCs/>
                <w:sz w:val="16"/>
                <w:szCs w:val="16"/>
              </w:rPr>
            </w:pPr>
            <w:r w:rsidRPr="00CA0AE3">
              <w:rPr>
                <w:rFonts w:eastAsia="Cambria"/>
                <w:bCs/>
                <w:sz w:val="16"/>
                <w:szCs w:val="16"/>
              </w:rPr>
              <w:t>Gap to Goal (10%) or attainment at target</w:t>
            </w:r>
          </w:p>
        </w:tc>
        <w:tc>
          <w:tcPr>
            <w:tcW w:w="370" w:type="pct"/>
            <w:gridSpan w:val="2"/>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3B0371" w:rsidRPr="00CA0AE3" w:rsidRDefault="003B0371" w:rsidP="003B0371">
            <w:pPr>
              <w:spacing w:after="0" w:line="240" w:lineRule="auto"/>
              <w:jc w:val="center"/>
              <w:rPr>
                <w:rFonts w:eastAsia="Times New Roman"/>
                <w:b/>
                <w:bCs/>
                <w:kern w:val="24"/>
                <w:sz w:val="16"/>
                <w:szCs w:val="16"/>
              </w:rPr>
            </w:pPr>
            <w:r w:rsidRPr="00CA0AE3">
              <w:rPr>
                <w:rFonts w:eastAsia="Times New Roman"/>
                <w:b/>
                <w:bCs/>
                <w:kern w:val="24"/>
                <w:sz w:val="16"/>
                <w:szCs w:val="16"/>
              </w:rPr>
              <w:t>O</w:t>
            </w:r>
          </w:p>
        </w:tc>
        <w:tc>
          <w:tcPr>
            <w:tcW w:w="405"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3B0371" w:rsidRPr="00CA0AE3" w:rsidRDefault="003B0371" w:rsidP="003B0371">
            <w:pPr>
              <w:spacing w:after="0" w:line="240" w:lineRule="auto"/>
              <w:jc w:val="center"/>
              <w:rPr>
                <w:rFonts w:eastAsia="Times New Roman"/>
                <w:b/>
                <w:bCs/>
                <w:kern w:val="24"/>
                <w:sz w:val="16"/>
                <w:szCs w:val="16"/>
              </w:rPr>
            </w:pPr>
            <w:r w:rsidRPr="00CA0AE3">
              <w:rPr>
                <w:rFonts w:eastAsia="Times New Roman"/>
                <w:b/>
                <w:bCs/>
                <w:kern w:val="24"/>
                <w:sz w:val="16"/>
                <w:szCs w:val="16"/>
              </w:rPr>
              <w:t>O</w:t>
            </w:r>
          </w:p>
        </w:tc>
        <w:tc>
          <w:tcPr>
            <w:tcW w:w="405"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3B0371" w:rsidRPr="00CA0AE3" w:rsidRDefault="003B0371" w:rsidP="003B0371">
            <w:pPr>
              <w:spacing w:after="0" w:line="240" w:lineRule="auto"/>
              <w:jc w:val="center"/>
              <w:rPr>
                <w:rFonts w:eastAsia="Times New Roman"/>
                <w:b/>
                <w:bCs/>
                <w:kern w:val="24"/>
                <w:sz w:val="16"/>
                <w:szCs w:val="16"/>
              </w:rPr>
            </w:pPr>
            <w:r w:rsidRPr="00CA0AE3">
              <w:rPr>
                <w:rFonts w:eastAsia="Times New Roman"/>
                <w:b/>
                <w:bCs/>
                <w:kern w:val="24"/>
                <w:sz w:val="16"/>
                <w:szCs w:val="16"/>
              </w:rPr>
              <w:t>O</w:t>
            </w:r>
          </w:p>
        </w:tc>
        <w:tc>
          <w:tcPr>
            <w:tcW w:w="404"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3B0371" w:rsidRPr="00CA0AE3" w:rsidRDefault="003B0371" w:rsidP="003B0371">
            <w:pPr>
              <w:spacing w:after="0" w:line="240" w:lineRule="auto"/>
              <w:jc w:val="center"/>
              <w:rPr>
                <w:rFonts w:eastAsia="Times New Roman"/>
                <w:b/>
                <w:bCs/>
                <w:kern w:val="24"/>
                <w:sz w:val="16"/>
                <w:szCs w:val="16"/>
              </w:rPr>
            </w:pPr>
            <w:r w:rsidRPr="00CA0AE3">
              <w:rPr>
                <w:rFonts w:eastAsia="Times New Roman"/>
                <w:b/>
                <w:bCs/>
                <w:kern w:val="24"/>
                <w:sz w:val="16"/>
                <w:szCs w:val="16"/>
              </w:rPr>
              <w:t>O</w:t>
            </w:r>
          </w:p>
        </w:tc>
        <w:tc>
          <w:tcPr>
            <w:tcW w:w="405"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3B0371" w:rsidRPr="00CA0AE3" w:rsidRDefault="003B0371" w:rsidP="003B0371">
            <w:pPr>
              <w:spacing w:after="0" w:line="240" w:lineRule="auto"/>
              <w:jc w:val="center"/>
              <w:rPr>
                <w:rFonts w:eastAsia="Times New Roman"/>
                <w:b/>
                <w:sz w:val="16"/>
                <w:szCs w:val="16"/>
              </w:rPr>
            </w:pPr>
            <w:r w:rsidRPr="00CA0AE3">
              <w:rPr>
                <w:rFonts w:eastAsia="Times New Roman"/>
                <w:b/>
                <w:sz w:val="16"/>
                <w:szCs w:val="16"/>
              </w:rPr>
              <w:t>O</w:t>
            </w:r>
          </w:p>
        </w:tc>
        <w:tc>
          <w:tcPr>
            <w:tcW w:w="780" w:type="pct"/>
            <w:tcBorders>
              <w:top w:val="single" w:sz="8" w:space="0" w:color="000000"/>
              <w:left w:val="single" w:sz="8" w:space="0" w:color="000000"/>
              <w:bottom w:val="single" w:sz="8" w:space="0" w:color="000000"/>
              <w:right w:val="single" w:sz="8" w:space="0" w:color="000000"/>
            </w:tcBorders>
            <w:vAlign w:val="center"/>
          </w:tcPr>
          <w:p w:rsidR="003B0371" w:rsidRPr="00CA0AE3" w:rsidRDefault="003B0371" w:rsidP="003B0371">
            <w:pPr>
              <w:spacing w:after="0" w:line="240" w:lineRule="auto"/>
              <w:rPr>
                <w:rFonts w:eastAsia="Cambria"/>
                <w:sz w:val="16"/>
                <w:szCs w:val="16"/>
              </w:rPr>
            </w:pPr>
            <w:r w:rsidRPr="00CA0AE3">
              <w:rPr>
                <w:rFonts w:eastAsia="Cambria"/>
                <w:sz w:val="16"/>
                <w:szCs w:val="16"/>
              </w:rPr>
              <w:t xml:space="preserve">Target informed by roll-out and expansion of tele-psychiatry </w:t>
            </w:r>
          </w:p>
        </w:tc>
      </w:tr>
      <w:tr w:rsidR="003B0371" w:rsidRPr="00CA0AE3" w:rsidTr="005011EC">
        <w:trPr>
          <w:cantSplit/>
        </w:trPr>
        <w:tc>
          <w:tcPr>
            <w:tcW w:w="118" w:type="pct"/>
            <w:tcBorders>
              <w:top w:val="single" w:sz="8" w:space="0" w:color="000000"/>
              <w:left w:val="single" w:sz="8" w:space="0" w:color="000000"/>
              <w:bottom w:val="single" w:sz="8" w:space="0" w:color="000000"/>
              <w:right w:val="single" w:sz="8" w:space="0" w:color="000000"/>
            </w:tcBorders>
            <w:shd w:val="clear" w:color="auto" w:fill="auto"/>
            <w:vAlign w:val="center"/>
          </w:tcPr>
          <w:p w:rsidR="003B0371" w:rsidRPr="00CA0AE3" w:rsidRDefault="006374A3" w:rsidP="006374A3">
            <w:pPr>
              <w:spacing w:after="0" w:line="240" w:lineRule="auto"/>
              <w:jc w:val="center"/>
              <w:rPr>
                <w:rFonts w:eastAsia="Times New Roman"/>
                <w:bCs/>
                <w:kern w:val="24"/>
                <w:sz w:val="16"/>
                <w:szCs w:val="16"/>
              </w:rPr>
            </w:pPr>
            <w:r w:rsidRPr="00CA0AE3">
              <w:rPr>
                <w:rFonts w:eastAsia="Times New Roman"/>
                <w:bCs/>
                <w:kern w:val="24"/>
                <w:sz w:val="16"/>
                <w:szCs w:val="16"/>
              </w:rPr>
              <w:t>9</w:t>
            </w:r>
          </w:p>
        </w:tc>
        <w:tc>
          <w:tcPr>
            <w:tcW w:w="662"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3B0371" w:rsidRPr="00CA0AE3" w:rsidRDefault="003B0371" w:rsidP="003B0371">
            <w:pPr>
              <w:spacing w:after="0" w:line="240" w:lineRule="auto"/>
              <w:rPr>
                <w:rFonts w:eastAsia="Cambria"/>
                <w:bCs/>
                <w:sz w:val="16"/>
                <w:szCs w:val="16"/>
              </w:rPr>
            </w:pPr>
            <w:r w:rsidRPr="00CA0AE3">
              <w:rPr>
                <w:rFonts w:eastAsia="Cambria"/>
                <w:bCs/>
                <w:sz w:val="16"/>
                <w:szCs w:val="16"/>
              </w:rPr>
              <w:t>Diabetes screening for people with Schizophrenia or Bipolar Disorder who are using antipsychotic medications (for active primary care patients and BH home patients)</w:t>
            </w:r>
          </w:p>
        </w:tc>
        <w:tc>
          <w:tcPr>
            <w:tcW w:w="370"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3B0371" w:rsidRPr="00CA0AE3" w:rsidRDefault="003B0371" w:rsidP="003B0371">
            <w:pPr>
              <w:spacing w:after="0" w:line="240" w:lineRule="auto"/>
              <w:jc w:val="center"/>
              <w:rPr>
                <w:rFonts w:eastAsia="Cambria"/>
                <w:bCs/>
                <w:sz w:val="16"/>
                <w:szCs w:val="16"/>
              </w:rPr>
            </w:pPr>
            <w:r w:rsidRPr="00CA0AE3">
              <w:rPr>
                <w:rFonts w:eastAsia="Cambria"/>
                <w:bCs/>
                <w:sz w:val="16"/>
                <w:szCs w:val="16"/>
              </w:rPr>
              <w:t>NQF 1932</w:t>
            </w:r>
          </w:p>
        </w:tc>
        <w:tc>
          <w:tcPr>
            <w:tcW w:w="540"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3B0371" w:rsidRPr="00CA0AE3" w:rsidRDefault="003B0371" w:rsidP="003B0371">
            <w:pPr>
              <w:spacing w:after="0" w:line="240" w:lineRule="auto"/>
              <w:jc w:val="center"/>
              <w:rPr>
                <w:rFonts w:eastAsia="Cambria"/>
                <w:sz w:val="16"/>
                <w:szCs w:val="16"/>
              </w:rPr>
            </w:pPr>
            <w:r w:rsidRPr="00CA0AE3">
              <w:rPr>
                <w:rFonts w:eastAsia="Cambria"/>
                <w:sz w:val="16"/>
                <w:szCs w:val="16"/>
              </w:rPr>
              <w:t>MA Medicaid (HEDIS) 201</w:t>
            </w:r>
            <w:r w:rsidR="004B29D3" w:rsidRPr="00CA0AE3">
              <w:rPr>
                <w:rFonts w:eastAsia="Cambria"/>
                <w:sz w:val="16"/>
                <w:szCs w:val="16"/>
              </w:rPr>
              <w:t>5</w:t>
            </w:r>
          </w:p>
          <w:p w:rsidR="003B0371" w:rsidRPr="00CA0AE3" w:rsidRDefault="003B0371" w:rsidP="004B29D3">
            <w:pPr>
              <w:spacing w:after="0" w:line="240" w:lineRule="auto"/>
              <w:jc w:val="center"/>
              <w:rPr>
                <w:rFonts w:eastAsia="Cambria"/>
                <w:sz w:val="16"/>
                <w:szCs w:val="16"/>
              </w:rPr>
            </w:pPr>
            <w:r w:rsidRPr="00CA0AE3">
              <w:rPr>
                <w:rFonts w:eastAsia="Cambria"/>
                <w:sz w:val="16"/>
                <w:szCs w:val="16"/>
              </w:rPr>
              <w:t>90th percentile = 8</w:t>
            </w:r>
            <w:r w:rsidR="004B29D3" w:rsidRPr="00CA0AE3">
              <w:rPr>
                <w:rFonts w:eastAsia="Cambria"/>
                <w:sz w:val="16"/>
                <w:szCs w:val="16"/>
              </w:rPr>
              <w:t>6</w:t>
            </w:r>
            <w:r w:rsidRPr="00CA0AE3">
              <w:rPr>
                <w:rFonts w:eastAsia="Cambria"/>
                <w:sz w:val="16"/>
                <w:szCs w:val="16"/>
              </w:rPr>
              <w:t>.</w:t>
            </w:r>
            <w:r w:rsidR="004B29D3" w:rsidRPr="00CA0AE3">
              <w:rPr>
                <w:rFonts w:eastAsia="Cambria"/>
                <w:sz w:val="16"/>
                <w:szCs w:val="16"/>
              </w:rPr>
              <w:t>9</w:t>
            </w:r>
            <w:r w:rsidRPr="00CA0AE3">
              <w:rPr>
                <w:rFonts w:eastAsia="Cambria"/>
                <w:sz w:val="16"/>
                <w:szCs w:val="16"/>
              </w:rPr>
              <w:t xml:space="preserve">6% </w:t>
            </w:r>
          </w:p>
        </w:tc>
        <w:tc>
          <w:tcPr>
            <w:tcW w:w="541"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3B0371" w:rsidRPr="00CA0AE3" w:rsidRDefault="003B0371" w:rsidP="003B0371">
            <w:pPr>
              <w:spacing w:after="0" w:line="240" w:lineRule="auto"/>
              <w:jc w:val="center"/>
              <w:rPr>
                <w:rFonts w:eastAsia="Cambria"/>
                <w:bCs/>
                <w:sz w:val="16"/>
                <w:szCs w:val="16"/>
              </w:rPr>
            </w:pPr>
            <w:r w:rsidRPr="00CA0AE3">
              <w:rPr>
                <w:rFonts w:eastAsia="Cambria"/>
                <w:bCs/>
                <w:sz w:val="16"/>
                <w:szCs w:val="16"/>
              </w:rPr>
              <w:t xml:space="preserve">Gap to Goal (10%) or attainment at target </w:t>
            </w:r>
          </w:p>
        </w:tc>
        <w:tc>
          <w:tcPr>
            <w:tcW w:w="370" w:type="pct"/>
            <w:gridSpan w:val="2"/>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3B0371" w:rsidRPr="00CA0AE3" w:rsidRDefault="003B0371" w:rsidP="003B0371">
            <w:pPr>
              <w:spacing w:after="0" w:line="240" w:lineRule="auto"/>
              <w:jc w:val="center"/>
              <w:rPr>
                <w:rFonts w:eastAsia="Times New Roman"/>
                <w:b/>
                <w:bCs/>
                <w:kern w:val="24"/>
                <w:sz w:val="16"/>
                <w:szCs w:val="16"/>
              </w:rPr>
            </w:pPr>
            <w:r w:rsidRPr="00CA0AE3">
              <w:rPr>
                <w:rFonts w:eastAsia="Times New Roman"/>
                <w:b/>
                <w:bCs/>
                <w:kern w:val="24"/>
                <w:sz w:val="16"/>
                <w:szCs w:val="16"/>
              </w:rPr>
              <w:t>B</w:t>
            </w:r>
          </w:p>
        </w:tc>
        <w:tc>
          <w:tcPr>
            <w:tcW w:w="405"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3B0371" w:rsidRPr="00CA0AE3" w:rsidRDefault="003B0371" w:rsidP="003B0371">
            <w:pPr>
              <w:spacing w:after="0" w:line="240" w:lineRule="auto"/>
              <w:jc w:val="center"/>
              <w:rPr>
                <w:rFonts w:eastAsia="Times New Roman"/>
                <w:b/>
                <w:bCs/>
                <w:kern w:val="24"/>
                <w:sz w:val="16"/>
                <w:szCs w:val="16"/>
              </w:rPr>
            </w:pPr>
            <w:r w:rsidRPr="00CA0AE3">
              <w:rPr>
                <w:rFonts w:eastAsia="Times New Roman"/>
                <w:b/>
                <w:bCs/>
                <w:kern w:val="24"/>
                <w:sz w:val="16"/>
                <w:szCs w:val="16"/>
              </w:rPr>
              <w:t>O</w:t>
            </w:r>
          </w:p>
        </w:tc>
        <w:tc>
          <w:tcPr>
            <w:tcW w:w="405"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3B0371" w:rsidRPr="00CA0AE3" w:rsidRDefault="003B0371" w:rsidP="003B0371">
            <w:pPr>
              <w:spacing w:after="0" w:line="240" w:lineRule="auto"/>
              <w:jc w:val="center"/>
              <w:rPr>
                <w:rFonts w:eastAsia="Times New Roman"/>
                <w:b/>
                <w:bCs/>
                <w:kern w:val="24"/>
                <w:sz w:val="16"/>
                <w:szCs w:val="16"/>
              </w:rPr>
            </w:pPr>
            <w:r w:rsidRPr="00CA0AE3">
              <w:rPr>
                <w:rFonts w:eastAsia="Times New Roman"/>
                <w:b/>
                <w:bCs/>
                <w:kern w:val="24"/>
                <w:sz w:val="16"/>
                <w:szCs w:val="16"/>
              </w:rPr>
              <w:t>O</w:t>
            </w:r>
          </w:p>
        </w:tc>
        <w:tc>
          <w:tcPr>
            <w:tcW w:w="404"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3B0371" w:rsidRPr="00CA0AE3" w:rsidRDefault="003B0371" w:rsidP="003B0371">
            <w:pPr>
              <w:spacing w:after="0" w:line="240" w:lineRule="auto"/>
              <w:jc w:val="center"/>
              <w:rPr>
                <w:rFonts w:eastAsia="Times New Roman"/>
                <w:b/>
                <w:bCs/>
                <w:kern w:val="24"/>
                <w:sz w:val="16"/>
                <w:szCs w:val="16"/>
              </w:rPr>
            </w:pPr>
            <w:r w:rsidRPr="00CA0AE3">
              <w:rPr>
                <w:rFonts w:eastAsia="Times New Roman"/>
                <w:b/>
                <w:bCs/>
                <w:kern w:val="24"/>
                <w:sz w:val="16"/>
                <w:szCs w:val="16"/>
              </w:rPr>
              <w:t>O</w:t>
            </w:r>
          </w:p>
        </w:tc>
        <w:tc>
          <w:tcPr>
            <w:tcW w:w="405"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3B0371" w:rsidRPr="00CA0AE3" w:rsidRDefault="003B0371" w:rsidP="003B0371">
            <w:pPr>
              <w:spacing w:after="0" w:line="240" w:lineRule="auto"/>
              <w:jc w:val="center"/>
              <w:rPr>
                <w:rFonts w:eastAsia="Times New Roman"/>
                <w:b/>
                <w:sz w:val="16"/>
                <w:szCs w:val="16"/>
              </w:rPr>
            </w:pPr>
            <w:r w:rsidRPr="00CA0AE3">
              <w:rPr>
                <w:rFonts w:eastAsia="Times New Roman"/>
                <w:b/>
                <w:sz w:val="16"/>
                <w:szCs w:val="16"/>
              </w:rPr>
              <w:t>O</w:t>
            </w:r>
          </w:p>
        </w:tc>
        <w:tc>
          <w:tcPr>
            <w:tcW w:w="780" w:type="pct"/>
            <w:tcBorders>
              <w:top w:val="single" w:sz="8" w:space="0" w:color="000000"/>
              <w:left w:val="single" w:sz="8" w:space="0" w:color="000000"/>
              <w:bottom w:val="single" w:sz="8" w:space="0" w:color="000000"/>
              <w:right w:val="single" w:sz="8" w:space="0" w:color="000000"/>
            </w:tcBorders>
            <w:vAlign w:val="center"/>
          </w:tcPr>
          <w:p w:rsidR="003B0371" w:rsidRPr="00CA0AE3" w:rsidRDefault="003B0371" w:rsidP="003B0371">
            <w:pPr>
              <w:spacing w:after="0" w:line="240" w:lineRule="auto"/>
              <w:rPr>
                <w:rFonts w:eastAsia="Cambria"/>
                <w:sz w:val="16"/>
                <w:szCs w:val="16"/>
              </w:rPr>
            </w:pPr>
            <w:r w:rsidRPr="00CA0AE3">
              <w:rPr>
                <w:rFonts w:eastAsia="Cambria"/>
                <w:sz w:val="16"/>
                <w:szCs w:val="16"/>
              </w:rPr>
              <w:t xml:space="preserve"> </w:t>
            </w:r>
          </w:p>
        </w:tc>
      </w:tr>
      <w:tr w:rsidR="003B0371" w:rsidRPr="00CA0AE3" w:rsidTr="005011EC">
        <w:trPr>
          <w:cantSplit/>
        </w:trPr>
        <w:tc>
          <w:tcPr>
            <w:tcW w:w="118" w:type="pct"/>
            <w:tcBorders>
              <w:top w:val="single" w:sz="8" w:space="0" w:color="000000"/>
              <w:left w:val="single" w:sz="8" w:space="0" w:color="000000"/>
              <w:bottom w:val="single" w:sz="8" w:space="0" w:color="000000"/>
              <w:right w:val="single" w:sz="8" w:space="0" w:color="000000"/>
            </w:tcBorders>
            <w:shd w:val="clear" w:color="auto" w:fill="auto"/>
            <w:vAlign w:val="center"/>
          </w:tcPr>
          <w:p w:rsidR="003B0371" w:rsidRPr="00CA0AE3" w:rsidRDefault="003B0371" w:rsidP="006374A3">
            <w:pPr>
              <w:spacing w:after="0" w:line="240" w:lineRule="auto"/>
              <w:jc w:val="center"/>
              <w:rPr>
                <w:rFonts w:eastAsia="Times New Roman"/>
                <w:bCs/>
                <w:kern w:val="24"/>
                <w:sz w:val="16"/>
                <w:szCs w:val="16"/>
              </w:rPr>
            </w:pPr>
            <w:r w:rsidRPr="00CA0AE3">
              <w:rPr>
                <w:rFonts w:eastAsia="Times New Roman"/>
                <w:bCs/>
                <w:kern w:val="24"/>
                <w:sz w:val="16"/>
                <w:szCs w:val="16"/>
              </w:rPr>
              <w:t>1</w:t>
            </w:r>
            <w:r w:rsidR="006374A3" w:rsidRPr="00CA0AE3">
              <w:rPr>
                <w:rFonts w:eastAsia="Times New Roman"/>
                <w:bCs/>
                <w:kern w:val="24"/>
                <w:sz w:val="16"/>
                <w:szCs w:val="16"/>
              </w:rPr>
              <w:t>0</w:t>
            </w:r>
          </w:p>
        </w:tc>
        <w:tc>
          <w:tcPr>
            <w:tcW w:w="662"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3B0371" w:rsidRPr="00CA0AE3" w:rsidRDefault="003B0371" w:rsidP="003B0371">
            <w:pPr>
              <w:spacing w:after="0" w:line="240" w:lineRule="auto"/>
              <w:rPr>
                <w:rFonts w:eastAsia="Cambria"/>
                <w:bCs/>
                <w:sz w:val="16"/>
                <w:szCs w:val="16"/>
              </w:rPr>
            </w:pPr>
            <w:r w:rsidRPr="00CA0AE3">
              <w:rPr>
                <w:rFonts w:eastAsia="Cambria"/>
                <w:bCs/>
                <w:sz w:val="16"/>
                <w:szCs w:val="16"/>
              </w:rPr>
              <w:t>Cardiovascular health screening for people with Schizophrenia or Bipolar Disorder who are prescribed antipsychotic medications (for active primary care patients and BH home patients)</w:t>
            </w:r>
          </w:p>
        </w:tc>
        <w:tc>
          <w:tcPr>
            <w:tcW w:w="370"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3B0371" w:rsidRPr="00CA0AE3" w:rsidRDefault="003B0371" w:rsidP="003B0371">
            <w:pPr>
              <w:spacing w:after="0" w:line="240" w:lineRule="auto"/>
              <w:jc w:val="center"/>
              <w:rPr>
                <w:rFonts w:eastAsia="Cambria"/>
                <w:bCs/>
                <w:sz w:val="16"/>
                <w:szCs w:val="16"/>
              </w:rPr>
            </w:pPr>
            <w:r w:rsidRPr="00CA0AE3">
              <w:rPr>
                <w:rFonts w:eastAsia="Cambria"/>
                <w:bCs/>
                <w:sz w:val="16"/>
                <w:szCs w:val="16"/>
              </w:rPr>
              <w:t>NQF 1927</w:t>
            </w:r>
          </w:p>
        </w:tc>
        <w:tc>
          <w:tcPr>
            <w:tcW w:w="540"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3B0371" w:rsidRPr="00CA0AE3" w:rsidRDefault="003B0371" w:rsidP="003B0371">
            <w:pPr>
              <w:spacing w:after="0" w:line="240" w:lineRule="auto"/>
              <w:jc w:val="center"/>
              <w:rPr>
                <w:rFonts w:eastAsia="Cambria"/>
                <w:sz w:val="16"/>
                <w:szCs w:val="16"/>
              </w:rPr>
            </w:pPr>
            <w:r w:rsidRPr="00CA0AE3">
              <w:rPr>
                <w:rFonts w:eastAsia="Cambria"/>
                <w:sz w:val="16"/>
                <w:szCs w:val="16"/>
              </w:rPr>
              <w:t>No external benchmark; hospital-specific target = 75.00%</w:t>
            </w:r>
          </w:p>
        </w:tc>
        <w:tc>
          <w:tcPr>
            <w:tcW w:w="541"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3B0371" w:rsidRPr="00CA0AE3" w:rsidRDefault="003B0371" w:rsidP="003B0371">
            <w:pPr>
              <w:spacing w:after="0" w:line="240" w:lineRule="auto"/>
              <w:jc w:val="center"/>
              <w:rPr>
                <w:rFonts w:eastAsia="Cambria"/>
                <w:bCs/>
                <w:sz w:val="16"/>
                <w:szCs w:val="16"/>
              </w:rPr>
            </w:pPr>
            <w:r w:rsidRPr="00CA0AE3">
              <w:rPr>
                <w:rFonts w:eastAsia="Cambria"/>
                <w:bCs/>
                <w:sz w:val="16"/>
                <w:szCs w:val="16"/>
              </w:rPr>
              <w:t xml:space="preserve">Gap to Goal (10%) or attainment at target </w:t>
            </w:r>
          </w:p>
        </w:tc>
        <w:tc>
          <w:tcPr>
            <w:tcW w:w="370" w:type="pct"/>
            <w:gridSpan w:val="2"/>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3B0371" w:rsidRPr="00CA0AE3" w:rsidRDefault="003B0371" w:rsidP="003B0371">
            <w:pPr>
              <w:spacing w:after="0" w:line="240" w:lineRule="auto"/>
              <w:jc w:val="center"/>
              <w:rPr>
                <w:rFonts w:eastAsia="Times New Roman"/>
                <w:b/>
                <w:bCs/>
                <w:kern w:val="24"/>
                <w:sz w:val="16"/>
                <w:szCs w:val="16"/>
              </w:rPr>
            </w:pPr>
            <w:r w:rsidRPr="00CA0AE3">
              <w:rPr>
                <w:rFonts w:eastAsia="Times New Roman"/>
                <w:b/>
                <w:bCs/>
                <w:kern w:val="24"/>
                <w:sz w:val="16"/>
                <w:szCs w:val="16"/>
              </w:rPr>
              <w:t>B</w:t>
            </w:r>
          </w:p>
        </w:tc>
        <w:tc>
          <w:tcPr>
            <w:tcW w:w="405"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3B0371" w:rsidRPr="00CA0AE3" w:rsidRDefault="003B0371" w:rsidP="003B0371">
            <w:pPr>
              <w:spacing w:after="0" w:line="240" w:lineRule="auto"/>
              <w:jc w:val="center"/>
              <w:rPr>
                <w:rFonts w:eastAsia="Times New Roman"/>
                <w:b/>
                <w:bCs/>
                <w:kern w:val="24"/>
                <w:sz w:val="16"/>
                <w:szCs w:val="16"/>
              </w:rPr>
            </w:pPr>
            <w:r w:rsidRPr="00CA0AE3">
              <w:rPr>
                <w:rFonts w:eastAsia="Times New Roman"/>
                <w:b/>
                <w:bCs/>
                <w:kern w:val="24"/>
                <w:sz w:val="16"/>
                <w:szCs w:val="16"/>
              </w:rPr>
              <w:t>O</w:t>
            </w:r>
          </w:p>
        </w:tc>
        <w:tc>
          <w:tcPr>
            <w:tcW w:w="405"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3B0371" w:rsidRPr="00CA0AE3" w:rsidRDefault="003B0371" w:rsidP="003B0371">
            <w:pPr>
              <w:spacing w:after="0" w:line="240" w:lineRule="auto"/>
              <w:jc w:val="center"/>
              <w:rPr>
                <w:rFonts w:eastAsia="Times New Roman"/>
                <w:b/>
                <w:bCs/>
                <w:kern w:val="24"/>
                <w:sz w:val="16"/>
                <w:szCs w:val="16"/>
              </w:rPr>
            </w:pPr>
            <w:r w:rsidRPr="00CA0AE3">
              <w:rPr>
                <w:rFonts w:eastAsia="Times New Roman"/>
                <w:b/>
                <w:bCs/>
                <w:kern w:val="24"/>
                <w:sz w:val="16"/>
                <w:szCs w:val="16"/>
              </w:rPr>
              <w:t>O</w:t>
            </w:r>
          </w:p>
        </w:tc>
        <w:tc>
          <w:tcPr>
            <w:tcW w:w="404"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3B0371" w:rsidRPr="00CA0AE3" w:rsidRDefault="003B0371" w:rsidP="003B0371">
            <w:pPr>
              <w:spacing w:after="0" w:line="240" w:lineRule="auto"/>
              <w:jc w:val="center"/>
              <w:rPr>
                <w:rFonts w:eastAsia="Times New Roman"/>
                <w:b/>
                <w:bCs/>
                <w:kern w:val="24"/>
                <w:sz w:val="16"/>
                <w:szCs w:val="16"/>
              </w:rPr>
            </w:pPr>
            <w:r w:rsidRPr="00CA0AE3">
              <w:rPr>
                <w:rFonts w:eastAsia="Times New Roman"/>
                <w:b/>
                <w:bCs/>
                <w:kern w:val="24"/>
                <w:sz w:val="16"/>
                <w:szCs w:val="16"/>
              </w:rPr>
              <w:t>O</w:t>
            </w:r>
          </w:p>
        </w:tc>
        <w:tc>
          <w:tcPr>
            <w:tcW w:w="405"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3B0371" w:rsidRPr="00CA0AE3" w:rsidRDefault="003B0371" w:rsidP="003B0371">
            <w:pPr>
              <w:spacing w:after="0" w:line="240" w:lineRule="auto"/>
              <w:jc w:val="center"/>
              <w:rPr>
                <w:rFonts w:eastAsia="Times New Roman"/>
                <w:b/>
                <w:sz w:val="16"/>
                <w:szCs w:val="16"/>
              </w:rPr>
            </w:pPr>
            <w:r w:rsidRPr="00CA0AE3">
              <w:rPr>
                <w:rFonts w:eastAsia="Times New Roman"/>
                <w:b/>
                <w:sz w:val="16"/>
                <w:szCs w:val="16"/>
              </w:rPr>
              <w:t>O</w:t>
            </w:r>
          </w:p>
        </w:tc>
        <w:tc>
          <w:tcPr>
            <w:tcW w:w="780" w:type="pct"/>
            <w:tcBorders>
              <w:top w:val="single" w:sz="8" w:space="0" w:color="000000"/>
              <w:left w:val="single" w:sz="8" w:space="0" w:color="000000"/>
              <w:bottom w:val="single" w:sz="8" w:space="0" w:color="000000"/>
              <w:right w:val="single" w:sz="8" w:space="0" w:color="000000"/>
            </w:tcBorders>
            <w:vAlign w:val="center"/>
          </w:tcPr>
          <w:p w:rsidR="003B0371" w:rsidRPr="00CA0AE3" w:rsidRDefault="003B0371" w:rsidP="003B0371">
            <w:pPr>
              <w:spacing w:after="0" w:line="240" w:lineRule="auto"/>
              <w:rPr>
                <w:rFonts w:eastAsia="Cambria"/>
                <w:sz w:val="16"/>
                <w:szCs w:val="16"/>
              </w:rPr>
            </w:pPr>
            <w:r w:rsidRPr="00CA0AE3">
              <w:rPr>
                <w:rFonts w:eastAsia="Cambria"/>
                <w:sz w:val="16"/>
                <w:szCs w:val="16"/>
              </w:rPr>
              <w:t xml:space="preserve">Target informed by experience with screening measures for other populations  </w:t>
            </w:r>
          </w:p>
        </w:tc>
      </w:tr>
      <w:tr w:rsidR="003B0371" w:rsidRPr="00CA0AE3" w:rsidTr="005011EC">
        <w:trPr>
          <w:cantSplit/>
        </w:trPr>
        <w:tc>
          <w:tcPr>
            <w:tcW w:w="118" w:type="pct"/>
            <w:tcBorders>
              <w:top w:val="single" w:sz="8" w:space="0" w:color="000000"/>
              <w:left w:val="single" w:sz="8" w:space="0" w:color="000000"/>
              <w:bottom w:val="single" w:sz="8" w:space="0" w:color="000000"/>
              <w:right w:val="single" w:sz="8" w:space="0" w:color="000000"/>
            </w:tcBorders>
            <w:shd w:val="clear" w:color="auto" w:fill="auto"/>
            <w:vAlign w:val="center"/>
          </w:tcPr>
          <w:p w:rsidR="003B0371" w:rsidRPr="00CA0AE3" w:rsidRDefault="003B0371" w:rsidP="006374A3">
            <w:pPr>
              <w:spacing w:after="0" w:line="240" w:lineRule="auto"/>
              <w:jc w:val="center"/>
              <w:rPr>
                <w:rFonts w:eastAsia="Times New Roman"/>
                <w:bCs/>
                <w:kern w:val="24"/>
                <w:sz w:val="16"/>
                <w:szCs w:val="16"/>
              </w:rPr>
            </w:pPr>
            <w:r w:rsidRPr="00CA0AE3">
              <w:rPr>
                <w:rFonts w:eastAsia="Times New Roman"/>
                <w:bCs/>
                <w:kern w:val="24"/>
                <w:sz w:val="16"/>
                <w:szCs w:val="16"/>
              </w:rPr>
              <w:lastRenderedPageBreak/>
              <w:t>1</w:t>
            </w:r>
            <w:r w:rsidR="006374A3" w:rsidRPr="00CA0AE3">
              <w:rPr>
                <w:rFonts w:eastAsia="Times New Roman"/>
                <w:bCs/>
                <w:kern w:val="24"/>
                <w:sz w:val="16"/>
                <w:szCs w:val="16"/>
              </w:rPr>
              <w:t>1</w:t>
            </w:r>
          </w:p>
        </w:tc>
        <w:tc>
          <w:tcPr>
            <w:tcW w:w="662"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3B0371" w:rsidRPr="00CA0AE3" w:rsidRDefault="003B0371" w:rsidP="003B0371">
            <w:pPr>
              <w:spacing w:after="0" w:line="240" w:lineRule="auto"/>
              <w:rPr>
                <w:rFonts w:eastAsia="Cambria"/>
                <w:bCs/>
                <w:sz w:val="16"/>
                <w:szCs w:val="16"/>
              </w:rPr>
            </w:pPr>
            <w:r w:rsidRPr="00CA0AE3">
              <w:rPr>
                <w:rFonts w:eastAsia="Cambria"/>
                <w:bCs/>
                <w:sz w:val="16"/>
                <w:szCs w:val="16"/>
              </w:rPr>
              <w:t>Diabetes Monitoring for People with Diabetes and Schizophrenia (for active primary care patients and BH home patients)</w:t>
            </w:r>
          </w:p>
        </w:tc>
        <w:tc>
          <w:tcPr>
            <w:tcW w:w="370"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3B0371" w:rsidRPr="00CA0AE3" w:rsidRDefault="003B0371" w:rsidP="003B0371">
            <w:pPr>
              <w:spacing w:after="0" w:line="240" w:lineRule="auto"/>
              <w:jc w:val="center"/>
              <w:rPr>
                <w:rFonts w:eastAsia="Cambria"/>
                <w:bCs/>
                <w:sz w:val="16"/>
                <w:szCs w:val="16"/>
              </w:rPr>
            </w:pPr>
            <w:r w:rsidRPr="00CA0AE3">
              <w:rPr>
                <w:rFonts w:eastAsia="Cambria"/>
                <w:bCs/>
                <w:sz w:val="16"/>
                <w:szCs w:val="16"/>
              </w:rPr>
              <w:t>NQF 1934</w:t>
            </w:r>
          </w:p>
        </w:tc>
        <w:tc>
          <w:tcPr>
            <w:tcW w:w="540"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3B0371" w:rsidRPr="00CA0AE3" w:rsidRDefault="003B0371" w:rsidP="003B0371">
            <w:pPr>
              <w:spacing w:after="0" w:line="240" w:lineRule="auto"/>
              <w:jc w:val="center"/>
              <w:rPr>
                <w:rFonts w:eastAsia="Cambria"/>
                <w:sz w:val="16"/>
                <w:szCs w:val="16"/>
              </w:rPr>
            </w:pPr>
            <w:r w:rsidRPr="00CA0AE3">
              <w:rPr>
                <w:rFonts w:eastAsia="Cambria"/>
                <w:sz w:val="16"/>
                <w:szCs w:val="16"/>
              </w:rPr>
              <w:t>National (HEDIS)</w:t>
            </w:r>
          </w:p>
          <w:p w:rsidR="003B0371" w:rsidRPr="00CA0AE3" w:rsidRDefault="003B0371" w:rsidP="003B0371">
            <w:pPr>
              <w:spacing w:after="0" w:line="240" w:lineRule="auto"/>
              <w:jc w:val="center"/>
              <w:rPr>
                <w:rFonts w:eastAsia="Cambria"/>
                <w:sz w:val="16"/>
                <w:szCs w:val="16"/>
              </w:rPr>
            </w:pPr>
            <w:r w:rsidRPr="00CA0AE3">
              <w:rPr>
                <w:rFonts w:eastAsia="Cambria"/>
                <w:sz w:val="16"/>
                <w:szCs w:val="16"/>
              </w:rPr>
              <w:t>Medicaid 2014</w:t>
            </w:r>
          </w:p>
          <w:p w:rsidR="003B0371" w:rsidRPr="00CA0AE3" w:rsidRDefault="003B0371" w:rsidP="003B0371">
            <w:pPr>
              <w:spacing w:after="0" w:line="240" w:lineRule="auto"/>
              <w:jc w:val="center"/>
              <w:rPr>
                <w:rFonts w:eastAsia="Cambria"/>
                <w:sz w:val="16"/>
                <w:szCs w:val="16"/>
              </w:rPr>
            </w:pPr>
            <w:r w:rsidRPr="00CA0AE3">
              <w:rPr>
                <w:rFonts w:eastAsia="Cambria"/>
                <w:sz w:val="16"/>
                <w:szCs w:val="16"/>
              </w:rPr>
              <w:t>90th percentile = 76.67%</w:t>
            </w:r>
          </w:p>
        </w:tc>
        <w:tc>
          <w:tcPr>
            <w:tcW w:w="541"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3B0371" w:rsidRPr="00CA0AE3" w:rsidRDefault="003B0371" w:rsidP="003B0371">
            <w:pPr>
              <w:spacing w:after="0" w:line="240" w:lineRule="auto"/>
              <w:jc w:val="center"/>
              <w:rPr>
                <w:rFonts w:eastAsia="Cambria"/>
                <w:bCs/>
                <w:sz w:val="16"/>
                <w:szCs w:val="16"/>
              </w:rPr>
            </w:pPr>
            <w:r w:rsidRPr="00CA0AE3">
              <w:rPr>
                <w:rFonts w:eastAsia="Cambria"/>
                <w:bCs/>
                <w:sz w:val="16"/>
                <w:szCs w:val="16"/>
              </w:rPr>
              <w:t xml:space="preserve">Gap to Goal (10%) or attainment at target </w:t>
            </w:r>
          </w:p>
        </w:tc>
        <w:tc>
          <w:tcPr>
            <w:tcW w:w="370" w:type="pct"/>
            <w:gridSpan w:val="2"/>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3B0371" w:rsidRPr="00CA0AE3" w:rsidRDefault="003B0371" w:rsidP="003B0371">
            <w:pPr>
              <w:spacing w:after="0" w:line="240" w:lineRule="auto"/>
              <w:jc w:val="center"/>
              <w:rPr>
                <w:rFonts w:eastAsia="Times New Roman"/>
                <w:b/>
                <w:bCs/>
                <w:kern w:val="24"/>
                <w:sz w:val="16"/>
                <w:szCs w:val="16"/>
              </w:rPr>
            </w:pPr>
            <w:r w:rsidRPr="00CA0AE3">
              <w:rPr>
                <w:rFonts w:eastAsia="Times New Roman"/>
                <w:b/>
                <w:bCs/>
                <w:kern w:val="24"/>
                <w:sz w:val="16"/>
                <w:szCs w:val="16"/>
              </w:rPr>
              <w:t>B</w:t>
            </w:r>
          </w:p>
        </w:tc>
        <w:tc>
          <w:tcPr>
            <w:tcW w:w="405"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3B0371" w:rsidRPr="00CA0AE3" w:rsidRDefault="003B0371" w:rsidP="003B0371">
            <w:pPr>
              <w:spacing w:after="0" w:line="240" w:lineRule="auto"/>
              <w:jc w:val="center"/>
              <w:rPr>
                <w:rFonts w:eastAsia="Times New Roman"/>
                <w:b/>
                <w:bCs/>
                <w:kern w:val="24"/>
                <w:sz w:val="16"/>
                <w:szCs w:val="16"/>
              </w:rPr>
            </w:pPr>
            <w:r w:rsidRPr="00CA0AE3">
              <w:rPr>
                <w:rFonts w:eastAsia="Times New Roman"/>
                <w:b/>
                <w:bCs/>
                <w:kern w:val="24"/>
                <w:sz w:val="16"/>
                <w:szCs w:val="16"/>
              </w:rPr>
              <w:t>O</w:t>
            </w:r>
          </w:p>
        </w:tc>
        <w:tc>
          <w:tcPr>
            <w:tcW w:w="405"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3B0371" w:rsidRPr="00CA0AE3" w:rsidRDefault="003B0371" w:rsidP="003B0371">
            <w:pPr>
              <w:spacing w:after="0" w:line="240" w:lineRule="auto"/>
              <w:jc w:val="center"/>
              <w:rPr>
                <w:rFonts w:eastAsia="Times New Roman"/>
                <w:b/>
                <w:bCs/>
                <w:kern w:val="24"/>
                <w:sz w:val="16"/>
                <w:szCs w:val="16"/>
              </w:rPr>
            </w:pPr>
            <w:r w:rsidRPr="00CA0AE3">
              <w:rPr>
                <w:rFonts w:eastAsia="Times New Roman"/>
                <w:b/>
                <w:bCs/>
                <w:kern w:val="24"/>
                <w:sz w:val="16"/>
                <w:szCs w:val="16"/>
              </w:rPr>
              <w:t>O</w:t>
            </w:r>
          </w:p>
        </w:tc>
        <w:tc>
          <w:tcPr>
            <w:tcW w:w="404"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3B0371" w:rsidRPr="00CA0AE3" w:rsidRDefault="003B0371" w:rsidP="003B0371">
            <w:pPr>
              <w:spacing w:after="0" w:line="240" w:lineRule="auto"/>
              <w:jc w:val="center"/>
              <w:rPr>
                <w:rFonts w:eastAsia="Times New Roman"/>
                <w:b/>
                <w:bCs/>
                <w:kern w:val="24"/>
                <w:sz w:val="16"/>
                <w:szCs w:val="16"/>
              </w:rPr>
            </w:pPr>
            <w:r w:rsidRPr="00CA0AE3">
              <w:rPr>
                <w:rFonts w:eastAsia="Times New Roman"/>
                <w:b/>
                <w:bCs/>
                <w:kern w:val="24"/>
                <w:sz w:val="16"/>
                <w:szCs w:val="16"/>
              </w:rPr>
              <w:t>O</w:t>
            </w:r>
          </w:p>
        </w:tc>
        <w:tc>
          <w:tcPr>
            <w:tcW w:w="405"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3B0371" w:rsidRPr="00CA0AE3" w:rsidRDefault="003B0371" w:rsidP="003B0371">
            <w:pPr>
              <w:spacing w:after="0" w:line="240" w:lineRule="auto"/>
              <w:jc w:val="center"/>
              <w:rPr>
                <w:rFonts w:eastAsia="Times New Roman"/>
                <w:b/>
                <w:sz w:val="16"/>
                <w:szCs w:val="16"/>
              </w:rPr>
            </w:pPr>
            <w:r w:rsidRPr="00CA0AE3">
              <w:rPr>
                <w:rFonts w:eastAsia="Times New Roman"/>
                <w:b/>
                <w:sz w:val="16"/>
                <w:szCs w:val="16"/>
              </w:rPr>
              <w:t>O</w:t>
            </w:r>
          </w:p>
        </w:tc>
        <w:tc>
          <w:tcPr>
            <w:tcW w:w="780" w:type="pct"/>
            <w:tcBorders>
              <w:top w:val="single" w:sz="8" w:space="0" w:color="000000"/>
              <w:left w:val="single" w:sz="8" w:space="0" w:color="000000"/>
              <w:bottom w:val="single" w:sz="8" w:space="0" w:color="000000"/>
              <w:right w:val="single" w:sz="8" w:space="0" w:color="000000"/>
            </w:tcBorders>
            <w:vAlign w:val="center"/>
          </w:tcPr>
          <w:p w:rsidR="003B0371" w:rsidRPr="00CA0AE3" w:rsidRDefault="003B0371" w:rsidP="003B0371">
            <w:pPr>
              <w:spacing w:after="0" w:line="240" w:lineRule="auto"/>
              <w:rPr>
                <w:rFonts w:eastAsia="Cambria"/>
                <w:sz w:val="16"/>
                <w:szCs w:val="16"/>
              </w:rPr>
            </w:pPr>
          </w:p>
        </w:tc>
      </w:tr>
      <w:tr w:rsidR="003B0371" w:rsidRPr="00CA0AE3" w:rsidTr="005011EC">
        <w:trPr>
          <w:cantSplit/>
        </w:trPr>
        <w:tc>
          <w:tcPr>
            <w:tcW w:w="118" w:type="pct"/>
            <w:tcBorders>
              <w:top w:val="single" w:sz="8" w:space="0" w:color="000000"/>
              <w:left w:val="single" w:sz="8" w:space="0" w:color="000000"/>
              <w:bottom w:val="single" w:sz="8" w:space="0" w:color="000000"/>
              <w:right w:val="single" w:sz="8" w:space="0" w:color="000000"/>
            </w:tcBorders>
            <w:shd w:val="clear" w:color="auto" w:fill="auto"/>
            <w:vAlign w:val="center"/>
          </w:tcPr>
          <w:p w:rsidR="003B0371" w:rsidRPr="00CA0AE3" w:rsidRDefault="003B0371" w:rsidP="006374A3">
            <w:pPr>
              <w:spacing w:after="0" w:line="240" w:lineRule="auto"/>
              <w:jc w:val="center"/>
              <w:rPr>
                <w:rFonts w:eastAsia="Times New Roman"/>
                <w:bCs/>
                <w:kern w:val="24"/>
                <w:sz w:val="16"/>
                <w:szCs w:val="16"/>
              </w:rPr>
            </w:pPr>
            <w:r w:rsidRPr="00CA0AE3">
              <w:rPr>
                <w:rFonts w:eastAsia="Times New Roman"/>
                <w:bCs/>
                <w:kern w:val="24"/>
                <w:sz w:val="16"/>
                <w:szCs w:val="16"/>
              </w:rPr>
              <w:t>1</w:t>
            </w:r>
            <w:r w:rsidR="006374A3" w:rsidRPr="00CA0AE3">
              <w:rPr>
                <w:rFonts w:eastAsia="Times New Roman"/>
                <w:bCs/>
                <w:kern w:val="24"/>
                <w:sz w:val="16"/>
                <w:szCs w:val="16"/>
              </w:rPr>
              <w:t>2</w:t>
            </w:r>
          </w:p>
        </w:tc>
        <w:tc>
          <w:tcPr>
            <w:tcW w:w="662"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3B0371" w:rsidRPr="00CA0AE3" w:rsidRDefault="003B0371" w:rsidP="003B0371">
            <w:pPr>
              <w:spacing w:after="0" w:line="240" w:lineRule="auto"/>
              <w:rPr>
                <w:rFonts w:eastAsia="Cambria"/>
                <w:bCs/>
                <w:sz w:val="16"/>
                <w:szCs w:val="16"/>
              </w:rPr>
            </w:pPr>
            <w:r w:rsidRPr="00CA0AE3">
              <w:rPr>
                <w:rFonts w:eastAsia="Cambria"/>
                <w:bCs/>
                <w:sz w:val="16"/>
                <w:szCs w:val="16"/>
              </w:rPr>
              <w:t>Screening for metabolic disorders (psychiatric inpatient discharges on routinely-scheduled antipsychotic screened during/before stay)</w:t>
            </w:r>
          </w:p>
        </w:tc>
        <w:tc>
          <w:tcPr>
            <w:tcW w:w="370"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3B0371" w:rsidRPr="00CA0AE3" w:rsidRDefault="003B0371" w:rsidP="003B0371">
            <w:pPr>
              <w:spacing w:after="0" w:line="240" w:lineRule="auto"/>
              <w:jc w:val="center"/>
              <w:rPr>
                <w:rFonts w:eastAsia="Cambria"/>
                <w:bCs/>
                <w:sz w:val="16"/>
                <w:szCs w:val="16"/>
              </w:rPr>
            </w:pPr>
            <w:r w:rsidRPr="00CA0AE3">
              <w:rPr>
                <w:rFonts w:eastAsia="Cambria"/>
                <w:bCs/>
                <w:sz w:val="16"/>
                <w:szCs w:val="16"/>
              </w:rPr>
              <w:t>CMS IPFQR</w:t>
            </w:r>
          </w:p>
        </w:tc>
        <w:tc>
          <w:tcPr>
            <w:tcW w:w="540"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3B0371" w:rsidRPr="00CA0AE3" w:rsidRDefault="003B0371" w:rsidP="003B0371">
            <w:pPr>
              <w:spacing w:after="0" w:line="240" w:lineRule="auto"/>
              <w:jc w:val="center"/>
              <w:rPr>
                <w:rFonts w:eastAsia="Cambria"/>
                <w:sz w:val="16"/>
                <w:szCs w:val="16"/>
              </w:rPr>
            </w:pPr>
            <w:r w:rsidRPr="00CA0AE3">
              <w:rPr>
                <w:rFonts w:eastAsia="Cambria"/>
                <w:sz w:val="16"/>
                <w:szCs w:val="16"/>
              </w:rPr>
              <w:t>No external benchmark</w:t>
            </w:r>
          </w:p>
        </w:tc>
        <w:tc>
          <w:tcPr>
            <w:tcW w:w="541"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3B0371" w:rsidRPr="00CA0AE3" w:rsidRDefault="003B0371" w:rsidP="003B0371">
            <w:pPr>
              <w:spacing w:after="0" w:line="240" w:lineRule="auto"/>
              <w:jc w:val="center"/>
              <w:rPr>
                <w:rFonts w:eastAsia="Cambria"/>
                <w:bCs/>
                <w:sz w:val="16"/>
                <w:szCs w:val="16"/>
              </w:rPr>
            </w:pPr>
            <w:r w:rsidRPr="00CA0AE3">
              <w:rPr>
                <w:rFonts w:eastAsia="Cambria"/>
                <w:bCs/>
                <w:sz w:val="16"/>
                <w:szCs w:val="16"/>
              </w:rPr>
              <w:t>Improvement over CY 2017 baseline</w:t>
            </w:r>
          </w:p>
        </w:tc>
        <w:tc>
          <w:tcPr>
            <w:tcW w:w="370" w:type="pct"/>
            <w:gridSpan w:val="2"/>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3B0371" w:rsidRPr="00CA0AE3" w:rsidRDefault="003B0371" w:rsidP="003B0371">
            <w:pPr>
              <w:spacing w:after="0" w:line="240" w:lineRule="auto"/>
              <w:jc w:val="center"/>
              <w:rPr>
                <w:rFonts w:eastAsia="Times New Roman"/>
                <w:b/>
                <w:bCs/>
                <w:kern w:val="24"/>
                <w:sz w:val="16"/>
                <w:szCs w:val="16"/>
              </w:rPr>
            </w:pPr>
            <w:r w:rsidRPr="00CA0AE3">
              <w:rPr>
                <w:rFonts w:eastAsia="Times New Roman"/>
                <w:b/>
                <w:bCs/>
                <w:kern w:val="24"/>
                <w:sz w:val="16"/>
                <w:szCs w:val="16"/>
              </w:rPr>
              <w:t>B</w:t>
            </w:r>
          </w:p>
          <w:p w:rsidR="003B0371" w:rsidRPr="00CA0AE3" w:rsidRDefault="003B0371" w:rsidP="003B0371">
            <w:pPr>
              <w:spacing w:after="0" w:line="240" w:lineRule="auto"/>
              <w:jc w:val="center"/>
              <w:rPr>
                <w:rFonts w:eastAsia="Times New Roman"/>
                <w:bCs/>
                <w:kern w:val="24"/>
                <w:sz w:val="16"/>
                <w:szCs w:val="16"/>
              </w:rPr>
            </w:pPr>
            <w:r w:rsidRPr="00CA0AE3">
              <w:rPr>
                <w:rFonts w:eastAsia="Times New Roman"/>
                <w:bCs/>
                <w:kern w:val="24"/>
                <w:sz w:val="16"/>
                <w:szCs w:val="16"/>
              </w:rPr>
              <w:t>(CY2017)</w:t>
            </w:r>
          </w:p>
        </w:tc>
        <w:tc>
          <w:tcPr>
            <w:tcW w:w="405"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3B0371" w:rsidRPr="00CA0AE3" w:rsidRDefault="003B0371" w:rsidP="003B0371">
            <w:pPr>
              <w:spacing w:after="0" w:line="240" w:lineRule="auto"/>
              <w:jc w:val="center"/>
              <w:rPr>
                <w:rFonts w:eastAsia="Times New Roman"/>
                <w:b/>
                <w:bCs/>
                <w:kern w:val="24"/>
                <w:sz w:val="16"/>
                <w:szCs w:val="16"/>
              </w:rPr>
            </w:pPr>
            <w:r w:rsidRPr="00CA0AE3">
              <w:rPr>
                <w:rFonts w:eastAsia="Times New Roman"/>
                <w:b/>
                <w:bCs/>
                <w:kern w:val="24"/>
                <w:sz w:val="16"/>
                <w:szCs w:val="16"/>
              </w:rPr>
              <w:t>O</w:t>
            </w:r>
          </w:p>
          <w:p w:rsidR="003B0371" w:rsidRPr="00CA0AE3" w:rsidRDefault="003B0371" w:rsidP="003B0371">
            <w:pPr>
              <w:spacing w:after="0" w:line="240" w:lineRule="auto"/>
              <w:jc w:val="center"/>
              <w:rPr>
                <w:rFonts w:eastAsia="Times New Roman"/>
                <w:bCs/>
                <w:kern w:val="24"/>
                <w:sz w:val="16"/>
                <w:szCs w:val="16"/>
              </w:rPr>
            </w:pPr>
            <w:r w:rsidRPr="00CA0AE3">
              <w:rPr>
                <w:rFonts w:eastAsia="Times New Roman"/>
                <w:bCs/>
                <w:kern w:val="24"/>
                <w:sz w:val="16"/>
                <w:szCs w:val="16"/>
              </w:rPr>
              <w:t>(CY2018)</w:t>
            </w:r>
          </w:p>
          <w:p w:rsidR="003B0371" w:rsidRPr="00CA0AE3" w:rsidRDefault="003B0371" w:rsidP="003B0371">
            <w:pPr>
              <w:spacing w:after="0" w:line="240" w:lineRule="auto"/>
              <w:jc w:val="center"/>
              <w:rPr>
                <w:rFonts w:eastAsia="Times New Roman"/>
                <w:b/>
                <w:bCs/>
                <w:kern w:val="24"/>
                <w:sz w:val="16"/>
                <w:szCs w:val="16"/>
              </w:rPr>
            </w:pPr>
            <w:r w:rsidRPr="00CA0AE3">
              <w:rPr>
                <w:rFonts w:eastAsia="Times New Roman"/>
                <w:bCs/>
                <w:kern w:val="24"/>
                <w:sz w:val="16"/>
                <w:szCs w:val="16"/>
              </w:rPr>
              <w:t>2% increase over CY2017</w:t>
            </w:r>
          </w:p>
        </w:tc>
        <w:tc>
          <w:tcPr>
            <w:tcW w:w="405"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3B0371" w:rsidRPr="00CA0AE3" w:rsidRDefault="003B0371" w:rsidP="003B0371">
            <w:pPr>
              <w:spacing w:after="0" w:line="240" w:lineRule="auto"/>
              <w:jc w:val="center"/>
              <w:rPr>
                <w:rFonts w:eastAsia="Times New Roman"/>
                <w:b/>
                <w:bCs/>
                <w:kern w:val="24"/>
                <w:sz w:val="16"/>
                <w:szCs w:val="16"/>
              </w:rPr>
            </w:pPr>
            <w:r w:rsidRPr="00CA0AE3">
              <w:rPr>
                <w:rFonts w:eastAsia="Times New Roman"/>
                <w:b/>
                <w:bCs/>
                <w:kern w:val="24"/>
                <w:sz w:val="16"/>
                <w:szCs w:val="16"/>
              </w:rPr>
              <w:t>O</w:t>
            </w:r>
          </w:p>
          <w:p w:rsidR="003B0371" w:rsidRPr="00CA0AE3" w:rsidRDefault="003B0371" w:rsidP="003B0371">
            <w:pPr>
              <w:spacing w:after="0" w:line="240" w:lineRule="auto"/>
              <w:jc w:val="center"/>
              <w:rPr>
                <w:rFonts w:eastAsia="Times New Roman"/>
                <w:bCs/>
                <w:kern w:val="24"/>
                <w:sz w:val="16"/>
                <w:szCs w:val="16"/>
              </w:rPr>
            </w:pPr>
            <w:r w:rsidRPr="00CA0AE3">
              <w:rPr>
                <w:rFonts w:eastAsia="Times New Roman"/>
                <w:bCs/>
                <w:kern w:val="24"/>
                <w:sz w:val="16"/>
                <w:szCs w:val="16"/>
              </w:rPr>
              <w:t>(CY2019)</w:t>
            </w:r>
          </w:p>
          <w:p w:rsidR="003B0371" w:rsidRPr="00CA0AE3" w:rsidRDefault="003B0371" w:rsidP="003B0371">
            <w:pPr>
              <w:spacing w:after="0" w:line="240" w:lineRule="auto"/>
              <w:jc w:val="center"/>
              <w:rPr>
                <w:rFonts w:eastAsia="Times New Roman"/>
                <w:b/>
                <w:bCs/>
                <w:kern w:val="24"/>
                <w:sz w:val="16"/>
                <w:szCs w:val="16"/>
              </w:rPr>
            </w:pPr>
            <w:r w:rsidRPr="00CA0AE3">
              <w:rPr>
                <w:rFonts w:eastAsia="Times New Roman"/>
                <w:bCs/>
                <w:kern w:val="24"/>
                <w:sz w:val="16"/>
                <w:szCs w:val="16"/>
              </w:rPr>
              <w:t>5% increase over CY2017</w:t>
            </w:r>
          </w:p>
        </w:tc>
        <w:tc>
          <w:tcPr>
            <w:tcW w:w="404"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3B0371" w:rsidRPr="00CA0AE3" w:rsidRDefault="003B0371" w:rsidP="003B0371">
            <w:pPr>
              <w:spacing w:after="0" w:line="240" w:lineRule="auto"/>
              <w:jc w:val="center"/>
              <w:rPr>
                <w:rFonts w:eastAsia="Times New Roman"/>
                <w:b/>
                <w:bCs/>
                <w:kern w:val="24"/>
                <w:sz w:val="16"/>
                <w:szCs w:val="16"/>
              </w:rPr>
            </w:pPr>
            <w:r w:rsidRPr="00CA0AE3">
              <w:rPr>
                <w:rFonts w:eastAsia="Times New Roman"/>
                <w:b/>
                <w:bCs/>
                <w:kern w:val="24"/>
                <w:sz w:val="16"/>
                <w:szCs w:val="16"/>
              </w:rPr>
              <w:t>O</w:t>
            </w:r>
          </w:p>
          <w:p w:rsidR="003B0371" w:rsidRPr="00CA0AE3" w:rsidRDefault="003B0371" w:rsidP="003B0371">
            <w:pPr>
              <w:spacing w:after="0" w:line="240" w:lineRule="auto"/>
              <w:jc w:val="center"/>
              <w:rPr>
                <w:rFonts w:eastAsia="Times New Roman"/>
                <w:bCs/>
                <w:kern w:val="24"/>
                <w:sz w:val="16"/>
                <w:szCs w:val="16"/>
              </w:rPr>
            </w:pPr>
            <w:r w:rsidRPr="00CA0AE3">
              <w:rPr>
                <w:rFonts w:eastAsia="Times New Roman"/>
                <w:bCs/>
                <w:kern w:val="24"/>
                <w:sz w:val="16"/>
                <w:szCs w:val="16"/>
              </w:rPr>
              <w:t>(CY2020)</w:t>
            </w:r>
          </w:p>
          <w:p w:rsidR="003B0371" w:rsidRPr="00CA0AE3" w:rsidRDefault="003B0371" w:rsidP="003B0371">
            <w:pPr>
              <w:spacing w:after="0" w:line="240" w:lineRule="auto"/>
              <w:jc w:val="center"/>
              <w:rPr>
                <w:rFonts w:eastAsia="Times New Roman"/>
                <w:b/>
                <w:bCs/>
                <w:kern w:val="24"/>
                <w:sz w:val="16"/>
                <w:szCs w:val="16"/>
              </w:rPr>
            </w:pPr>
            <w:r w:rsidRPr="00CA0AE3">
              <w:rPr>
                <w:rFonts w:eastAsia="Times New Roman"/>
                <w:bCs/>
                <w:kern w:val="24"/>
                <w:sz w:val="16"/>
                <w:szCs w:val="16"/>
              </w:rPr>
              <w:t>8% increase over CY2017</w:t>
            </w:r>
          </w:p>
        </w:tc>
        <w:tc>
          <w:tcPr>
            <w:tcW w:w="405"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3B0371" w:rsidRPr="00CA0AE3" w:rsidRDefault="003B0371" w:rsidP="003B0371">
            <w:pPr>
              <w:spacing w:after="0" w:line="240" w:lineRule="auto"/>
              <w:jc w:val="center"/>
              <w:rPr>
                <w:rFonts w:eastAsia="Times New Roman"/>
                <w:b/>
                <w:sz w:val="16"/>
                <w:szCs w:val="16"/>
              </w:rPr>
            </w:pPr>
            <w:r w:rsidRPr="00CA0AE3">
              <w:rPr>
                <w:rFonts w:eastAsia="Times New Roman"/>
                <w:b/>
                <w:sz w:val="16"/>
                <w:szCs w:val="16"/>
              </w:rPr>
              <w:t>O</w:t>
            </w:r>
          </w:p>
          <w:p w:rsidR="003B0371" w:rsidRPr="00CA0AE3" w:rsidRDefault="003B0371" w:rsidP="003B0371">
            <w:pPr>
              <w:spacing w:after="0" w:line="240" w:lineRule="auto"/>
              <w:jc w:val="center"/>
              <w:rPr>
                <w:rFonts w:eastAsia="Times New Roman"/>
                <w:sz w:val="16"/>
                <w:szCs w:val="16"/>
              </w:rPr>
            </w:pPr>
            <w:r w:rsidRPr="00CA0AE3">
              <w:rPr>
                <w:rFonts w:eastAsia="Times New Roman"/>
                <w:sz w:val="16"/>
                <w:szCs w:val="16"/>
              </w:rPr>
              <w:t>(CY2021)</w:t>
            </w:r>
          </w:p>
          <w:p w:rsidR="003B0371" w:rsidRPr="00CA0AE3" w:rsidRDefault="003B0371" w:rsidP="003B0371">
            <w:pPr>
              <w:spacing w:after="0" w:line="240" w:lineRule="auto"/>
              <w:jc w:val="center"/>
              <w:rPr>
                <w:rFonts w:eastAsia="Times New Roman"/>
                <w:b/>
                <w:sz w:val="16"/>
                <w:szCs w:val="16"/>
              </w:rPr>
            </w:pPr>
            <w:r w:rsidRPr="00CA0AE3">
              <w:rPr>
                <w:rFonts w:eastAsia="Times New Roman"/>
                <w:sz w:val="16"/>
                <w:szCs w:val="16"/>
              </w:rPr>
              <w:t>10% increase over CY2017</w:t>
            </w:r>
          </w:p>
        </w:tc>
        <w:tc>
          <w:tcPr>
            <w:tcW w:w="780" w:type="pct"/>
            <w:tcBorders>
              <w:top w:val="single" w:sz="8" w:space="0" w:color="000000"/>
              <w:left w:val="single" w:sz="8" w:space="0" w:color="000000"/>
              <w:bottom w:val="single" w:sz="8" w:space="0" w:color="000000"/>
              <w:right w:val="single" w:sz="8" w:space="0" w:color="000000"/>
            </w:tcBorders>
            <w:vAlign w:val="center"/>
          </w:tcPr>
          <w:p w:rsidR="003B0371" w:rsidRPr="00CA0AE3" w:rsidRDefault="003B0371" w:rsidP="003B0371">
            <w:pPr>
              <w:spacing w:after="0" w:line="240" w:lineRule="auto"/>
              <w:rPr>
                <w:rFonts w:eastAsia="Cambria"/>
                <w:sz w:val="16"/>
                <w:szCs w:val="16"/>
              </w:rPr>
            </w:pPr>
            <w:r w:rsidRPr="00CA0AE3">
              <w:rPr>
                <w:rFonts w:eastAsia="Cambria"/>
                <w:sz w:val="16"/>
                <w:szCs w:val="16"/>
              </w:rPr>
              <w:t>No existing benchmark; CMSIPFQR measure to be implemented 1/1/17</w:t>
            </w:r>
          </w:p>
        </w:tc>
      </w:tr>
      <w:tr w:rsidR="003B0371" w:rsidRPr="00CA0AE3" w:rsidTr="005011EC">
        <w:trPr>
          <w:cantSplit/>
        </w:trPr>
        <w:tc>
          <w:tcPr>
            <w:tcW w:w="118" w:type="pct"/>
            <w:tcBorders>
              <w:top w:val="single" w:sz="8" w:space="0" w:color="000000"/>
              <w:left w:val="single" w:sz="8" w:space="0" w:color="000000"/>
              <w:bottom w:val="single" w:sz="8" w:space="0" w:color="000000"/>
              <w:right w:val="single" w:sz="8" w:space="0" w:color="000000"/>
            </w:tcBorders>
            <w:shd w:val="clear" w:color="auto" w:fill="auto"/>
            <w:vAlign w:val="center"/>
          </w:tcPr>
          <w:p w:rsidR="003B0371" w:rsidRPr="00CA0AE3" w:rsidRDefault="003B0371" w:rsidP="006374A3">
            <w:pPr>
              <w:spacing w:after="0" w:line="240" w:lineRule="auto"/>
              <w:jc w:val="center"/>
              <w:rPr>
                <w:rFonts w:eastAsia="Times New Roman"/>
                <w:bCs/>
                <w:kern w:val="24"/>
                <w:sz w:val="16"/>
                <w:szCs w:val="16"/>
              </w:rPr>
            </w:pPr>
            <w:r w:rsidRPr="00CA0AE3">
              <w:rPr>
                <w:rFonts w:eastAsia="Times New Roman"/>
                <w:bCs/>
                <w:kern w:val="24"/>
                <w:sz w:val="16"/>
                <w:szCs w:val="16"/>
              </w:rPr>
              <w:t>1</w:t>
            </w:r>
            <w:r w:rsidR="006374A3" w:rsidRPr="00CA0AE3">
              <w:rPr>
                <w:rFonts w:eastAsia="Times New Roman"/>
                <w:bCs/>
                <w:kern w:val="24"/>
                <w:sz w:val="16"/>
                <w:szCs w:val="16"/>
              </w:rPr>
              <w:t>3</w:t>
            </w:r>
          </w:p>
        </w:tc>
        <w:tc>
          <w:tcPr>
            <w:tcW w:w="662"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3B0371" w:rsidRPr="00CA0AE3" w:rsidRDefault="003B0371" w:rsidP="003B0371">
            <w:pPr>
              <w:spacing w:after="0" w:line="240" w:lineRule="auto"/>
              <w:rPr>
                <w:rFonts w:eastAsia="Cambria"/>
                <w:bCs/>
                <w:sz w:val="16"/>
                <w:szCs w:val="16"/>
              </w:rPr>
            </w:pPr>
            <w:r w:rsidRPr="00CA0AE3">
              <w:rPr>
                <w:rFonts w:eastAsia="Cambria"/>
                <w:bCs/>
                <w:sz w:val="16"/>
                <w:szCs w:val="16"/>
              </w:rPr>
              <w:t>Increase the percentage of BH Home target population patients who have a care plan</w:t>
            </w:r>
            <w:r w:rsidR="00FE1FDF" w:rsidRPr="00CA0AE3">
              <w:rPr>
                <w:rFonts w:eastAsia="Cambria"/>
                <w:bCs/>
                <w:sz w:val="16"/>
                <w:szCs w:val="16"/>
              </w:rPr>
              <w:t xml:space="preserve"> (care plans may include CHA coordinated care plan and/or ACO behavioral health community partner care plan)</w:t>
            </w:r>
          </w:p>
        </w:tc>
        <w:tc>
          <w:tcPr>
            <w:tcW w:w="370"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3B0371" w:rsidRPr="00CA0AE3" w:rsidRDefault="003B0371" w:rsidP="003B0371">
            <w:pPr>
              <w:spacing w:after="0" w:line="240" w:lineRule="auto"/>
              <w:jc w:val="center"/>
              <w:rPr>
                <w:rFonts w:eastAsia="Cambria"/>
                <w:bCs/>
                <w:sz w:val="16"/>
                <w:szCs w:val="16"/>
              </w:rPr>
            </w:pPr>
          </w:p>
          <w:p w:rsidR="003B0371" w:rsidRPr="00CA0AE3" w:rsidRDefault="003B0371" w:rsidP="003B0371">
            <w:pPr>
              <w:spacing w:after="0" w:line="240" w:lineRule="auto"/>
              <w:jc w:val="center"/>
              <w:rPr>
                <w:rFonts w:eastAsia="Cambria"/>
                <w:bCs/>
                <w:sz w:val="16"/>
                <w:szCs w:val="16"/>
              </w:rPr>
            </w:pPr>
            <w:r w:rsidRPr="00CA0AE3">
              <w:rPr>
                <w:rFonts w:eastAsia="Cambria"/>
                <w:bCs/>
                <w:sz w:val="16"/>
                <w:szCs w:val="16"/>
              </w:rPr>
              <w:t>NCQA Medical Home</w:t>
            </w:r>
          </w:p>
        </w:tc>
        <w:tc>
          <w:tcPr>
            <w:tcW w:w="540"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3B0371" w:rsidRPr="00CA0AE3" w:rsidRDefault="003B0371" w:rsidP="003B0371">
            <w:pPr>
              <w:spacing w:after="0" w:line="240" w:lineRule="auto"/>
              <w:jc w:val="center"/>
              <w:rPr>
                <w:rFonts w:eastAsia="Cambria"/>
                <w:sz w:val="16"/>
                <w:szCs w:val="16"/>
              </w:rPr>
            </w:pPr>
            <w:r w:rsidRPr="00CA0AE3">
              <w:rPr>
                <w:rFonts w:eastAsia="Cambria"/>
                <w:sz w:val="16"/>
                <w:szCs w:val="16"/>
              </w:rPr>
              <w:t>NCQA 2014 Medical Home Standard = 75.00%</w:t>
            </w:r>
          </w:p>
        </w:tc>
        <w:tc>
          <w:tcPr>
            <w:tcW w:w="541"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3B0371" w:rsidRPr="00CA0AE3" w:rsidRDefault="003B0371" w:rsidP="003B0371">
            <w:pPr>
              <w:spacing w:after="0" w:line="240" w:lineRule="auto"/>
              <w:jc w:val="center"/>
              <w:rPr>
                <w:rFonts w:eastAsia="Cambria"/>
                <w:bCs/>
                <w:sz w:val="16"/>
                <w:szCs w:val="16"/>
              </w:rPr>
            </w:pPr>
            <w:r w:rsidRPr="00CA0AE3">
              <w:rPr>
                <w:rFonts w:eastAsia="Cambria"/>
                <w:bCs/>
                <w:sz w:val="16"/>
                <w:szCs w:val="16"/>
              </w:rPr>
              <w:t>Gap to Goal (10%) or attainment at target</w:t>
            </w:r>
          </w:p>
        </w:tc>
        <w:tc>
          <w:tcPr>
            <w:tcW w:w="370" w:type="pct"/>
            <w:gridSpan w:val="2"/>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3B0371" w:rsidRPr="00CA0AE3" w:rsidRDefault="003B0371" w:rsidP="003B0371">
            <w:pPr>
              <w:spacing w:after="0" w:line="240" w:lineRule="auto"/>
              <w:jc w:val="center"/>
              <w:rPr>
                <w:rFonts w:eastAsia="Times New Roman"/>
                <w:b/>
                <w:bCs/>
                <w:kern w:val="24"/>
                <w:sz w:val="16"/>
                <w:szCs w:val="16"/>
              </w:rPr>
            </w:pPr>
            <w:r w:rsidRPr="00CA0AE3">
              <w:rPr>
                <w:rFonts w:eastAsia="Times New Roman"/>
                <w:b/>
                <w:bCs/>
                <w:kern w:val="24"/>
                <w:sz w:val="16"/>
                <w:szCs w:val="16"/>
              </w:rPr>
              <w:t>O</w:t>
            </w:r>
          </w:p>
        </w:tc>
        <w:tc>
          <w:tcPr>
            <w:tcW w:w="405"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3B0371" w:rsidRPr="00CA0AE3" w:rsidRDefault="003B0371" w:rsidP="003B0371">
            <w:pPr>
              <w:spacing w:after="0" w:line="240" w:lineRule="auto"/>
              <w:jc w:val="center"/>
              <w:rPr>
                <w:rFonts w:eastAsia="Times New Roman"/>
                <w:b/>
                <w:bCs/>
                <w:kern w:val="24"/>
                <w:sz w:val="16"/>
                <w:szCs w:val="16"/>
              </w:rPr>
            </w:pPr>
            <w:r w:rsidRPr="00CA0AE3">
              <w:rPr>
                <w:rFonts w:eastAsia="Times New Roman"/>
                <w:b/>
                <w:bCs/>
                <w:kern w:val="24"/>
                <w:sz w:val="16"/>
                <w:szCs w:val="16"/>
              </w:rPr>
              <w:t>O</w:t>
            </w:r>
          </w:p>
        </w:tc>
        <w:tc>
          <w:tcPr>
            <w:tcW w:w="405"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3B0371" w:rsidRPr="00CA0AE3" w:rsidRDefault="003B0371" w:rsidP="003B0371">
            <w:pPr>
              <w:spacing w:after="0" w:line="240" w:lineRule="auto"/>
              <w:jc w:val="center"/>
              <w:rPr>
                <w:rFonts w:eastAsia="Times New Roman"/>
                <w:b/>
                <w:bCs/>
                <w:kern w:val="24"/>
                <w:sz w:val="16"/>
                <w:szCs w:val="16"/>
              </w:rPr>
            </w:pPr>
            <w:r w:rsidRPr="00CA0AE3">
              <w:rPr>
                <w:rFonts w:eastAsia="Times New Roman"/>
                <w:b/>
                <w:bCs/>
                <w:kern w:val="24"/>
                <w:sz w:val="16"/>
                <w:szCs w:val="16"/>
              </w:rPr>
              <w:t>O</w:t>
            </w:r>
          </w:p>
        </w:tc>
        <w:tc>
          <w:tcPr>
            <w:tcW w:w="404"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3B0371" w:rsidRPr="00CA0AE3" w:rsidRDefault="003B0371" w:rsidP="003B0371">
            <w:pPr>
              <w:spacing w:after="0" w:line="240" w:lineRule="auto"/>
              <w:jc w:val="center"/>
              <w:rPr>
                <w:rFonts w:eastAsia="Times New Roman"/>
                <w:b/>
                <w:bCs/>
                <w:kern w:val="24"/>
                <w:sz w:val="16"/>
                <w:szCs w:val="16"/>
              </w:rPr>
            </w:pPr>
            <w:r w:rsidRPr="00CA0AE3">
              <w:rPr>
                <w:rFonts w:eastAsia="Times New Roman"/>
                <w:b/>
                <w:bCs/>
                <w:kern w:val="24"/>
                <w:sz w:val="16"/>
                <w:szCs w:val="16"/>
              </w:rPr>
              <w:t>O</w:t>
            </w:r>
          </w:p>
        </w:tc>
        <w:tc>
          <w:tcPr>
            <w:tcW w:w="405"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3B0371" w:rsidRPr="00CA0AE3" w:rsidRDefault="003B0371" w:rsidP="003B0371">
            <w:pPr>
              <w:spacing w:after="0" w:line="240" w:lineRule="auto"/>
              <w:jc w:val="center"/>
              <w:rPr>
                <w:rFonts w:eastAsia="Times New Roman"/>
                <w:b/>
                <w:sz w:val="16"/>
                <w:szCs w:val="16"/>
              </w:rPr>
            </w:pPr>
            <w:r w:rsidRPr="00CA0AE3">
              <w:rPr>
                <w:rFonts w:eastAsia="Times New Roman"/>
                <w:b/>
                <w:sz w:val="16"/>
                <w:szCs w:val="16"/>
              </w:rPr>
              <w:t>O</w:t>
            </w:r>
          </w:p>
        </w:tc>
        <w:tc>
          <w:tcPr>
            <w:tcW w:w="780" w:type="pct"/>
            <w:tcBorders>
              <w:top w:val="single" w:sz="8" w:space="0" w:color="000000"/>
              <w:left w:val="single" w:sz="8" w:space="0" w:color="000000"/>
              <w:bottom w:val="single" w:sz="8" w:space="0" w:color="000000"/>
              <w:right w:val="single" w:sz="8" w:space="0" w:color="000000"/>
            </w:tcBorders>
            <w:vAlign w:val="center"/>
          </w:tcPr>
          <w:p w:rsidR="003B0371" w:rsidRPr="00CA0AE3" w:rsidRDefault="003B0371" w:rsidP="003B0371">
            <w:pPr>
              <w:spacing w:after="0" w:line="240" w:lineRule="auto"/>
              <w:rPr>
                <w:rFonts w:eastAsia="Cambria"/>
                <w:sz w:val="16"/>
                <w:szCs w:val="16"/>
              </w:rPr>
            </w:pPr>
            <w:r w:rsidRPr="00CA0AE3">
              <w:rPr>
                <w:rFonts w:eastAsia="Cambria"/>
                <w:sz w:val="16"/>
                <w:szCs w:val="16"/>
              </w:rPr>
              <w:t>Target of 75% is 2014 NCQA Medical Home standard.</w:t>
            </w:r>
          </w:p>
        </w:tc>
      </w:tr>
    </w:tbl>
    <w:p w:rsidR="00ED4745" w:rsidRPr="00CA0AE3" w:rsidRDefault="00ED4745">
      <w:pPr>
        <w:spacing w:after="0" w:line="240" w:lineRule="auto"/>
        <w:rPr>
          <w:b/>
        </w:rPr>
        <w:sectPr w:rsidR="00ED4745" w:rsidRPr="00CA0AE3" w:rsidSect="00147DA7">
          <w:footerReference w:type="default" r:id="rId16"/>
          <w:pgSz w:w="15840" w:h="12240" w:orient="landscape"/>
          <w:pgMar w:top="1440" w:right="1260" w:bottom="1260" w:left="1260" w:header="720" w:footer="720" w:gutter="0"/>
          <w:cols w:space="720"/>
          <w:docGrid w:linePitch="360"/>
        </w:sect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1728"/>
        <w:gridCol w:w="7073"/>
      </w:tblGrid>
      <w:tr w:rsidR="0065130B" w:rsidRPr="00CA0AE3" w:rsidTr="000D08DB">
        <w:trPr>
          <w:trHeight w:val="159"/>
          <w:tblHeader/>
        </w:trPr>
        <w:tc>
          <w:tcPr>
            <w:tcW w:w="1728" w:type="dxa"/>
            <w:tcBorders>
              <w:top w:val="single" w:sz="4" w:space="0" w:color="auto"/>
              <w:bottom w:val="single" w:sz="6" w:space="0" w:color="auto"/>
            </w:tcBorders>
            <w:shd w:val="clear" w:color="auto" w:fill="C6D9F1" w:themeFill="text2" w:themeFillTint="33"/>
          </w:tcPr>
          <w:p w:rsidR="0065130B" w:rsidRPr="00CA0AE3" w:rsidRDefault="0065130B" w:rsidP="00F229A7">
            <w:pPr>
              <w:pStyle w:val="Default"/>
              <w:rPr>
                <w:sz w:val="22"/>
                <w:szCs w:val="22"/>
              </w:rPr>
            </w:pPr>
            <w:r w:rsidRPr="00CA0AE3">
              <w:rPr>
                <w:b/>
                <w:bCs/>
                <w:sz w:val="22"/>
                <w:szCs w:val="22"/>
                <w:shd w:val="clear" w:color="auto" w:fill="C6D9F1" w:themeFill="text2" w:themeFillTint="33"/>
              </w:rPr>
              <w:lastRenderedPageBreak/>
              <w:t>Initiative Title</w:t>
            </w:r>
            <w:r w:rsidRPr="00CA0AE3">
              <w:rPr>
                <w:b/>
                <w:bCs/>
                <w:sz w:val="22"/>
                <w:szCs w:val="22"/>
              </w:rPr>
              <w:t xml:space="preserve"> </w:t>
            </w:r>
          </w:p>
        </w:tc>
        <w:tc>
          <w:tcPr>
            <w:tcW w:w="7073" w:type="dxa"/>
          </w:tcPr>
          <w:p w:rsidR="0065130B" w:rsidRPr="00CA0AE3" w:rsidRDefault="0065130B" w:rsidP="00F229A7">
            <w:pPr>
              <w:pStyle w:val="Default"/>
              <w:rPr>
                <w:sz w:val="22"/>
                <w:szCs w:val="22"/>
              </w:rPr>
            </w:pPr>
            <w:r w:rsidRPr="00CA0AE3">
              <w:rPr>
                <w:sz w:val="22"/>
                <w:szCs w:val="22"/>
              </w:rPr>
              <w:t xml:space="preserve">3. Referral Management and Integrated Care Management </w:t>
            </w:r>
          </w:p>
        </w:tc>
      </w:tr>
      <w:tr w:rsidR="0065130B" w:rsidRPr="00CA0AE3" w:rsidTr="001336A1">
        <w:trPr>
          <w:trHeight w:val="159"/>
        </w:trPr>
        <w:tc>
          <w:tcPr>
            <w:tcW w:w="8801" w:type="dxa"/>
            <w:gridSpan w:val="2"/>
            <w:shd w:val="clear" w:color="auto" w:fill="C6D9F1" w:themeFill="text2" w:themeFillTint="33"/>
          </w:tcPr>
          <w:p w:rsidR="0065130B" w:rsidRPr="00CA0AE3" w:rsidRDefault="0065130B" w:rsidP="00F229A7">
            <w:pPr>
              <w:pStyle w:val="Default"/>
              <w:rPr>
                <w:sz w:val="22"/>
                <w:szCs w:val="22"/>
              </w:rPr>
            </w:pPr>
            <w:r w:rsidRPr="00CA0AE3">
              <w:rPr>
                <w:b/>
                <w:bCs/>
                <w:sz w:val="22"/>
                <w:szCs w:val="22"/>
              </w:rPr>
              <w:t xml:space="preserve">Description/Rationale </w:t>
            </w:r>
          </w:p>
        </w:tc>
      </w:tr>
      <w:tr w:rsidR="0065130B" w:rsidRPr="00CA0AE3" w:rsidTr="005D0811">
        <w:trPr>
          <w:trHeight w:val="2064"/>
        </w:trPr>
        <w:tc>
          <w:tcPr>
            <w:tcW w:w="8801" w:type="dxa"/>
            <w:gridSpan w:val="2"/>
          </w:tcPr>
          <w:p w:rsidR="0065130B" w:rsidRPr="00CA0AE3" w:rsidRDefault="0065130B" w:rsidP="00F229A7">
            <w:pPr>
              <w:pStyle w:val="Default"/>
              <w:rPr>
                <w:sz w:val="22"/>
                <w:szCs w:val="22"/>
              </w:rPr>
            </w:pPr>
            <w:r w:rsidRPr="00CA0AE3">
              <w:rPr>
                <w:sz w:val="22"/>
                <w:szCs w:val="22"/>
              </w:rPr>
              <w:t xml:space="preserve">Toward the goals of better health and optimal, more coordinated and cost-effective care, this suite of initiatives is aimed at increasing patient access to high-quality care, promote appropriate referrals and access (i.e. the right provider in the right setting) based on the complexity of the patient’s needs. Providing integrated care across the continuum </w:t>
            </w:r>
            <w:r w:rsidR="000F1D36" w:rsidRPr="00CA0AE3">
              <w:rPr>
                <w:sz w:val="22"/>
                <w:szCs w:val="22"/>
              </w:rPr>
              <w:t xml:space="preserve">of </w:t>
            </w:r>
            <w:r w:rsidRPr="00CA0AE3">
              <w:rPr>
                <w:sz w:val="22"/>
                <w:szCs w:val="22"/>
              </w:rPr>
              <w:t>care through effective referral management and care coordination is foundational to the accountable care model and alternative payment arrangements with quality, cost and health care utilization accountability.  This is particularly important for Medicaid and other vulnerable patient populations that often face barriers to care and care fragmentation.</w:t>
            </w:r>
          </w:p>
          <w:p w:rsidR="0065130B" w:rsidRPr="00CA0AE3" w:rsidRDefault="0065130B" w:rsidP="00F229A7">
            <w:pPr>
              <w:pStyle w:val="Default"/>
              <w:rPr>
                <w:sz w:val="22"/>
                <w:szCs w:val="22"/>
              </w:rPr>
            </w:pPr>
          </w:p>
          <w:p w:rsidR="0065130B" w:rsidRPr="00CA0AE3" w:rsidRDefault="0065130B" w:rsidP="00F229A7">
            <w:pPr>
              <w:pStyle w:val="Default"/>
              <w:rPr>
                <w:sz w:val="22"/>
                <w:szCs w:val="22"/>
              </w:rPr>
            </w:pPr>
            <w:r w:rsidRPr="00CA0AE3">
              <w:rPr>
                <w:sz w:val="22"/>
                <w:szCs w:val="22"/>
              </w:rPr>
              <w:t>This initiative builds and supports systems to maintain a preferred, high value</w:t>
            </w:r>
            <w:r w:rsidR="000D08DB" w:rsidRPr="00CA0AE3">
              <w:rPr>
                <w:sz w:val="22"/>
                <w:szCs w:val="22"/>
              </w:rPr>
              <w:t xml:space="preserve"> </w:t>
            </w:r>
            <w:r w:rsidRPr="00CA0AE3">
              <w:rPr>
                <w:sz w:val="22"/>
                <w:szCs w:val="22"/>
              </w:rPr>
              <w:t xml:space="preserve">network and simultaneously provide highly coordinated and quality care. This initiative aims to accomplish this in four ways: focus on public hospital system access and effective operational improvements in primary care and specialties, encourage public hospital referrals and the use of care within the public hospital system and with clearly defined high value preferred provider networks enabled to coordinate care, build relationships with key community-based partners such as visiting nurse associations (VNAs), skilled nursing facilities (SNFs), and detoxification facilities, and leverage proven technology to improve access and convenience for </w:t>
            </w:r>
            <w:r w:rsidR="000F1D36" w:rsidRPr="00CA0AE3">
              <w:rPr>
                <w:sz w:val="22"/>
                <w:szCs w:val="22"/>
              </w:rPr>
              <w:t>the</w:t>
            </w:r>
            <w:r w:rsidRPr="00CA0AE3">
              <w:rPr>
                <w:sz w:val="22"/>
                <w:szCs w:val="22"/>
              </w:rPr>
              <w:t xml:space="preserve"> patient panel to specialty opinions and care. The Massachusetts Office of the Attorney General’s report published in September, 2015 found wide variation in the prices health insurance companies pay providers for similar services, unexplained by differences in quality, complexity of services, or other common measures of consumer value. The report found that </w:t>
            </w:r>
            <w:r w:rsidR="001075EC" w:rsidRPr="00CA0AE3">
              <w:rPr>
                <w:sz w:val="22"/>
                <w:szCs w:val="22"/>
              </w:rPr>
              <w:t>h</w:t>
            </w:r>
            <w:r w:rsidRPr="00CA0AE3">
              <w:rPr>
                <w:sz w:val="22"/>
                <w:szCs w:val="22"/>
              </w:rPr>
              <w:t>igher priced providers are drawing patient volume from lower priced providers</w:t>
            </w:r>
            <w:r w:rsidR="001075EC" w:rsidRPr="00CA0AE3">
              <w:rPr>
                <w:sz w:val="22"/>
                <w:szCs w:val="22"/>
              </w:rPr>
              <w:t xml:space="preserve">, which </w:t>
            </w:r>
            <w:r w:rsidRPr="00CA0AE3">
              <w:rPr>
                <w:sz w:val="22"/>
                <w:szCs w:val="22"/>
              </w:rPr>
              <w:t xml:space="preserve">increases costs as care is shifted from less </w:t>
            </w:r>
            <w:r w:rsidR="001075EC" w:rsidRPr="00CA0AE3">
              <w:rPr>
                <w:sz w:val="22"/>
                <w:szCs w:val="22"/>
              </w:rPr>
              <w:t>costly community</w:t>
            </w:r>
            <w:r w:rsidRPr="00CA0AE3">
              <w:rPr>
                <w:sz w:val="22"/>
                <w:szCs w:val="22"/>
              </w:rPr>
              <w:t xml:space="preserve"> settings to </w:t>
            </w:r>
            <w:r w:rsidR="001075EC" w:rsidRPr="00CA0AE3">
              <w:rPr>
                <w:sz w:val="22"/>
                <w:szCs w:val="22"/>
              </w:rPr>
              <w:t xml:space="preserve">higher relative price </w:t>
            </w:r>
            <w:r w:rsidRPr="00CA0AE3">
              <w:rPr>
                <w:sz w:val="22"/>
                <w:szCs w:val="22"/>
              </w:rPr>
              <w:t>settings.</w:t>
            </w:r>
            <w:r w:rsidRPr="00CA0AE3">
              <w:rPr>
                <w:rStyle w:val="FootnoteReference"/>
                <w:sz w:val="22"/>
                <w:szCs w:val="22"/>
              </w:rPr>
              <w:footnoteReference w:id="85"/>
            </w:r>
            <w:r w:rsidRPr="00CA0AE3">
              <w:rPr>
                <w:sz w:val="22"/>
                <w:szCs w:val="22"/>
              </w:rPr>
              <w:t xml:space="preserve"> To address this, payers and employers in Massachusetts have embraced referral networks comprised of high value providers as an opportunity to address costs. Initial analysis of this strategy based on  state experience within a Massachusetts state employees plan has shown up to a 36% reduction in expenditures for patient panels that switch to a narrow network insurance plan.</w:t>
            </w:r>
            <w:r w:rsidRPr="00CA0AE3">
              <w:rPr>
                <w:rStyle w:val="FootnoteReference"/>
                <w:sz w:val="22"/>
                <w:szCs w:val="22"/>
              </w:rPr>
              <w:footnoteReference w:id="86"/>
            </w:r>
            <w:r w:rsidRPr="00CA0AE3">
              <w:rPr>
                <w:sz w:val="22"/>
                <w:szCs w:val="22"/>
              </w:rPr>
              <w:t xml:space="preserve"> </w:t>
            </w:r>
          </w:p>
          <w:p w:rsidR="0065130B" w:rsidRPr="00CA0AE3" w:rsidRDefault="0065130B" w:rsidP="00F229A7">
            <w:pPr>
              <w:pStyle w:val="Default"/>
              <w:rPr>
                <w:sz w:val="22"/>
                <w:szCs w:val="22"/>
              </w:rPr>
            </w:pPr>
          </w:p>
          <w:p w:rsidR="0065130B" w:rsidRPr="00CA0AE3" w:rsidRDefault="0065130B" w:rsidP="00F229A7">
            <w:pPr>
              <w:pStyle w:val="Default"/>
              <w:rPr>
                <w:sz w:val="22"/>
                <w:szCs w:val="22"/>
              </w:rPr>
            </w:pPr>
            <w:r w:rsidRPr="00CA0AE3">
              <w:rPr>
                <w:sz w:val="22"/>
                <w:szCs w:val="22"/>
              </w:rPr>
              <w:t xml:space="preserve">Encouraging a preferred and narrow network requires multidisciplinary leadership, systems and collaboration in primary care, medical and surgical specialties, behavioral health and the emergency department. Providers and patients need to feel confident that the choice in care is patient-centered and high-quality.  Integration and clinical teams will work to develop relationships and business arrangements to align the value-based interests of non-traditional caregivers often critical during care transitions such as VNAs and SNFs.  This initiative will expand the capacity of the public hospital’s medical, surgical and behavioral health specialists to coordinate and manage referrals internally, including redirected referrals from higher cost, lower-value external referrals. Toward this end, this initiative will focus on monitoring and improving the rate of referrals within the public hospital system and with in-network clinical affiliates, and measures of quality, productivity and access to specialists. </w:t>
            </w:r>
          </w:p>
          <w:p w:rsidR="0065130B" w:rsidRPr="00CA0AE3" w:rsidRDefault="0065130B" w:rsidP="00F229A7">
            <w:pPr>
              <w:pStyle w:val="Default"/>
              <w:rPr>
                <w:sz w:val="22"/>
                <w:szCs w:val="22"/>
              </w:rPr>
            </w:pPr>
          </w:p>
          <w:p w:rsidR="0065130B" w:rsidRPr="00CA0AE3" w:rsidRDefault="0065130B" w:rsidP="008D61B5">
            <w:pPr>
              <w:pStyle w:val="Default"/>
              <w:rPr>
                <w:rFonts w:asciiTheme="minorHAnsi" w:hAnsiTheme="minorHAnsi"/>
                <w:i/>
                <w:sz w:val="22"/>
                <w:szCs w:val="22"/>
              </w:rPr>
            </w:pPr>
            <w:r w:rsidRPr="00CA0AE3">
              <w:rPr>
                <w:sz w:val="22"/>
                <w:szCs w:val="22"/>
              </w:rPr>
              <w:t xml:space="preserve">In addition, this initiative will refine emergency department (ED) and inpatient case management capabilities to offer alternative treatment modalities and community-based care to patients who do not need admission. This initiative will expand e-consults beyond tele-dermatology based on success and evidence from both the public hospital and other systems in order to increase access to consultations with specialists, reduce cost and </w:t>
            </w:r>
            <w:r w:rsidR="008D61B5" w:rsidRPr="00CA0AE3">
              <w:rPr>
                <w:sz w:val="22"/>
                <w:szCs w:val="22"/>
              </w:rPr>
              <w:t xml:space="preserve">enable </w:t>
            </w:r>
            <w:r w:rsidRPr="00CA0AE3">
              <w:rPr>
                <w:sz w:val="22"/>
                <w:szCs w:val="22"/>
              </w:rPr>
              <w:t xml:space="preserve">more capacity for face-to-face visits </w:t>
            </w:r>
            <w:r w:rsidRPr="00CA0AE3">
              <w:rPr>
                <w:sz w:val="22"/>
                <w:szCs w:val="22"/>
              </w:rPr>
              <w:lastRenderedPageBreak/>
              <w:t>when appropriate.</w:t>
            </w:r>
            <w:r w:rsidRPr="00CA0AE3">
              <w:rPr>
                <w:rStyle w:val="FootnoteReference"/>
                <w:sz w:val="22"/>
                <w:szCs w:val="22"/>
              </w:rPr>
              <w:footnoteReference w:id="87"/>
            </w:r>
            <w:r w:rsidRPr="00CA0AE3">
              <w:rPr>
                <w:sz w:val="22"/>
                <w:szCs w:val="22"/>
              </w:rPr>
              <w:t xml:space="preserve"> This initiative may also focus on facilitating transportation to in-network care providers for patients who lack transportation by utilizing a non-medical transportation support service. Convenience and effectiveness also drives efforts to examine and take advantage of text-messaging in care management. Evidence for the potential of text messages providing improvements in disease prevention and management interventions have been observed for weight loss, smoking cessation, and diabetes management. These effects appeared to exist among adolescents and adults, among minority and non-minority populations, and across nationalities.</w:t>
            </w:r>
            <w:r w:rsidRPr="00CA0AE3">
              <w:rPr>
                <w:rStyle w:val="FootnoteReference"/>
                <w:sz w:val="22"/>
                <w:szCs w:val="22"/>
              </w:rPr>
              <w:footnoteReference w:id="88"/>
            </w:r>
            <w:r w:rsidRPr="00CA0AE3">
              <w:rPr>
                <w:sz w:val="22"/>
                <w:szCs w:val="22"/>
              </w:rPr>
              <w:t xml:space="preserve"> </w:t>
            </w:r>
          </w:p>
        </w:tc>
      </w:tr>
      <w:tr w:rsidR="0065130B" w:rsidRPr="00CA0AE3" w:rsidTr="00C947DF">
        <w:trPr>
          <w:trHeight w:val="297"/>
        </w:trPr>
        <w:tc>
          <w:tcPr>
            <w:tcW w:w="8801" w:type="dxa"/>
            <w:gridSpan w:val="2"/>
            <w:shd w:val="clear" w:color="auto" w:fill="C6D9F1" w:themeFill="text2" w:themeFillTint="33"/>
            <w:vAlign w:val="center"/>
          </w:tcPr>
          <w:p w:rsidR="0065130B" w:rsidRPr="00CA0AE3" w:rsidRDefault="0065130B" w:rsidP="00C947DF">
            <w:pPr>
              <w:pStyle w:val="Default"/>
              <w:rPr>
                <w:b/>
                <w:sz w:val="22"/>
                <w:szCs w:val="22"/>
              </w:rPr>
            </w:pPr>
            <w:r w:rsidRPr="00CA0AE3">
              <w:rPr>
                <w:b/>
                <w:sz w:val="22"/>
                <w:szCs w:val="22"/>
              </w:rPr>
              <w:lastRenderedPageBreak/>
              <w:t>Goals/Objectives</w:t>
            </w:r>
          </w:p>
        </w:tc>
      </w:tr>
      <w:tr w:rsidR="0065130B" w:rsidRPr="00CA0AE3" w:rsidTr="001336A1">
        <w:trPr>
          <w:trHeight w:val="2469"/>
        </w:trPr>
        <w:tc>
          <w:tcPr>
            <w:tcW w:w="8801" w:type="dxa"/>
            <w:gridSpan w:val="2"/>
            <w:shd w:val="clear" w:color="auto" w:fill="auto"/>
          </w:tcPr>
          <w:p w:rsidR="0065130B" w:rsidRPr="00CA0AE3" w:rsidRDefault="0065130B" w:rsidP="00F229A7">
            <w:pPr>
              <w:pStyle w:val="Default"/>
              <w:rPr>
                <w:sz w:val="22"/>
                <w:szCs w:val="22"/>
              </w:rPr>
            </w:pPr>
            <w:r w:rsidRPr="00CA0AE3">
              <w:rPr>
                <w:sz w:val="22"/>
                <w:szCs w:val="22"/>
              </w:rPr>
              <w:t xml:space="preserve">This initiative will use referral and outmigration processes to drive high value, coordinated care for patients and advance Accountable Care Organization (ACO), total cost of care strategies, and increased retention of appropriate care within the public hospital system. </w:t>
            </w:r>
          </w:p>
          <w:p w:rsidR="0065130B" w:rsidRPr="00CA0AE3" w:rsidRDefault="0065130B" w:rsidP="0065130B">
            <w:pPr>
              <w:pStyle w:val="Default"/>
              <w:numPr>
                <w:ilvl w:val="0"/>
                <w:numId w:val="47"/>
              </w:numPr>
              <w:rPr>
                <w:sz w:val="22"/>
                <w:szCs w:val="22"/>
              </w:rPr>
            </w:pPr>
            <w:r w:rsidRPr="00CA0AE3">
              <w:rPr>
                <w:sz w:val="22"/>
                <w:szCs w:val="22"/>
              </w:rPr>
              <w:t>Improve patient care coordination, continuity of care, and referral to services within a high value, clinically integrated network with emphasis on the public hospital system, other community-based services, and with clinical affiliates.</w:t>
            </w:r>
          </w:p>
          <w:p w:rsidR="0065130B" w:rsidRPr="00CA0AE3" w:rsidRDefault="0065130B" w:rsidP="0065130B">
            <w:pPr>
              <w:pStyle w:val="Default"/>
              <w:numPr>
                <w:ilvl w:val="0"/>
                <w:numId w:val="47"/>
              </w:numPr>
              <w:rPr>
                <w:sz w:val="22"/>
                <w:szCs w:val="22"/>
              </w:rPr>
            </w:pPr>
            <w:r w:rsidRPr="00CA0AE3">
              <w:rPr>
                <w:sz w:val="22"/>
                <w:szCs w:val="22"/>
              </w:rPr>
              <w:t xml:space="preserve">Increase access and efficiency of the public hospital system’s clinical services by retaining services when appropriate. </w:t>
            </w:r>
          </w:p>
          <w:p w:rsidR="0065130B" w:rsidRPr="00CA0AE3" w:rsidRDefault="0065130B" w:rsidP="0065130B">
            <w:pPr>
              <w:pStyle w:val="Default"/>
              <w:numPr>
                <w:ilvl w:val="0"/>
                <w:numId w:val="47"/>
              </w:numPr>
              <w:rPr>
                <w:sz w:val="22"/>
                <w:szCs w:val="22"/>
              </w:rPr>
            </w:pPr>
            <w:r w:rsidRPr="00CA0AE3">
              <w:rPr>
                <w:sz w:val="22"/>
                <w:szCs w:val="22"/>
              </w:rPr>
              <w:t xml:space="preserve">Reduce out-migration of inpatient and ED services for patient panel to non-public hospital facilities, where appropriate.  Preliminary analysis of Medicaid inpatient stays and ED utilization outside the public hospital system confirms the opportunity to improve performance through care coordination within integrated community networks. Data reveals that a significant portion of inpatient care (up to 60%) and ED visits (up to 30%) across various payor cohorts occur outside of the system, frequently at higher-cost institutions, which add cost and care fragmentation. </w:t>
            </w:r>
          </w:p>
          <w:p w:rsidR="0065130B" w:rsidRPr="00CA0AE3" w:rsidRDefault="0065130B" w:rsidP="0065130B">
            <w:pPr>
              <w:pStyle w:val="Default"/>
              <w:numPr>
                <w:ilvl w:val="0"/>
                <w:numId w:val="47"/>
              </w:numPr>
              <w:rPr>
                <w:sz w:val="22"/>
                <w:szCs w:val="22"/>
              </w:rPr>
            </w:pPr>
            <w:r w:rsidRPr="00CA0AE3">
              <w:rPr>
                <w:sz w:val="22"/>
                <w:szCs w:val="22"/>
              </w:rPr>
              <w:t>Support the delivery of care by the right provider, in the right care setting and at the right time by reducing care received outside of the public hospital system when clinically indicated and increasing access to specialty health care and other community-based services outside of the acute care setting.</w:t>
            </w:r>
          </w:p>
          <w:p w:rsidR="0065130B" w:rsidRPr="00CA0AE3" w:rsidRDefault="0065130B" w:rsidP="0065130B">
            <w:pPr>
              <w:pStyle w:val="Default"/>
              <w:numPr>
                <w:ilvl w:val="0"/>
                <w:numId w:val="47"/>
              </w:numPr>
              <w:rPr>
                <w:sz w:val="22"/>
                <w:szCs w:val="22"/>
              </w:rPr>
            </w:pPr>
            <w:r w:rsidRPr="00CA0AE3">
              <w:rPr>
                <w:sz w:val="22"/>
                <w:szCs w:val="22"/>
              </w:rPr>
              <w:t>Promote alternate care modalities, as clinically appropriate, as options in lieu of avoidable emergency department and/or inpatient care.</w:t>
            </w:r>
          </w:p>
          <w:p w:rsidR="0065130B" w:rsidRPr="00CA0AE3" w:rsidRDefault="0065130B" w:rsidP="0065130B">
            <w:pPr>
              <w:pStyle w:val="Default"/>
              <w:numPr>
                <w:ilvl w:val="0"/>
                <w:numId w:val="47"/>
              </w:numPr>
              <w:rPr>
                <w:sz w:val="22"/>
                <w:szCs w:val="22"/>
              </w:rPr>
            </w:pPr>
            <w:r w:rsidRPr="00CA0AE3">
              <w:rPr>
                <w:sz w:val="22"/>
                <w:szCs w:val="22"/>
              </w:rPr>
              <w:t>Launch innovations, such as e-consults, patient care communications/messaging, and patient transportation options to overcome barriers to access to ambulatory care and promote patient self-management of their health conditions.</w:t>
            </w:r>
          </w:p>
          <w:p w:rsidR="0065130B" w:rsidRPr="00CA0AE3" w:rsidRDefault="0065130B" w:rsidP="0065130B">
            <w:pPr>
              <w:pStyle w:val="Default"/>
              <w:numPr>
                <w:ilvl w:val="0"/>
                <w:numId w:val="47"/>
              </w:numPr>
              <w:rPr>
                <w:sz w:val="22"/>
                <w:szCs w:val="22"/>
              </w:rPr>
            </w:pPr>
            <w:r w:rsidRPr="00CA0AE3">
              <w:rPr>
                <w:sz w:val="22"/>
                <w:szCs w:val="22"/>
              </w:rPr>
              <w:t xml:space="preserve">Encourage in-depth clinical collaborations and the use of defined provider partnerships, including VNAs, SNFs, and substance use treatment. </w:t>
            </w:r>
          </w:p>
          <w:p w:rsidR="0065130B" w:rsidRPr="00CA0AE3" w:rsidRDefault="0065130B" w:rsidP="0065130B">
            <w:pPr>
              <w:pStyle w:val="Default"/>
              <w:numPr>
                <w:ilvl w:val="0"/>
                <w:numId w:val="47"/>
              </w:numPr>
              <w:rPr>
                <w:sz w:val="22"/>
                <w:szCs w:val="22"/>
              </w:rPr>
            </w:pPr>
            <w:r w:rsidRPr="00CA0AE3">
              <w:rPr>
                <w:sz w:val="22"/>
                <w:szCs w:val="22"/>
              </w:rPr>
              <w:t xml:space="preserve">Advance total cost of care strategies. </w:t>
            </w:r>
          </w:p>
        </w:tc>
      </w:tr>
    </w:tbl>
    <w:p w:rsidR="0088262E" w:rsidRPr="00CA0AE3" w:rsidRDefault="0088262E"/>
    <w:p w:rsidR="0088262E" w:rsidRPr="00CA0AE3" w:rsidRDefault="0088262E">
      <w:pPr>
        <w:spacing w:after="0" w:line="240" w:lineRule="auto"/>
      </w:pPr>
      <w:r w:rsidRPr="00CA0AE3">
        <w:br w:type="page"/>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801"/>
      </w:tblGrid>
      <w:tr w:rsidR="0088262E" w:rsidRPr="00CA0AE3" w:rsidTr="00CA0AE3">
        <w:trPr>
          <w:trHeight w:val="297"/>
        </w:trPr>
        <w:tc>
          <w:tcPr>
            <w:tcW w:w="8801" w:type="dxa"/>
            <w:shd w:val="clear" w:color="auto" w:fill="C6D9F1" w:themeFill="text2" w:themeFillTint="33"/>
          </w:tcPr>
          <w:p w:rsidR="0088262E" w:rsidRPr="00CA0AE3" w:rsidRDefault="0088262E" w:rsidP="00CA0AE3">
            <w:pPr>
              <w:pStyle w:val="Default"/>
              <w:rPr>
                <w:b/>
                <w:sz w:val="22"/>
                <w:szCs w:val="22"/>
              </w:rPr>
            </w:pPr>
            <w:r w:rsidRPr="00CA0AE3">
              <w:rPr>
                <w:b/>
                <w:sz w:val="22"/>
                <w:szCs w:val="22"/>
              </w:rPr>
              <w:lastRenderedPageBreak/>
              <w:t>Core Components</w:t>
            </w:r>
          </w:p>
        </w:tc>
      </w:tr>
      <w:tr w:rsidR="0088262E" w:rsidRPr="00CA0AE3" w:rsidTr="00CA0AE3">
        <w:trPr>
          <w:trHeight w:val="3414"/>
        </w:trPr>
        <w:tc>
          <w:tcPr>
            <w:tcW w:w="8801" w:type="dxa"/>
          </w:tcPr>
          <w:p w:rsidR="0088262E" w:rsidRPr="00CA0AE3" w:rsidRDefault="0088262E" w:rsidP="00CA0AE3">
            <w:pPr>
              <w:pStyle w:val="Default"/>
            </w:pPr>
            <w:r w:rsidRPr="00CA0AE3">
              <w:t>This initiative if undertaken, may include the following components:</w:t>
            </w:r>
          </w:p>
          <w:p w:rsidR="0088262E" w:rsidRPr="00CA0AE3" w:rsidRDefault="0088262E" w:rsidP="0088262E">
            <w:pPr>
              <w:pStyle w:val="Default"/>
              <w:numPr>
                <w:ilvl w:val="0"/>
                <w:numId w:val="49"/>
              </w:numPr>
            </w:pPr>
            <w:r w:rsidRPr="00CA0AE3">
              <w:t>Build on current on specialty care coordination within the public hospital system and advance up to three specialty access improvement initiatives along measurable dimensions for timeliness of appointments, access, quality, and reduction in out-of-network specialty care referrals.</w:t>
            </w:r>
          </w:p>
          <w:p w:rsidR="0088262E" w:rsidRPr="00CA0AE3" w:rsidRDefault="0088262E" w:rsidP="0088262E">
            <w:pPr>
              <w:pStyle w:val="Default"/>
              <w:numPr>
                <w:ilvl w:val="0"/>
                <w:numId w:val="49"/>
              </w:numPr>
            </w:pPr>
            <w:r w:rsidRPr="00CA0AE3">
              <w:t>Develop capabilities for referral systems for mental health and substance use disorder services within the public hospital system and a coordinated care network.</w:t>
            </w:r>
          </w:p>
          <w:p w:rsidR="0088262E" w:rsidRPr="00CA0AE3" w:rsidRDefault="0088262E" w:rsidP="0088262E">
            <w:pPr>
              <w:pStyle w:val="Default"/>
              <w:numPr>
                <w:ilvl w:val="0"/>
                <w:numId w:val="49"/>
              </w:numPr>
            </w:pPr>
            <w:r w:rsidRPr="00CA0AE3">
              <w:t>Encourage patients to receive care at the public hospital system for inpatient, ED, and specialty services or at high-value preferred partners when clinical conditions such as tertiary care are beyond the scope of the public hospital system.</w:t>
            </w:r>
          </w:p>
          <w:p w:rsidR="0088262E" w:rsidRPr="00CA0AE3" w:rsidRDefault="0088262E" w:rsidP="0088262E">
            <w:pPr>
              <w:pStyle w:val="Default"/>
              <w:numPr>
                <w:ilvl w:val="1"/>
                <w:numId w:val="48"/>
              </w:numPr>
            </w:pPr>
            <w:r w:rsidRPr="00CA0AE3">
              <w:t>Engage case management in the ED to organize home-based services tailored to the needs of the patient such as community-based integrated transition facilitators, visiting nurses, and/or home visits by nurse practitioners to ensure post-ED aftercare is in place. This builds on the ED committment to providing the highest and most needs-sensitive care possible for patient populations and fosters clinical partnerships with post-ED community-based providers.</w:t>
            </w:r>
          </w:p>
          <w:p w:rsidR="0088262E" w:rsidRPr="00CA0AE3" w:rsidRDefault="0088262E" w:rsidP="0088262E">
            <w:pPr>
              <w:pStyle w:val="Default"/>
              <w:numPr>
                <w:ilvl w:val="1"/>
                <w:numId w:val="48"/>
              </w:numPr>
            </w:pPr>
            <w:r w:rsidRPr="00CA0AE3">
              <w:t xml:space="preserve">Patient education by public hospital system primary care teams to reinforce the value and care coordination benefits of “staying within the public hospital system” campaign.  This may include patient education materials and after visit summaries that emphasize referrals and follow-up appointments. </w:t>
            </w:r>
          </w:p>
          <w:p w:rsidR="0088262E" w:rsidRPr="00CA0AE3" w:rsidRDefault="0088262E" w:rsidP="0088262E">
            <w:pPr>
              <w:pStyle w:val="Default"/>
              <w:numPr>
                <w:ilvl w:val="1"/>
                <w:numId w:val="48"/>
              </w:numPr>
            </w:pPr>
            <w:r w:rsidRPr="00CA0AE3">
              <w:t>Use recent and ongoing surveys of public hospital system specialists and primary care teams to develop and communicate standardized specialty-specific key interventions prior to a referral which makes the specialty visit more productive and may prevent avoidable referrals or tests.</w:t>
            </w:r>
          </w:p>
          <w:p w:rsidR="0088262E" w:rsidRPr="00CA0AE3" w:rsidRDefault="0088262E" w:rsidP="0088262E">
            <w:pPr>
              <w:pStyle w:val="Default"/>
              <w:numPr>
                <w:ilvl w:val="1"/>
                <w:numId w:val="48"/>
              </w:numPr>
            </w:pPr>
            <w:r w:rsidRPr="00CA0AE3">
              <w:t>Review patterns of referrals by primary care region, referring provider, and specialty to determine opportunities to influence decisions to utilize the public hospital system whenever possible.</w:t>
            </w:r>
          </w:p>
          <w:p w:rsidR="0088262E" w:rsidRPr="00CA0AE3" w:rsidRDefault="0088262E" w:rsidP="0088262E">
            <w:pPr>
              <w:pStyle w:val="Default"/>
              <w:numPr>
                <w:ilvl w:val="0"/>
                <w:numId w:val="49"/>
              </w:numPr>
            </w:pPr>
            <w:r w:rsidRPr="00CA0AE3">
              <w:t>Leverage effective post-acute and community-based providers to address gaps in care or to increase care coordination.</w:t>
            </w:r>
          </w:p>
          <w:p w:rsidR="0088262E" w:rsidRPr="00CA0AE3" w:rsidRDefault="0088262E" w:rsidP="0088262E">
            <w:pPr>
              <w:pStyle w:val="Default"/>
              <w:numPr>
                <w:ilvl w:val="1"/>
                <w:numId w:val="49"/>
              </w:numPr>
            </w:pPr>
            <w:r w:rsidRPr="00CA0AE3">
              <w:t xml:space="preserve">Define, develop and refine formal agreements with post-acute providers, such as VNAs, SNFs and detoxification facilities, with both programmatic support and skilled clinical personnel. </w:t>
            </w:r>
          </w:p>
          <w:p w:rsidR="0088262E" w:rsidRPr="00CA0AE3" w:rsidRDefault="0088262E" w:rsidP="0088262E">
            <w:pPr>
              <w:pStyle w:val="Default"/>
              <w:numPr>
                <w:ilvl w:val="0"/>
                <w:numId w:val="49"/>
              </w:numPr>
            </w:pPr>
            <w:r w:rsidRPr="00CA0AE3">
              <w:t>Develop transportation solutions (such as Uber / Lyft / taxi) for patients to ensure that they can make their scheduled medical appointments and to facilitate usage of the appropriate facilities and network of providers.</w:t>
            </w:r>
          </w:p>
          <w:p w:rsidR="0088262E" w:rsidRPr="00CA0AE3" w:rsidRDefault="0088262E" w:rsidP="0088262E">
            <w:pPr>
              <w:pStyle w:val="Default"/>
              <w:numPr>
                <w:ilvl w:val="0"/>
                <w:numId w:val="49"/>
              </w:numPr>
            </w:pPr>
            <w:r w:rsidRPr="00CA0AE3">
              <w:t xml:space="preserve">Execute newly designed mobile paramedic program which may deploy highly skilled paramedics to the home to assess and evaluate patients with the goal to match the patient’s needs with the appropriate level of care, thereby allowing patients to remain in the community and avoid potentially preventable emergency and inpatient utilization when appropriate. </w:t>
            </w:r>
          </w:p>
          <w:p w:rsidR="0088262E" w:rsidRPr="00CA0AE3" w:rsidRDefault="0088262E" w:rsidP="0088262E">
            <w:pPr>
              <w:pStyle w:val="Default"/>
              <w:numPr>
                <w:ilvl w:val="0"/>
                <w:numId w:val="49"/>
              </w:numPr>
            </w:pPr>
            <w:r w:rsidRPr="00CA0AE3">
              <w:t xml:space="preserve">Develop tools and processes for active referrals to mental health and addictions  providers </w:t>
            </w:r>
          </w:p>
          <w:p w:rsidR="0088262E" w:rsidRPr="00CA0AE3" w:rsidRDefault="0088262E" w:rsidP="0088262E">
            <w:pPr>
              <w:pStyle w:val="Default"/>
              <w:numPr>
                <w:ilvl w:val="0"/>
                <w:numId w:val="49"/>
              </w:numPr>
            </w:pPr>
            <w:r w:rsidRPr="00CA0AE3">
              <w:t>Further expand the electronic platform for consultations (e-consults) to maximize specialty access and minimize patient inconvenience and cost.</w:t>
            </w:r>
          </w:p>
          <w:p w:rsidR="0088262E" w:rsidRPr="00CA0AE3" w:rsidRDefault="0088262E" w:rsidP="0088262E">
            <w:pPr>
              <w:pStyle w:val="Default"/>
              <w:numPr>
                <w:ilvl w:val="0"/>
                <w:numId w:val="49"/>
              </w:numPr>
            </w:pPr>
            <w:r w:rsidRPr="00CA0AE3">
              <w:lastRenderedPageBreak/>
              <w:t>Establish patient communication tools to enhance care coordination such as enhanced use of the patient portal platform of electronic medical record (EMR) as well as texting programs for care management, care coordination and appointment reminders.</w:t>
            </w:r>
          </w:p>
          <w:p w:rsidR="0088262E" w:rsidRPr="00CA0AE3" w:rsidRDefault="0088262E" w:rsidP="0088262E">
            <w:pPr>
              <w:pStyle w:val="Default"/>
              <w:numPr>
                <w:ilvl w:val="0"/>
                <w:numId w:val="49"/>
              </w:numPr>
            </w:pPr>
            <w:r w:rsidRPr="00CA0AE3">
              <w:t xml:space="preserve">Expand preferred provider relationships to include clinical services not provided at the public hospital system and include these in the EMR Referral Guidance directory in order to maximize quality and clinical connectivity. </w:t>
            </w:r>
          </w:p>
          <w:p w:rsidR="0088262E" w:rsidRPr="00CA0AE3" w:rsidRDefault="0088262E" w:rsidP="0088262E">
            <w:pPr>
              <w:pStyle w:val="Default"/>
              <w:numPr>
                <w:ilvl w:val="0"/>
                <w:numId w:val="49"/>
              </w:numPr>
            </w:pPr>
            <w:r w:rsidRPr="00CA0AE3">
              <w:t>Engage an appropriate leadership team including multidisciplinary stakeholders on referral management work.</w:t>
            </w:r>
          </w:p>
          <w:p w:rsidR="0088262E" w:rsidRPr="00CA0AE3" w:rsidRDefault="0088262E" w:rsidP="0088262E">
            <w:pPr>
              <w:pStyle w:val="Default"/>
              <w:numPr>
                <w:ilvl w:val="0"/>
                <w:numId w:val="49"/>
              </w:numPr>
            </w:pPr>
            <w:r w:rsidRPr="00CA0AE3">
              <w:t>Refine existing patient attribution and outreach efforts to identify and schedule appointments with new or unengaged patients.</w:t>
            </w:r>
          </w:p>
          <w:p w:rsidR="0088262E" w:rsidRPr="00CA0AE3" w:rsidRDefault="0088262E" w:rsidP="0088262E">
            <w:pPr>
              <w:pStyle w:val="Default"/>
              <w:numPr>
                <w:ilvl w:val="0"/>
                <w:numId w:val="49"/>
              </w:numPr>
            </w:pPr>
            <w:r w:rsidRPr="00CA0AE3">
              <w:t>Restructure primary care triaging processes to address patients’ immediate and urgent care needs.</w:t>
            </w:r>
          </w:p>
          <w:p w:rsidR="0088262E" w:rsidRPr="00CA0AE3" w:rsidRDefault="0088262E" w:rsidP="0088262E">
            <w:pPr>
              <w:pStyle w:val="Default"/>
              <w:numPr>
                <w:ilvl w:val="0"/>
                <w:numId w:val="49"/>
              </w:numPr>
            </w:pPr>
            <w:r w:rsidRPr="00CA0AE3">
              <w:t>Continue to develop/refine reporting tools to support referral management work.</w:t>
            </w:r>
          </w:p>
          <w:p w:rsidR="0088262E" w:rsidRPr="00CA0AE3" w:rsidRDefault="0088262E" w:rsidP="0088262E">
            <w:pPr>
              <w:pStyle w:val="Default"/>
              <w:numPr>
                <w:ilvl w:val="0"/>
                <w:numId w:val="49"/>
              </w:numPr>
            </w:pPr>
            <w:r w:rsidRPr="00CA0AE3">
              <w:t>Develop, adopt, and monitor referral management policies and procedures that align with defined ACO strategies (such as escalation for ED transfers, etc).</w:t>
            </w:r>
          </w:p>
          <w:p w:rsidR="0088262E" w:rsidRPr="00CA0AE3" w:rsidRDefault="0088262E" w:rsidP="0088262E">
            <w:pPr>
              <w:pStyle w:val="Default"/>
              <w:numPr>
                <w:ilvl w:val="0"/>
                <w:numId w:val="49"/>
              </w:numPr>
            </w:pPr>
            <w:r w:rsidRPr="00CA0AE3">
              <w:t>Identify practice region and specialty-specific challenges to adopting referral management policies and tailor support to these issues beyond system-wide infrastructure.</w:t>
            </w:r>
          </w:p>
          <w:p w:rsidR="0088262E" w:rsidRPr="00CA0AE3" w:rsidRDefault="0088262E" w:rsidP="0088262E">
            <w:pPr>
              <w:pStyle w:val="Default"/>
              <w:numPr>
                <w:ilvl w:val="0"/>
                <w:numId w:val="49"/>
              </w:numPr>
            </w:pPr>
            <w:r w:rsidRPr="00CA0AE3">
              <w:t>Support staff and providers in referral management efforts to achieve quality outcomes when they are linked to access.</w:t>
            </w:r>
          </w:p>
        </w:tc>
      </w:tr>
    </w:tbl>
    <w:p w:rsidR="0065130B" w:rsidRPr="00CA0AE3" w:rsidRDefault="0065130B"/>
    <w:p w:rsidR="00E37119" w:rsidRPr="00CA0AE3" w:rsidRDefault="00E37119" w:rsidP="00E37119">
      <w:pPr>
        <w:pStyle w:val="ListParagraph"/>
        <w:autoSpaceDE w:val="0"/>
        <w:autoSpaceDN w:val="0"/>
        <w:adjustRightInd w:val="0"/>
        <w:spacing w:after="0" w:line="240" w:lineRule="auto"/>
        <w:ind w:left="1080"/>
        <w:jc w:val="both"/>
      </w:pPr>
    </w:p>
    <w:p w:rsidR="00ED4745" w:rsidRPr="00CA0AE3" w:rsidRDefault="00ED4745">
      <w:pPr>
        <w:spacing w:after="0" w:line="240" w:lineRule="auto"/>
        <w:sectPr w:rsidR="00ED4745" w:rsidRPr="00CA0AE3" w:rsidSect="00147DA7">
          <w:footerReference w:type="default" r:id="rId17"/>
          <w:pgSz w:w="12240" w:h="15840"/>
          <w:pgMar w:top="1260" w:right="1260" w:bottom="1260" w:left="1440" w:header="720" w:footer="720" w:gutter="0"/>
          <w:cols w:space="720"/>
          <w:docGrid w:linePitch="360"/>
        </w:sectPr>
      </w:pPr>
    </w:p>
    <w:tbl>
      <w:tblPr>
        <w:tblW w:w="13233" w:type="dxa"/>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358"/>
        <w:gridCol w:w="1529"/>
        <w:gridCol w:w="1170"/>
        <w:gridCol w:w="1260"/>
        <w:gridCol w:w="1440"/>
        <w:gridCol w:w="1170"/>
        <w:gridCol w:w="1260"/>
        <w:gridCol w:w="1260"/>
        <w:gridCol w:w="1260"/>
        <w:gridCol w:w="1260"/>
        <w:gridCol w:w="1266"/>
      </w:tblGrid>
      <w:tr w:rsidR="0065130B" w:rsidRPr="00CA0AE3" w:rsidTr="00C947DF">
        <w:trPr>
          <w:cantSplit/>
          <w:tblHeader/>
        </w:trPr>
        <w:tc>
          <w:tcPr>
            <w:tcW w:w="13233" w:type="dxa"/>
            <w:gridSpan w:val="11"/>
            <w:shd w:val="clear" w:color="auto" w:fill="C6D9F1" w:themeFill="text2" w:themeFillTint="33"/>
          </w:tcPr>
          <w:p w:rsidR="0065130B" w:rsidRPr="00CA0AE3" w:rsidRDefault="0065130B" w:rsidP="0065130B">
            <w:pPr>
              <w:spacing w:after="0" w:line="240" w:lineRule="auto"/>
              <w:rPr>
                <w:rFonts w:eastAsia="Times New Roman"/>
                <w:b/>
                <w:bCs/>
                <w:kern w:val="24"/>
                <w:sz w:val="20"/>
                <w:szCs w:val="20"/>
              </w:rPr>
            </w:pPr>
            <w:r w:rsidRPr="00CA0AE3">
              <w:rPr>
                <w:rFonts w:eastAsia="Times New Roman"/>
                <w:b/>
                <w:bCs/>
                <w:kern w:val="24"/>
                <w:sz w:val="20"/>
                <w:szCs w:val="20"/>
              </w:rPr>
              <w:lastRenderedPageBreak/>
              <w:t>Required Measure Slate:  Improvement and Outcomes Measures</w:t>
            </w:r>
          </w:p>
          <w:p w:rsidR="0065130B" w:rsidRPr="00CA0AE3" w:rsidRDefault="0065130B" w:rsidP="001E38FE">
            <w:pPr>
              <w:spacing w:after="0" w:line="240" w:lineRule="auto"/>
              <w:rPr>
                <w:rFonts w:eastAsia="Times New Roman"/>
                <w:b/>
                <w:bCs/>
                <w:kern w:val="24"/>
                <w:sz w:val="20"/>
                <w:szCs w:val="20"/>
              </w:rPr>
            </w:pPr>
            <w:r w:rsidRPr="00CA0AE3">
              <w:rPr>
                <w:rFonts w:eastAsia="Times New Roman"/>
                <w:b/>
                <w:bCs/>
                <w:kern w:val="24"/>
                <w:sz w:val="20"/>
                <w:szCs w:val="20"/>
              </w:rPr>
              <w:t xml:space="preserve"> </w:t>
            </w:r>
            <w:r w:rsidRPr="00CA0AE3">
              <w:rPr>
                <w:b/>
                <w:i/>
                <w:sz w:val="20"/>
                <w:szCs w:val="20"/>
              </w:rPr>
              <w:t xml:space="preserve">(Achieve 2 out of 5 in Year 1, </w:t>
            </w:r>
            <w:proofErr w:type="gramStart"/>
            <w:r w:rsidRPr="00CA0AE3">
              <w:rPr>
                <w:b/>
                <w:i/>
                <w:sz w:val="20"/>
                <w:szCs w:val="20"/>
              </w:rPr>
              <w:t>4  of</w:t>
            </w:r>
            <w:proofErr w:type="gramEnd"/>
            <w:r w:rsidRPr="00CA0AE3">
              <w:rPr>
                <w:b/>
                <w:i/>
                <w:sz w:val="20"/>
                <w:szCs w:val="20"/>
              </w:rPr>
              <w:t xml:space="preserve"> 1</w:t>
            </w:r>
            <w:r w:rsidR="000360F0" w:rsidRPr="00CA0AE3">
              <w:rPr>
                <w:b/>
                <w:i/>
                <w:sz w:val="20"/>
                <w:szCs w:val="20"/>
              </w:rPr>
              <w:t>0</w:t>
            </w:r>
            <w:r w:rsidRPr="00CA0AE3">
              <w:rPr>
                <w:b/>
                <w:i/>
                <w:sz w:val="20"/>
                <w:szCs w:val="20"/>
              </w:rPr>
              <w:t xml:space="preserve"> Outcome Measures in Year 2, 7 out of 1</w:t>
            </w:r>
            <w:r w:rsidR="000360F0" w:rsidRPr="00CA0AE3">
              <w:rPr>
                <w:b/>
                <w:i/>
                <w:sz w:val="20"/>
                <w:szCs w:val="20"/>
              </w:rPr>
              <w:t>3</w:t>
            </w:r>
            <w:r w:rsidRPr="00CA0AE3">
              <w:rPr>
                <w:b/>
                <w:i/>
                <w:sz w:val="20"/>
                <w:szCs w:val="20"/>
              </w:rPr>
              <w:t xml:space="preserve"> in Year 3, </w:t>
            </w:r>
            <w:r w:rsidR="001E38FE" w:rsidRPr="00CA0AE3">
              <w:rPr>
                <w:b/>
                <w:i/>
                <w:sz w:val="20"/>
                <w:szCs w:val="20"/>
              </w:rPr>
              <w:t>6</w:t>
            </w:r>
            <w:r w:rsidRPr="00CA0AE3">
              <w:rPr>
                <w:b/>
                <w:i/>
                <w:sz w:val="20"/>
                <w:szCs w:val="20"/>
              </w:rPr>
              <w:t xml:space="preserve"> out of 1</w:t>
            </w:r>
            <w:r w:rsidR="000360F0" w:rsidRPr="00CA0AE3">
              <w:rPr>
                <w:b/>
                <w:i/>
                <w:sz w:val="20"/>
                <w:szCs w:val="20"/>
              </w:rPr>
              <w:t>0</w:t>
            </w:r>
            <w:r w:rsidRPr="00CA0AE3">
              <w:rPr>
                <w:b/>
                <w:i/>
                <w:sz w:val="20"/>
                <w:szCs w:val="20"/>
              </w:rPr>
              <w:t xml:space="preserve"> in Year 4, and </w:t>
            </w:r>
            <w:r w:rsidR="001E38FE" w:rsidRPr="00CA0AE3">
              <w:rPr>
                <w:b/>
                <w:i/>
                <w:sz w:val="20"/>
                <w:szCs w:val="20"/>
              </w:rPr>
              <w:t>8</w:t>
            </w:r>
            <w:r w:rsidRPr="00CA0AE3">
              <w:rPr>
                <w:b/>
                <w:i/>
                <w:sz w:val="20"/>
                <w:szCs w:val="20"/>
              </w:rPr>
              <w:t xml:space="preserve"> out of 1</w:t>
            </w:r>
            <w:r w:rsidR="000360F0" w:rsidRPr="00CA0AE3">
              <w:rPr>
                <w:b/>
                <w:i/>
                <w:sz w:val="20"/>
                <w:szCs w:val="20"/>
              </w:rPr>
              <w:t>3</w:t>
            </w:r>
            <w:r w:rsidRPr="00CA0AE3">
              <w:rPr>
                <w:b/>
                <w:i/>
                <w:sz w:val="20"/>
                <w:szCs w:val="20"/>
              </w:rPr>
              <w:t xml:space="preserve"> in Year 5). </w:t>
            </w:r>
          </w:p>
        </w:tc>
      </w:tr>
      <w:tr w:rsidR="0065130B" w:rsidRPr="00CA0AE3" w:rsidTr="00C947DF">
        <w:trPr>
          <w:cantSplit/>
          <w:tblHeader/>
        </w:trPr>
        <w:tc>
          <w:tcPr>
            <w:tcW w:w="1887" w:type="dxa"/>
            <w:gridSpan w:val="2"/>
            <w:shd w:val="clear" w:color="auto" w:fill="C6D9F1" w:themeFill="text2" w:themeFillTint="33"/>
            <w:vAlign w:val="center"/>
          </w:tcPr>
          <w:p w:rsidR="0065130B" w:rsidRPr="00CA0AE3" w:rsidRDefault="0065130B" w:rsidP="0065130B">
            <w:pPr>
              <w:spacing w:after="0" w:line="240" w:lineRule="auto"/>
              <w:jc w:val="center"/>
              <w:rPr>
                <w:rFonts w:eastAsia="Times New Roman"/>
                <w:b/>
                <w:bCs/>
                <w:kern w:val="24"/>
                <w:sz w:val="20"/>
                <w:szCs w:val="20"/>
              </w:rPr>
            </w:pPr>
            <w:r w:rsidRPr="00CA0AE3">
              <w:rPr>
                <w:rFonts w:eastAsia="Times New Roman"/>
                <w:b/>
                <w:bCs/>
                <w:kern w:val="24"/>
                <w:sz w:val="20"/>
                <w:szCs w:val="20"/>
              </w:rPr>
              <w:t>Measure Slate 3</w:t>
            </w:r>
          </w:p>
        </w:tc>
        <w:tc>
          <w:tcPr>
            <w:tcW w:w="3870" w:type="dxa"/>
            <w:gridSpan w:val="3"/>
            <w:shd w:val="clear" w:color="auto" w:fill="C6D9F1" w:themeFill="text2" w:themeFillTint="33"/>
            <w:tcMar>
              <w:top w:w="13" w:type="dxa"/>
              <w:left w:w="93" w:type="dxa"/>
              <w:bottom w:w="0" w:type="dxa"/>
              <w:right w:w="93" w:type="dxa"/>
            </w:tcMar>
            <w:vAlign w:val="center"/>
            <w:hideMark/>
          </w:tcPr>
          <w:p w:rsidR="0065130B" w:rsidRPr="00CA0AE3" w:rsidRDefault="0065130B" w:rsidP="0065130B">
            <w:pPr>
              <w:spacing w:after="0" w:line="240" w:lineRule="auto"/>
              <w:jc w:val="center"/>
              <w:rPr>
                <w:rFonts w:eastAsia="Times New Roman"/>
                <w:b/>
                <w:bCs/>
                <w:kern w:val="24"/>
                <w:sz w:val="20"/>
                <w:szCs w:val="20"/>
              </w:rPr>
            </w:pPr>
            <w:r w:rsidRPr="00CA0AE3">
              <w:rPr>
                <w:rFonts w:eastAsia="Times New Roman"/>
                <w:b/>
                <w:bCs/>
                <w:kern w:val="24"/>
                <w:sz w:val="20"/>
                <w:szCs w:val="20"/>
              </w:rPr>
              <w:t xml:space="preserve">3:  </w:t>
            </w:r>
            <w:r w:rsidRPr="00CA0AE3">
              <w:rPr>
                <w:b/>
                <w:sz w:val="20"/>
                <w:szCs w:val="20"/>
              </w:rPr>
              <w:t>Referral Management and Integrated Care Management</w:t>
            </w:r>
          </w:p>
        </w:tc>
        <w:tc>
          <w:tcPr>
            <w:tcW w:w="1170" w:type="dxa"/>
            <w:shd w:val="clear" w:color="auto" w:fill="C6D9F1" w:themeFill="text2" w:themeFillTint="33"/>
            <w:vAlign w:val="center"/>
          </w:tcPr>
          <w:p w:rsidR="0065130B" w:rsidRPr="00CA0AE3" w:rsidRDefault="0065130B" w:rsidP="0065130B">
            <w:pPr>
              <w:spacing w:after="0" w:line="240" w:lineRule="auto"/>
              <w:jc w:val="center"/>
              <w:rPr>
                <w:rFonts w:eastAsia="Times New Roman"/>
                <w:b/>
                <w:bCs/>
                <w:kern w:val="24"/>
                <w:sz w:val="20"/>
                <w:szCs w:val="20"/>
              </w:rPr>
            </w:pPr>
            <w:r w:rsidRPr="00CA0AE3">
              <w:rPr>
                <w:rFonts w:eastAsia="Times New Roman"/>
                <w:b/>
                <w:bCs/>
                <w:kern w:val="24"/>
                <w:sz w:val="20"/>
                <w:szCs w:val="20"/>
              </w:rPr>
              <w:t>Achieve 2 of 5 Measures</w:t>
            </w:r>
          </w:p>
        </w:tc>
        <w:tc>
          <w:tcPr>
            <w:tcW w:w="1260" w:type="dxa"/>
            <w:shd w:val="clear" w:color="auto" w:fill="C6D9F1" w:themeFill="text2" w:themeFillTint="33"/>
            <w:tcMar>
              <w:top w:w="13" w:type="dxa"/>
              <w:left w:w="93" w:type="dxa"/>
              <w:bottom w:w="0" w:type="dxa"/>
              <w:right w:w="93" w:type="dxa"/>
            </w:tcMar>
            <w:vAlign w:val="center"/>
            <w:hideMark/>
          </w:tcPr>
          <w:p w:rsidR="0065130B" w:rsidRPr="00CA0AE3" w:rsidRDefault="0065130B" w:rsidP="00512555">
            <w:pPr>
              <w:spacing w:after="0" w:line="240" w:lineRule="auto"/>
              <w:jc w:val="center"/>
              <w:rPr>
                <w:rFonts w:eastAsia="Times New Roman"/>
                <w:b/>
                <w:bCs/>
                <w:kern w:val="24"/>
                <w:sz w:val="20"/>
                <w:szCs w:val="20"/>
              </w:rPr>
            </w:pPr>
            <w:r w:rsidRPr="00CA0AE3">
              <w:rPr>
                <w:rFonts w:eastAsia="Times New Roman"/>
                <w:b/>
                <w:bCs/>
                <w:kern w:val="24"/>
                <w:sz w:val="20"/>
                <w:szCs w:val="20"/>
              </w:rPr>
              <w:t>Achieve 4 of 1</w:t>
            </w:r>
            <w:r w:rsidR="00512555" w:rsidRPr="00CA0AE3">
              <w:rPr>
                <w:rFonts w:eastAsia="Times New Roman"/>
                <w:b/>
                <w:bCs/>
                <w:kern w:val="24"/>
                <w:sz w:val="20"/>
                <w:szCs w:val="20"/>
              </w:rPr>
              <w:t>0</w:t>
            </w:r>
            <w:r w:rsidRPr="00CA0AE3">
              <w:rPr>
                <w:rFonts w:eastAsia="Times New Roman"/>
                <w:b/>
                <w:bCs/>
                <w:kern w:val="24"/>
                <w:sz w:val="20"/>
                <w:szCs w:val="20"/>
              </w:rPr>
              <w:t xml:space="preserve"> Measures</w:t>
            </w:r>
          </w:p>
        </w:tc>
        <w:tc>
          <w:tcPr>
            <w:tcW w:w="1260" w:type="dxa"/>
            <w:shd w:val="clear" w:color="auto" w:fill="C6D9F1" w:themeFill="text2" w:themeFillTint="33"/>
            <w:tcMar>
              <w:top w:w="13" w:type="dxa"/>
              <w:left w:w="93" w:type="dxa"/>
              <w:bottom w:w="0" w:type="dxa"/>
              <w:right w:w="93" w:type="dxa"/>
            </w:tcMar>
            <w:vAlign w:val="center"/>
            <w:hideMark/>
          </w:tcPr>
          <w:p w:rsidR="0065130B" w:rsidRPr="00CA0AE3" w:rsidRDefault="0065130B" w:rsidP="00512555">
            <w:pPr>
              <w:spacing w:after="0" w:line="240" w:lineRule="auto"/>
              <w:jc w:val="center"/>
              <w:rPr>
                <w:rFonts w:eastAsia="Times New Roman"/>
                <w:b/>
                <w:bCs/>
                <w:kern w:val="24"/>
                <w:sz w:val="20"/>
                <w:szCs w:val="20"/>
              </w:rPr>
            </w:pPr>
            <w:r w:rsidRPr="00CA0AE3">
              <w:rPr>
                <w:rFonts w:eastAsia="Times New Roman"/>
                <w:b/>
                <w:bCs/>
                <w:kern w:val="24"/>
                <w:sz w:val="20"/>
                <w:szCs w:val="20"/>
              </w:rPr>
              <w:t>Achieve 7 of 1</w:t>
            </w:r>
            <w:r w:rsidR="00512555" w:rsidRPr="00CA0AE3">
              <w:rPr>
                <w:rFonts w:eastAsia="Times New Roman"/>
                <w:b/>
                <w:bCs/>
                <w:kern w:val="24"/>
                <w:sz w:val="20"/>
                <w:szCs w:val="20"/>
              </w:rPr>
              <w:t>3</w:t>
            </w:r>
            <w:r w:rsidRPr="00CA0AE3">
              <w:rPr>
                <w:rFonts w:eastAsia="Times New Roman"/>
                <w:b/>
                <w:bCs/>
                <w:kern w:val="24"/>
                <w:sz w:val="20"/>
                <w:szCs w:val="20"/>
              </w:rPr>
              <w:t xml:space="preserve"> Measures</w:t>
            </w:r>
          </w:p>
        </w:tc>
        <w:tc>
          <w:tcPr>
            <w:tcW w:w="1260" w:type="dxa"/>
            <w:shd w:val="clear" w:color="auto" w:fill="C6D9F1" w:themeFill="text2" w:themeFillTint="33"/>
            <w:tcMar>
              <w:top w:w="13" w:type="dxa"/>
              <w:left w:w="93" w:type="dxa"/>
              <w:bottom w:w="0" w:type="dxa"/>
              <w:right w:w="93" w:type="dxa"/>
            </w:tcMar>
            <w:vAlign w:val="center"/>
            <w:hideMark/>
          </w:tcPr>
          <w:p w:rsidR="0065130B" w:rsidRPr="00CA0AE3" w:rsidRDefault="0065130B" w:rsidP="00512555">
            <w:pPr>
              <w:spacing w:after="0" w:line="240" w:lineRule="auto"/>
              <w:jc w:val="center"/>
              <w:rPr>
                <w:rFonts w:eastAsia="Times New Roman"/>
                <w:b/>
                <w:bCs/>
                <w:kern w:val="24"/>
                <w:sz w:val="20"/>
                <w:szCs w:val="20"/>
              </w:rPr>
            </w:pPr>
            <w:r w:rsidRPr="00CA0AE3">
              <w:rPr>
                <w:rFonts w:eastAsia="Times New Roman"/>
                <w:b/>
                <w:bCs/>
                <w:kern w:val="24"/>
                <w:sz w:val="20"/>
                <w:szCs w:val="20"/>
              </w:rPr>
              <w:t xml:space="preserve">Achieve </w:t>
            </w:r>
            <w:r w:rsidR="0082724E" w:rsidRPr="00CA0AE3">
              <w:rPr>
                <w:rFonts w:eastAsia="Times New Roman"/>
                <w:b/>
                <w:bCs/>
                <w:kern w:val="24"/>
                <w:sz w:val="20"/>
                <w:szCs w:val="20"/>
              </w:rPr>
              <w:t>6</w:t>
            </w:r>
            <w:r w:rsidRPr="00CA0AE3">
              <w:rPr>
                <w:rFonts w:eastAsia="Times New Roman"/>
                <w:b/>
                <w:bCs/>
                <w:kern w:val="24"/>
                <w:sz w:val="20"/>
                <w:szCs w:val="20"/>
              </w:rPr>
              <w:t xml:space="preserve"> of 1</w:t>
            </w:r>
            <w:r w:rsidR="00512555" w:rsidRPr="00CA0AE3">
              <w:rPr>
                <w:rFonts w:eastAsia="Times New Roman"/>
                <w:b/>
                <w:bCs/>
                <w:kern w:val="24"/>
                <w:sz w:val="20"/>
                <w:szCs w:val="20"/>
              </w:rPr>
              <w:t>0</w:t>
            </w:r>
            <w:r w:rsidRPr="00CA0AE3">
              <w:rPr>
                <w:rFonts w:eastAsia="Times New Roman"/>
                <w:b/>
                <w:bCs/>
                <w:kern w:val="24"/>
                <w:sz w:val="20"/>
                <w:szCs w:val="20"/>
              </w:rPr>
              <w:t xml:space="preserve"> Measures</w:t>
            </w:r>
          </w:p>
        </w:tc>
        <w:tc>
          <w:tcPr>
            <w:tcW w:w="1260" w:type="dxa"/>
            <w:shd w:val="clear" w:color="auto" w:fill="C6D9F1" w:themeFill="text2" w:themeFillTint="33"/>
            <w:tcMar>
              <w:top w:w="13" w:type="dxa"/>
              <w:left w:w="93" w:type="dxa"/>
              <w:bottom w:w="0" w:type="dxa"/>
              <w:right w:w="93" w:type="dxa"/>
            </w:tcMar>
            <w:vAlign w:val="center"/>
            <w:hideMark/>
          </w:tcPr>
          <w:p w:rsidR="0065130B" w:rsidRPr="00CA0AE3" w:rsidRDefault="0065130B" w:rsidP="00512555">
            <w:pPr>
              <w:spacing w:after="0" w:line="240" w:lineRule="auto"/>
              <w:jc w:val="center"/>
              <w:rPr>
                <w:rFonts w:eastAsia="Times New Roman"/>
                <w:b/>
                <w:bCs/>
                <w:kern w:val="24"/>
                <w:sz w:val="20"/>
                <w:szCs w:val="20"/>
              </w:rPr>
            </w:pPr>
            <w:r w:rsidRPr="00CA0AE3">
              <w:rPr>
                <w:rFonts w:eastAsia="Times New Roman"/>
                <w:b/>
                <w:bCs/>
                <w:kern w:val="24"/>
                <w:sz w:val="20"/>
                <w:szCs w:val="20"/>
              </w:rPr>
              <w:t xml:space="preserve">Achieve </w:t>
            </w:r>
            <w:r w:rsidR="0082724E" w:rsidRPr="00CA0AE3">
              <w:rPr>
                <w:rFonts w:eastAsia="Times New Roman"/>
                <w:b/>
                <w:bCs/>
                <w:kern w:val="24"/>
                <w:sz w:val="20"/>
                <w:szCs w:val="20"/>
              </w:rPr>
              <w:t>8</w:t>
            </w:r>
            <w:r w:rsidRPr="00CA0AE3">
              <w:rPr>
                <w:rFonts w:eastAsia="Times New Roman"/>
                <w:b/>
                <w:bCs/>
                <w:kern w:val="24"/>
                <w:sz w:val="20"/>
                <w:szCs w:val="20"/>
              </w:rPr>
              <w:t xml:space="preserve"> of 1</w:t>
            </w:r>
            <w:r w:rsidR="00512555" w:rsidRPr="00CA0AE3">
              <w:rPr>
                <w:rFonts w:eastAsia="Times New Roman"/>
                <w:b/>
                <w:bCs/>
                <w:kern w:val="24"/>
                <w:sz w:val="20"/>
                <w:szCs w:val="20"/>
              </w:rPr>
              <w:t>3</w:t>
            </w:r>
            <w:r w:rsidRPr="00CA0AE3">
              <w:rPr>
                <w:rFonts w:eastAsia="Times New Roman"/>
                <w:b/>
                <w:bCs/>
                <w:kern w:val="24"/>
                <w:sz w:val="20"/>
                <w:szCs w:val="20"/>
              </w:rPr>
              <w:t xml:space="preserve"> Measures</w:t>
            </w:r>
          </w:p>
        </w:tc>
        <w:tc>
          <w:tcPr>
            <w:tcW w:w="1266" w:type="dxa"/>
            <w:shd w:val="clear" w:color="auto" w:fill="C6D9F1" w:themeFill="text2" w:themeFillTint="33"/>
            <w:vAlign w:val="center"/>
          </w:tcPr>
          <w:p w:rsidR="0065130B" w:rsidRPr="00CA0AE3" w:rsidRDefault="0065130B" w:rsidP="0065130B">
            <w:pPr>
              <w:spacing w:after="0" w:line="240" w:lineRule="auto"/>
              <w:jc w:val="center"/>
              <w:rPr>
                <w:rFonts w:eastAsia="Times New Roman"/>
                <w:b/>
                <w:bCs/>
                <w:kern w:val="24"/>
                <w:sz w:val="20"/>
                <w:szCs w:val="20"/>
              </w:rPr>
            </w:pPr>
          </w:p>
        </w:tc>
      </w:tr>
      <w:tr w:rsidR="0065130B" w:rsidRPr="00CA0AE3" w:rsidTr="00C947DF">
        <w:trPr>
          <w:cantSplit/>
          <w:tblHeader/>
        </w:trPr>
        <w:tc>
          <w:tcPr>
            <w:tcW w:w="358" w:type="dxa"/>
            <w:shd w:val="clear" w:color="auto" w:fill="C6D9F1" w:themeFill="text2" w:themeFillTint="33"/>
            <w:vAlign w:val="center"/>
          </w:tcPr>
          <w:p w:rsidR="0065130B" w:rsidRPr="00CA0AE3" w:rsidRDefault="0065130B" w:rsidP="0065130B">
            <w:pPr>
              <w:spacing w:after="0" w:line="240" w:lineRule="auto"/>
              <w:jc w:val="center"/>
              <w:rPr>
                <w:rFonts w:eastAsia="Times New Roman"/>
                <w:b/>
                <w:bCs/>
                <w:kern w:val="24"/>
                <w:sz w:val="20"/>
                <w:szCs w:val="20"/>
              </w:rPr>
            </w:pPr>
            <w:r w:rsidRPr="00CA0AE3">
              <w:rPr>
                <w:rFonts w:eastAsia="Times New Roman"/>
                <w:b/>
                <w:bCs/>
                <w:kern w:val="24"/>
                <w:sz w:val="20"/>
                <w:szCs w:val="20"/>
              </w:rPr>
              <w:t>#</w:t>
            </w:r>
          </w:p>
        </w:tc>
        <w:tc>
          <w:tcPr>
            <w:tcW w:w="1529" w:type="dxa"/>
            <w:shd w:val="clear" w:color="auto" w:fill="C6D9F1" w:themeFill="text2" w:themeFillTint="33"/>
            <w:tcMar>
              <w:top w:w="13" w:type="dxa"/>
              <w:left w:w="93" w:type="dxa"/>
              <w:bottom w:w="0" w:type="dxa"/>
              <w:right w:w="93" w:type="dxa"/>
            </w:tcMar>
            <w:vAlign w:val="center"/>
            <w:hideMark/>
          </w:tcPr>
          <w:p w:rsidR="0065130B" w:rsidRPr="00CA0AE3" w:rsidRDefault="0065130B" w:rsidP="0065130B">
            <w:pPr>
              <w:spacing w:after="0" w:line="240" w:lineRule="auto"/>
              <w:jc w:val="center"/>
              <w:rPr>
                <w:rFonts w:eastAsia="Times New Roman"/>
                <w:sz w:val="20"/>
                <w:szCs w:val="20"/>
              </w:rPr>
            </w:pPr>
            <w:r w:rsidRPr="00CA0AE3">
              <w:rPr>
                <w:rFonts w:eastAsia="Times New Roman"/>
                <w:b/>
                <w:bCs/>
                <w:kern w:val="24"/>
                <w:sz w:val="20"/>
                <w:szCs w:val="20"/>
              </w:rPr>
              <w:t>Measure Description</w:t>
            </w:r>
          </w:p>
        </w:tc>
        <w:tc>
          <w:tcPr>
            <w:tcW w:w="1170" w:type="dxa"/>
            <w:shd w:val="clear" w:color="auto" w:fill="C6D9F1" w:themeFill="text2" w:themeFillTint="33"/>
            <w:tcMar>
              <w:top w:w="13" w:type="dxa"/>
              <w:left w:w="93" w:type="dxa"/>
              <w:bottom w:w="0" w:type="dxa"/>
              <w:right w:w="93" w:type="dxa"/>
            </w:tcMar>
            <w:vAlign w:val="center"/>
            <w:hideMark/>
          </w:tcPr>
          <w:p w:rsidR="0065130B" w:rsidRPr="00CA0AE3" w:rsidRDefault="0065130B" w:rsidP="0065130B">
            <w:pPr>
              <w:spacing w:after="0" w:line="240" w:lineRule="auto"/>
              <w:jc w:val="center"/>
              <w:rPr>
                <w:rFonts w:eastAsia="Times New Roman"/>
                <w:kern w:val="24"/>
                <w:sz w:val="20"/>
                <w:szCs w:val="20"/>
              </w:rPr>
            </w:pPr>
            <w:r w:rsidRPr="00CA0AE3">
              <w:rPr>
                <w:rFonts w:eastAsia="Times New Roman"/>
                <w:b/>
                <w:bCs/>
                <w:kern w:val="24"/>
                <w:sz w:val="20"/>
                <w:szCs w:val="20"/>
              </w:rPr>
              <w:t>Measure Steward</w:t>
            </w:r>
          </w:p>
          <w:p w:rsidR="0065130B" w:rsidRPr="00CA0AE3" w:rsidRDefault="0065130B" w:rsidP="0065130B">
            <w:pPr>
              <w:spacing w:after="0" w:line="240" w:lineRule="auto"/>
              <w:jc w:val="center"/>
              <w:rPr>
                <w:rFonts w:eastAsia="Times New Roman"/>
                <w:b/>
                <w:sz w:val="20"/>
                <w:szCs w:val="20"/>
              </w:rPr>
            </w:pPr>
            <w:r w:rsidRPr="00CA0AE3">
              <w:rPr>
                <w:rFonts w:eastAsia="Times New Roman"/>
                <w:b/>
                <w:kern w:val="24"/>
                <w:sz w:val="20"/>
                <w:szCs w:val="20"/>
              </w:rPr>
              <w:t>NQF#</w:t>
            </w:r>
          </w:p>
        </w:tc>
        <w:tc>
          <w:tcPr>
            <w:tcW w:w="1260" w:type="dxa"/>
            <w:shd w:val="clear" w:color="auto" w:fill="C6D9F1" w:themeFill="text2" w:themeFillTint="33"/>
            <w:tcMar>
              <w:top w:w="13" w:type="dxa"/>
              <w:left w:w="93" w:type="dxa"/>
              <w:bottom w:w="0" w:type="dxa"/>
              <w:right w:w="93" w:type="dxa"/>
            </w:tcMar>
            <w:vAlign w:val="center"/>
            <w:hideMark/>
          </w:tcPr>
          <w:p w:rsidR="0065130B" w:rsidRPr="00CA0AE3" w:rsidRDefault="0065130B" w:rsidP="0065130B">
            <w:pPr>
              <w:spacing w:after="0" w:line="240" w:lineRule="auto"/>
              <w:jc w:val="center"/>
              <w:rPr>
                <w:rFonts w:eastAsia="Times New Roman"/>
                <w:sz w:val="20"/>
                <w:szCs w:val="20"/>
              </w:rPr>
            </w:pPr>
            <w:r w:rsidRPr="00CA0AE3">
              <w:rPr>
                <w:rFonts w:eastAsia="Times New Roman"/>
                <w:b/>
                <w:bCs/>
                <w:kern w:val="24"/>
                <w:sz w:val="20"/>
                <w:szCs w:val="20"/>
              </w:rPr>
              <w:t>Benchmark</w:t>
            </w:r>
          </w:p>
        </w:tc>
        <w:tc>
          <w:tcPr>
            <w:tcW w:w="1440" w:type="dxa"/>
            <w:shd w:val="clear" w:color="auto" w:fill="C6D9F1" w:themeFill="text2" w:themeFillTint="33"/>
            <w:tcMar>
              <w:top w:w="13" w:type="dxa"/>
              <w:left w:w="93" w:type="dxa"/>
              <w:bottom w:w="0" w:type="dxa"/>
              <w:right w:w="93" w:type="dxa"/>
            </w:tcMar>
            <w:vAlign w:val="center"/>
            <w:hideMark/>
          </w:tcPr>
          <w:p w:rsidR="0065130B" w:rsidRPr="00CA0AE3" w:rsidRDefault="0065130B" w:rsidP="0065130B">
            <w:pPr>
              <w:spacing w:after="0" w:line="240" w:lineRule="auto"/>
              <w:jc w:val="center"/>
              <w:rPr>
                <w:rFonts w:eastAsia="Times New Roman"/>
                <w:sz w:val="20"/>
                <w:szCs w:val="20"/>
              </w:rPr>
            </w:pPr>
            <w:r w:rsidRPr="00CA0AE3">
              <w:rPr>
                <w:rFonts w:eastAsia="Times New Roman"/>
                <w:b/>
                <w:bCs/>
                <w:kern w:val="24"/>
                <w:sz w:val="20"/>
                <w:szCs w:val="20"/>
              </w:rPr>
              <w:t>Improvement Methodology</w:t>
            </w:r>
          </w:p>
        </w:tc>
        <w:tc>
          <w:tcPr>
            <w:tcW w:w="1170" w:type="dxa"/>
            <w:shd w:val="clear" w:color="auto" w:fill="C6D9F1" w:themeFill="text2" w:themeFillTint="33"/>
            <w:tcMar>
              <w:top w:w="13" w:type="dxa"/>
              <w:left w:w="93" w:type="dxa"/>
              <w:bottom w:w="0" w:type="dxa"/>
              <w:right w:w="93" w:type="dxa"/>
            </w:tcMar>
            <w:vAlign w:val="center"/>
            <w:hideMark/>
          </w:tcPr>
          <w:p w:rsidR="0065130B" w:rsidRPr="00CA0AE3" w:rsidRDefault="0065130B" w:rsidP="0065130B">
            <w:pPr>
              <w:spacing w:after="0" w:line="240" w:lineRule="auto"/>
              <w:jc w:val="center"/>
              <w:rPr>
                <w:rFonts w:eastAsia="Times New Roman"/>
                <w:kern w:val="24"/>
                <w:sz w:val="20"/>
                <w:szCs w:val="20"/>
              </w:rPr>
            </w:pPr>
            <w:r w:rsidRPr="00CA0AE3">
              <w:rPr>
                <w:rFonts w:eastAsia="Times New Roman"/>
                <w:b/>
                <w:bCs/>
                <w:kern w:val="24"/>
                <w:sz w:val="20"/>
                <w:szCs w:val="20"/>
              </w:rPr>
              <w:t>Year 1</w:t>
            </w:r>
          </w:p>
          <w:p w:rsidR="0065130B" w:rsidRPr="00CA0AE3" w:rsidRDefault="0065130B" w:rsidP="0065130B">
            <w:pPr>
              <w:spacing w:after="0" w:line="240" w:lineRule="auto"/>
              <w:jc w:val="center"/>
              <w:rPr>
                <w:rFonts w:eastAsia="Times New Roman"/>
                <w:kern w:val="24"/>
                <w:sz w:val="20"/>
                <w:szCs w:val="20"/>
              </w:rPr>
            </w:pPr>
            <w:r w:rsidRPr="00CA0AE3">
              <w:rPr>
                <w:rFonts w:eastAsia="Times New Roman"/>
                <w:kern w:val="24"/>
                <w:sz w:val="20"/>
                <w:szCs w:val="20"/>
              </w:rPr>
              <w:t>SFY</w:t>
            </w:r>
          </w:p>
          <w:p w:rsidR="0065130B" w:rsidRPr="00CA0AE3" w:rsidRDefault="0065130B" w:rsidP="0065130B">
            <w:pPr>
              <w:spacing w:after="0" w:line="240" w:lineRule="auto"/>
              <w:jc w:val="center"/>
              <w:rPr>
                <w:rFonts w:eastAsia="Times New Roman"/>
                <w:sz w:val="20"/>
                <w:szCs w:val="20"/>
              </w:rPr>
            </w:pPr>
            <w:r w:rsidRPr="00CA0AE3">
              <w:rPr>
                <w:rFonts w:eastAsia="Times New Roman"/>
                <w:kern w:val="24"/>
                <w:sz w:val="20"/>
                <w:szCs w:val="20"/>
              </w:rPr>
              <w:t>2018</w:t>
            </w:r>
          </w:p>
        </w:tc>
        <w:tc>
          <w:tcPr>
            <w:tcW w:w="1260" w:type="dxa"/>
            <w:shd w:val="clear" w:color="auto" w:fill="C6D9F1" w:themeFill="text2" w:themeFillTint="33"/>
            <w:tcMar>
              <w:top w:w="13" w:type="dxa"/>
              <w:left w:w="93" w:type="dxa"/>
              <w:bottom w:w="0" w:type="dxa"/>
              <w:right w:w="93" w:type="dxa"/>
            </w:tcMar>
            <w:vAlign w:val="center"/>
            <w:hideMark/>
          </w:tcPr>
          <w:p w:rsidR="0065130B" w:rsidRPr="00CA0AE3" w:rsidRDefault="0065130B" w:rsidP="0065130B">
            <w:pPr>
              <w:spacing w:after="0" w:line="240" w:lineRule="auto"/>
              <w:jc w:val="center"/>
              <w:rPr>
                <w:rFonts w:eastAsia="Times New Roman"/>
                <w:kern w:val="24"/>
                <w:sz w:val="20"/>
                <w:szCs w:val="20"/>
              </w:rPr>
            </w:pPr>
            <w:r w:rsidRPr="00CA0AE3">
              <w:rPr>
                <w:rFonts w:eastAsia="Times New Roman"/>
                <w:b/>
                <w:bCs/>
                <w:kern w:val="24"/>
                <w:sz w:val="20"/>
                <w:szCs w:val="20"/>
              </w:rPr>
              <w:t>Year 2</w:t>
            </w:r>
          </w:p>
          <w:p w:rsidR="0065130B" w:rsidRPr="00CA0AE3" w:rsidRDefault="0065130B" w:rsidP="0065130B">
            <w:pPr>
              <w:spacing w:after="0" w:line="240" w:lineRule="auto"/>
              <w:jc w:val="center"/>
              <w:rPr>
                <w:rFonts w:eastAsia="Times New Roman"/>
                <w:kern w:val="24"/>
                <w:sz w:val="20"/>
                <w:szCs w:val="20"/>
              </w:rPr>
            </w:pPr>
            <w:r w:rsidRPr="00CA0AE3">
              <w:rPr>
                <w:rFonts w:eastAsia="Times New Roman"/>
                <w:kern w:val="24"/>
                <w:sz w:val="20"/>
                <w:szCs w:val="20"/>
              </w:rPr>
              <w:t>SFY</w:t>
            </w:r>
          </w:p>
          <w:p w:rsidR="0065130B" w:rsidRPr="00CA0AE3" w:rsidRDefault="0065130B" w:rsidP="0065130B">
            <w:pPr>
              <w:spacing w:after="0" w:line="240" w:lineRule="auto"/>
              <w:jc w:val="center"/>
              <w:rPr>
                <w:rFonts w:eastAsia="Times New Roman"/>
                <w:sz w:val="20"/>
                <w:szCs w:val="20"/>
              </w:rPr>
            </w:pPr>
            <w:r w:rsidRPr="00CA0AE3">
              <w:rPr>
                <w:rFonts w:eastAsia="Times New Roman"/>
                <w:kern w:val="24"/>
                <w:sz w:val="20"/>
                <w:szCs w:val="20"/>
              </w:rPr>
              <w:t>2019</w:t>
            </w:r>
          </w:p>
        </w:tc>
        <w:tc>
          <w:tcPr>
            <w:tcW w:w="1260" w:type="dxa"/>
            <w:shd w:val="clear" w:color="auto" w:fill="C6D9F1" w:themeFill="text2" w:themeFillTint="33"/>
            <w:tcMar>
              <w:top w:w="13" w:type="dxa"/>
              <w:left w:w="93" w:type="dxa"/>
              <w:bottom w:w="0" w:type="dxa"/>
              <w:right w:w="93" w:type="dxa"/>
            </w:tcMar>
            <w:vAlign w:val="center"/>
            <w:hideMark/>
          </w:tcPr>
          <w:p w:rsidR="0065130B" w:rsidRPr="00CA0AE3" w:rsidRDefault="0065130B" w:rsidP="0065130B">
            <w:pPr>
              <w:spacing w:after="0" w:line="240" w:lineRule="auto"/>
              <w:jc w:val="center"/>
              <w:rPr>
                <w:rFonts w:eastAsia="Times New Roman"/>
                <w:kern w:val="24"/>
                <w:sz w:val="20"/>
                <w:szCs w:val="20"/>
              </w:rPr>
            </w:pPr>
            <w:r w:rsidRPr="00CA0AE3">
              <w:rPr>
                <w:rFonts w:eastAsia="Times New Roman"/>
                <w:b/>
                <w:bCs/>
                <w:kern w:val="24"/>
                <w:sz w:val="20"/>
                <w:szCs w:val="20"/>
              </w:rPr>
              <w:t>Year 3</w:t>
            </w:r>
          </w:p>
          <w:p w:rsidR="0065130B" w:rsidRPr="00CA0AE3" w:rsidRDefault="0065130B" w:rsidP="0065130B">
            <w:pPr>
              <w:spacing w:after="0" w:line="240" w:lineRule="auto"/>
              <w:jc w:val="center"/>
              <w:rPr>
                <w:rFonts w:eastAsia="Times New Roman"/>
                <w:kern w:val="24"/>
                <w:sz w:val="20"/>
                <w:szCs w:val="20"/>
              </w:rPr>
            </w:pPr>
            <w:r w:rsidRPr="00CA0AE3">
              <w:rPr>
                <w:rFonts w:eastAsia="Times New Roman"/>
                <w:kern w:val="24"/>
                <w:sz w:val="20"/>
                <w:szCs w:val="20"/>
              </w:rPr>
              <w:t>SFY</w:t>
            </w:r>
          </w:p>
          <w:p w:rsidR="0065130B" w:rsidRPr="00CA0AE3" w:rsidRDefault="0065130B" w:rsidP="0065130B">
            <w:pPr>
              <w:spacing w:after="0" w:line="240" w:lineRule="auto"/>
              <w:jc w:val="center"/>
              <w:rPr>
                <w:rFonts w:eastAsia="Times New Roman"/>
                <w:sz w:val="20"/>
                <w:szCs w:val="20"/>
              </w:rPr>
            </w:pPr>
            <w:r w:rsidRPr="00CA0AE3">
              <w:rPr>
                <w:rFonts w:eastAsia="Times New Roman"/>
                <w:kern w:val="24"/>
                <w:sz w:val="20"/>
                <w:szCs w:val="20"/>
              </w:rPr>
              <w:t>2020</w:t>
            </w:r>
          </w:p>
        </w:tc>
        <w:tc>
          <w:tcPr>
            <w:tcW w:w="1260" w:type="dxa"/>
            <w:shd w:val="clear" w:color="auto" w:fill="C6D9F1" w:themeFill="text2" w:themeFillTint="33"/>
            <w:tcMar>
              <w:top w:w="13" w:type="dxa"/>
              <w:left w:w="93" w:type="dxa"/>
              <w:bottom w:w="0" w:type="dxa"/>
              <w:right w:w="93" w:type="dxa"/>
            </w:tcMar>
            <w:vAlign w:val="center"/>
            <w:hideMark/>
          </w:tcPr>
          <w:p w:rsidR="0065130B" w:rsidRPr="00CA0AE3" w:rsidRDefault="0065130B" w:rsidP="0065130B">
            <w:pPr>
              <w:spacing w:after="0" w:line="240" w:lineRule="auto"/>
              <w:jc w:val="center"/>
              <w:rPr>
                <w:rFonts w:eastAsia="Times New Roman"/>
                <w:kern w:val="24"/>
                <w:sz w:val="20"/>
                <w:szCs w:val="20"/>
              </w:rPr>
            </w:pPr>
            <w:r w:rsidRPr="00CA0AE3">
              <w:rPr>
                <w:rFonts w:eastAsia="Times New Roman"/>
                <w:b/>
                <w:bCs/>
                <w:kern w:val="24"/>
                <w:sz w:val="20"/>
                <w:szCs w:val="20"/>
              </w:rPr>
              <w:t>Year 4</w:t>
            </w:r>
          </w:p>
          <w:p w:rsidR="0065130B" w:rsidRPr="00CA0AE3" w:rsidRDefault="0065130B" w:rsidP="0065130B">
            <w:pPr>
              <w:spacing w:after="0" w:line="240" w:lineRule="auto"/>
              <w:jc w:val="center"/>
              <w:rPr>
                <w:rFonts w:eastAsia="Times New Roman"/>
                <w:kern w:val="24"/>
                <w:sz w:val="20"/>
                <w:szCs w:val="20"/>
              </w:rPr>
            </w:pPr>
            <w:r w:rsidRPr="00CA0AE3">
              <w:rPr>
                <w:rFonts w:eastAsia="Times New Roman"/>
                <w:kern w:val="24"/>
                <w:sz w:val="20"/>
                <w:szCs w:val="20"/>
              </w:rPr>
              <w:t>SFY</w:t>
            </w:r>
          </w:p>
          <w:p w:rsidR="0065130B" w:rsidRPr="00CA0AE3" w:rsidRDefault="0065130B" w:rsidP="0065130B">
            <w:pPr>
              <w:spacing w:after="0" w:line="240" w:lineRule="auto"/>
              <w:jc w:val="center"/>
              <w:rPr>
                <w:rFonts w:eastAsia="Times New Roman"/>
                <w:sz w:val="20"/>
                <w:szCs w:val="20"/>
              </w:rPr>
            </w:pPr>
            <w:r w:rsidRPr="00CA0AE3">
              <w:rPr>
                <w:rFonts w:eastAsia="Times New Roman"/>
                <w:kern w:val="24"/>
                <w:sz w:val="20"/>
                <w:szCs w:val="20"/>
              </w:rPr>
              <w:t>2021</w:t>
            </w:r>
          </w:p>
        </w:tc>
        <w:tc>
          <w:tcPr>
            <w:tcW w:w="1260" w:type="dxa"/>
            <w:shd w:val="clear" w:color="auto" w:fill="C6D9F1" w:themeFill="text2" w:themeFillTint="33"/>
            <w:tcMar>
              <w:top w:w="13" w:type="dxa"/>
              <w:left w:w="93" w:type="dxa"/>
              <w:bottom w:w="0" w:type="dxa"/>
              <w:right w:w="93" w:type="dxa"/>
            </w:tcMar>
            <w:vAlign w:val="center"/>
            <w:hideMark/>
          </w:tcPr>
          <w:p w:rsidR="0065130B" w:rsidRPr="00CA0AE3" w:rsidRDefault="0065130B" w:rsidP="0065130B">
            <w:pPr>
              <w:spacing w:after="0" w:line="240" w:lineRule="auto"/>
              <w:jc w:val="center"/>
              <w:rPr>
                <w:rFonts w:eastAsia="Times New Roman"/>
                <w:kern w:val="24"/>
                <w:sz w:val="20"/>
                <w:szCs w:val="20"/>
              </w:rPr>
            </w:pPr>
            <w:r w:rsidRPr="00CA0AE3">
              <w:rPr>
                <w:rFonts w:eastAsia="Times New Roman"/>
                <w:b/>
                <w:bCs/>
                <w:kern w:val="24"/>
                <w:sz w:val="20"/>
                <w:szCs w:val="20"/>
              </w:rPr>
              <w:t>Year 5</w:t>
            </w:r>
          </w:p>
          <w:p w:rsidR="0065130B" w:rsidRPr="00CA0AE3" w:rsidRDefault="0065130B" w:rsidP="0065130B">
            <w:pPr>
              <w:spacing w:after="0" w:line="240" w:lineRule="auto"/>
              <w:jc w:val="center"/>
              <w:rPr>
                <w:rFonts w:eastAsia="Times New Roman"/>
                <w:kern w:val="24"/>
                <w:sz w:val="20"/>
                <w:szCs w:val="20"/>
              </w:rPr>
            </w:pPr>
            <w:r w:rsidRPr="00CA0AE3">
              <w:rPr>
                <w:rFonts w:eastAsia="Times New Roman"/>
                <w:kern w:val="24"/>
                <w:sz w:val="20"/>
                <w:szCs w:val="20"/>
              </w:rPr>
              <w:t>SFY</w:t>
            </w:r>
          </w:p>
          <w:p w:rsidR="0065130B" w:rsidRPr="00CA0AE3" w:rsidRDefault="0065130B" w:rsidP="0065130B">
            <w:pPr>
              <w:spacing w:after="0" w:line="240" w:lineRule="auto"/>
              <w:jc w:val="center"/>
              <w:rPr>
                <w:rFonts w:eastAsia="Times New Roman"/>
                <w:sz w:val="20"/>
                <w:szCs w:val="20"/>
              </w:rPr>
            </w:pPr>
            <w:r w:rsidRPr="00CA0AE3">
              <w:rPr>
                <w:rFonts w:eastAsia="Times New Roman"/>
                <w:kern w:val="24"/>
                <w:sz w:val="20"/>
                <w:szCs w:val="20"/>
              </w:rPr>
              <w:t>2022</w:t>
            </w:r>
          </w:p>
        </w:tc>
        <w:tc>
          <w:tcPr>
            <w:tcW w:w="1266" w:type="dxa"/>
            <w:shd w:val="clear" w:color="auto" w:fill="C6D9F1" w:themeFill="text2" w:themeFillTint="33"/>
            <w:vAlign w:val="center"/>
          </w:tcPr>
          <w:p w:rsidR="0065130B" w:rsidRPr="00CA0AE3" w:rsidRDefault="0065130B" w:rsidP="0065130B">
            <w:pPr>
              <w:spacing w:after="0" w:line="240" w:lineRule="auto"/>
              <w:jc w:val="center"/>
              <w:rPr>
                <w:rFonts w:eastAsia="Times New Roman"/>
                <w:b/>
                <w:bCs/>
                <w:kern w:val="24"/>
                <w:sz w:val="20"/>
                <w:szCs w:val="20"/>
              </w:rPr>
            </w:pPr>
            <w:r w:rsidRPr="00CA0AE3">
              <w:rPr>
                <w:rFonts w:eastAsia="Times New Roman"/>
                <w:b/>
                <w:bCs/>
                <w:kern w:val="24"/>
                <w:sz w:val="20"/>
                <w:szCs w:val="20"/>
              </w:rPr>
              <w:t>Rationale for Improvement Target</w:t>
            </w:r>
          </w:p>
        </w:tc>
      </w:tr>
      <w:tr w:rsidR="0065130B" w:rsidRPr="00CA0AE3" w:rsidTr="00C947DF">
        <w:trPr>
          <w:cantSplit/>
        </w:trPr>
        <w:tc>
          <w:tcPr>
            <w:tcW w:w="358" w:type="dxa"/>
            <w:vAlign w:val="center"/>
          </w:tcPr>
          <w:p w:rsidR="0065130B" w:rsidRPr="00CA0AE3" w:rsidRDefault="0065130B" w:rsidP="0065130B">
            <w:pPr>
              <w:spacing w:after="0" w:line="240" w:lineRule="auto"/>
              <w:jc w:val="center"/>
              <w:rPr>
                <w:sz w:val="16"/>
                <w:szCs w:val="16"/>
              </w:rPr>
            </w:pPr>
            <w:r w:rsidRPr="00CA0AE3">
              <w:rPr>
                <w:sz w:val="16"/>
                <w:szCs w:val="16"/>
              </w:rPr>
              <w:t>1</w:t>
            </w:r>
          </w:p>
        </w:tc>
        <w:tc>
          <w:tcPr>
            <w:tcW w:w="1529" w:type="dxa"/>
            <w:shd w:val="clear" w:color="auto" w:fill="auto"/>
            <w:tcMar>
              <w:top w:w="13" w:type="dxa"/>
              <w:left w:w="93" w:type="dxa"/>
              <w:bottom w:w="0" w:type="dxa"/>
              <w:right w:w="93" w:type="dxa"/>
            </w:tcMar>
            <w:vAlign w:val="center"/>
            <w:hideMark/>
          </w:tcPr>
          <w:p w:rsidR="0065130B" w:rsidRPr="00CA0AE3" w:rsidRDefault="0065130B" w:rsidP="0065130B">
            <w:pPr>
              <w:spacing w:after="0" w:line="240" w:lineRule="auto"/>
              <w:rPr>
                <w:sz w:val="16"/>
                <w:szCs w:val="16"/>
              </w:rPr>
            </w:pPr>
            <w:r w:rsidRPr="00CA0AE3">
              <w:rPr>
                <w:sz w:val="16"/>
                <w:szCs w:val="16"/>
              </w:rPr>
              <w:t>Overall Reduce proportion of Emergency Department Outmigration to Non-Public Hospital System Facilities within specific payer contracts</w:t>
            </w:r>
          </w:p>
        </w:tc>
        <w:tc>
          <w:tcPr>
            <w:tcW w:w="1170" w:type="dxa"/>
            <w:shd w:val="clear" w:color="auto" w:fill="auto"/>
            <w:tcMar>
              <w:top w:w="13" w:type="dxa"/>
              <w:left w:w="93" w:type="dxa"/>
              <w:bottom w:w="0" w:type="dxa"/>
              <w:right w:w="93" w:type="dxa"/>
            </w:tcMar>
            <w:vAlign w:val="center"/>
            <w:hideMark/>
          </w:tcPr>
          <w:p w:rsidR="0065130B" w:rsidRPr="00CA0AE3" w:rsidRDefault="0065130B" w:rsidP="0065130B">
            <w:pPr>
              <w:spacing w:after="0" w:line="240" w:lineRule="auto"/>
              <w:jc w:val="center"/>
              <w:rPr>
                <w:sz w:val="16"/>
                <w:szCs w:val="16"/>
              </w:rPr>
            </w:pPr>
            <w:r w:rsidRPr="00CA0AE3">
              <w:rPr>
                <w:sz w:val="16"/>
                <w:szCs w:val="16"/>
              </w:rPr>
              <w:t>Customized Measure: Claims based (units of service)</w:t>
            </w:r>
            <w:r w:rsidRPr="00CA0AE3">
              <w:rPr>
                <w:rStyle w:val="FootnoteReference"/>
                <w:sz w:val="16"/>
                <w:szCs w:val="16"/>
              </w:rPr>
              <w:footnoteReference w:id="89"/>
            </w:r>
          </w:p>
        </w:tc>
        <w:tc>
          <w:tcPr>
            <w:tcW w:w="1260" w:type="dxa"/>
            <w:shd w:val="clear" w:color="auto" w:fill="auto"/>
            <w:tcMar>
              <w:top w:w="13" w:type="dxa"/>
              <w:left w:w="93" w:type="dxa"/>
              <w:bottom w:w="0" w:type="dxa"/>
              <w:right w:w="93" w:type="dxa"/>
            </w:tcMar>
            <w:vAlign w:val="center"/>
            <w:hideMark/>
          </w:tcPr>
          <w:p w:rsidR="0065130B" w:rsidRPr="00CA0AE3" w:rsidRDefault="0065130B" w:rsidP="0065130B">
            <w:pPr>
              <w:spacing w:after="0" w:line="240" w:lineRule="auto"/>
              <w:jc w:val="center"/>
              <w:rPr>
                <w:sz w:val="16"/>
                <w:szCs w:val="16"/>
              </w:rPr>
            </w:pPr>
            <w:r w:rsidRPr="00CA0AE3">
              <w:rPr>
                <w:sz w:val="16"/>
                <w:szCs w:val="16"/>
              </w:rPr>
              <w:t>No external benchmark;</w:t>
            </w:r>
          </w:p>
          <w:p w:rsidR="0065130B" w:rsidRPr="00CA0AE3" w:rsidRDefault="0065130B" w:rsidP="0065130B">
            <w:pPr>
              <w:spacing w:after="0" w:line="240" w:lineRule="auto"/>
              <w:jc w:val="center"/>
              <w:rPr>
                <w:bCs/>
                <w:sz w:val="16"/>
                <w:szCs w:val="16"/>
              </w:rPr>
            </w:pPr>
            <w:r w:rsidRPr="00CA0AE3">
              <w:rPr>
                <w:sz w:val="16"/>
                <w:szCs w:val="16"/>
              </w:rPr>
              <w:t>hospital specific improvement target = 25%</w:t>
            </w:r>
          </w:p>
        </w:tc>
        <w:tc>
          <w:tcPr>
            <w:tcW w:w="1440" w:type="dxa"/>
            <w:shd w:val="clear" w:color="auto" w:fill="auto"/>
            <w:tcMar>
              <w:top w:w="13" w:type="dxa"/>
              <w:left w:w="93" w:type="dxa"/>
              <w:bottom w:w="0" w:type="dxa"/>
              <w:right w:w="93" w:type="dxa"/>
            </w:tcMar>
            <w:vAlign w:val="center"/>
            <w:hideMark/>
          </w:tcPr>
          <w:p w:rsidR="0065130B" w:rsidRPr="00CA0AE3" w:rsidRDefault="0065130B" w:rsidP="0065130B">
            <w:pPr>
              <w:spacing w:after="0" w:line="240" w:lineRule="auto"/>
              <w:jc w:val="center"/>
              <w:rPr>
                <w:sz w:val="16"/>
                <w:szCs w:val="16"/>
              </w:rPr>
            </w:pPr>
            <w:r w:rsidRPr="00CA0AE3">
              <w:rPr>
                <w:bCs/>
                <w:sz w:val="16"/>
                <w:szCs w:val="16"/>
              </w:rPr>
              <w:t>Gap to Goal (10%) or attainment at target</w:t>
            </w:r>
          </w:p>
        </w:tc>
        <w:tc>
          <w:tcPr>
            <w:tcW w:w="1170" w:type="dxa"/>
            <w:shd w:val="clear" w:color="auto" w:fill="auto"/>
            <w:tcMar>
              <w:top w:w="13" w:type="dxa"/>
              <w:left w:w="93" w:type="dxa"/>
              <w:bottom w:w="0" w:type="dxa"/>
              <w:right w:w="93" w:type="dxa"/>
            </w:tcMar>
            <w:vAlign w:val="center"/>
            <w:hideMark/>
          </w:tcPr>
          <w:p w:rsidR="0065130B" w:rsidRPr="00CA0AE3" w:rsidRDefault="0065130B" w:rsidP="0065130B">
            <w:pPr>
              <w:spacing w:after="0" w:line="240" w:lineRule="auto"/>
              <w:jc w:val="center"/>
              <w:rPr>
                <w:b/>
                <w:sz w:val="16"/>
                <w:szCs w:val="16"/>
              </w:rPr>
            </w:pPr>
            <w:r w:rsidRPr="00CA0AE3">
              <w:rPr>
                <w:b/>
                <w:sz w:val="16"/>
                <w:szCs w:val="16"/>
              </w:rPr>
              <w:t>B</w:t>
            </w:r>
          </w:p>
          <w:p w:rsidR="0065130B" w:rsidRPr="00CA0AE3" w:rsidRDefault="008D3CB4" w:rsidP="0065130B">
            <w:pPr>
              <w:spacing w:after="0" w:line="240" w:lineRule="auto"/>
              <w:jc w:val="center"/>
              <w:rPr>
                <w:sz w:val="16"/>
                <w:szCs w:val="16"/>
              </w:rPr>
            </w:pPr>
            <w:r w:rsidRPr="00CA0AE3">
              <w:rPr>
                <w:sz w:val="16"/>
                <w:szCs w:val="16"/>
              </w:rPr>
              <w:t>(CY</w:t>
            </w:r>
            <w:r w:rsidR="00892289" w:rsidRPr="00CA0AE3">
              <w:rPr>
                <w:sz w:val="16"/>
                <w:szCs w:val="16"/>
              </w:rPr>
              <w:t>20</w:t>
            </w:r>
            <w:r w:rsidRPr="00CA0AE3">
              <w:rPr>
                <w:sz w:val="16"/>
                <w:szCs w:val="16"/>
              </w:rPr>
              <w:t>16)</w:t>
            </w:r>
          </w:p>
        </w:tc>
        <w:tc>
          <w:tcPr>
            <w:tcW w:w="1260" w:type="dxa"/>
            <w:shd w:val="clear" w:color="auto" w:fill="auto"/>
            <w:tcMar>
              <w:top w:w="13" w:type="dxa"/>
              <w:left w:w="93" w:type="dxa"/>
              <w:bottom w:w="0" w:type="dxa"/>
              <w:right w:w="93" w:type="dxa"/>
            </w:tcMar>
            <w:vAlign w:val="center"/>
            <w:hideMark/>
          </w:tcPr>
          <w:p w:rsidR="0065130B" w:rsidRPr="00CA0AE3" w:rsidRDefault="0065130B" w:rsidP="0065130B">
            <w:pPr>
              <w:spacing w:after="0" w:line="240" w:lineRule="auto"/>
              <w:jc w:val="center"/>
              <w:rPr>
                <w:b/>
                <w:sz w:val="16"/>
                <w:szCs w:val="16"/>
              </w:rPr>
            </w:pPr>
            <w:r w:rsidRPr="00CA0AE3">
              <w:rPr>
                <w:b/>
                <w:sz w:val="16"/>
                <w:szCs w:val="16"/>
              </w:rPr>
              <w:t>O</w:t>
            </w:r>
          </w:p>
          <w:p w:rsidR="0065130B" w:rsidRPr="00CA0AE3" w:rsidRDefault="008D3CB4" w:rsidP="0065130B">
            <w:pPr>
              <w:spacing w:after="0" w:line="240" w:lineRule="auto"/>
              <w:jc w:val="center"/>
              <w:rPr>
                <w:sz w:val="16"/>
                <w:szCs w:val="16"/>
              </w:rPr>
            </w:pPr>
            <w:r w:rsidRPr="00CA0AE3">
              <w:rPr>
                <w:sz w:val="16"/>
                <w:szCs w:val="16"/>
              </w:rPr>
              <w:t>(CY</w:t>
            </w:r>
            <w:r w:rsidR="00892289" w:rsidRPr="00CA0AE3">
              <w:rPr>
                <w:sz w:val="16"/>
                <w:szCs w:val="16"/>
              </w:rPr>
              <w:t>20</w:t>
            </w:r>
            <w:r w:rsidRPr="00CA0AE3">
              <w:rPr>
                <w:sz w:val="16"/>
                <w:szCs w:val="16"/>
              </w:rPr>
              <w:t>18)</w:t>
            </w:r>
          </w:p>
        </w:tc>
        <w:tc>
          <w:tcPr>
            <w:tcW w:w="1260" w:type="dxa"/>
            <w:shd w:val="clear" w:color="auto" w:fill="auto"/>
            <w:tcMar>
              <w:top w:w="13" w:type="dxa"/>
              <w:left w:w="93" w:type="dxa"/>
              <w:bottom w:w="0" w:type="dxa"/>
              <w:right w:w="93" w:type="dxa"/>
            </w:tcMar>
            <w:vAlign w:val="center"/>
            <w:hideMark/>
          </w:tcPr>
          <w:p w:rsidR="0065130B" w:rsidRPr="00CA0AE3" w:rsidRDefault="0065130B" w:rsidP="0065130B">
            <w:pPr>
              <w:spacing w:after="0" w:line="240" w:lineRule="auto"/>
              <w:jc w:val="center"/>
              <w:rPr>
                <w:b/>
                <w:sz w:val="16"/>
                <w:szCs w:val="16"/>
              </w:rPr>
            </w:pPr>
            <w:r w:rsidRPr="00CA0AE3">
              <w:rPr>
                <w:b/>
                <w:sz w:val="16"/>
                <w:szCs w:val="16"/>
              </w:rPr>
              <w:t>O</w:t>
            </w:r>
          </w:p>
          <w:p w:rsidR="0065130B" w:rsidRPr="00CA0AE3" w:rsidRDefault="008D3CB4" w:rsidP="0065130B">
            <w:pPr>
              <w:spacing w:after="0" w:line="240" w:lineRule="auto"/>
              <w:jc w:val="center"/>
              <w:rPr>
                <w:sz w:val="16"/>
                <w:szCs w:val="16"/>
              </w:rPr>
            </w:pPr>
            <w:r w:rsidRPr="00CA0AE3">
              <w:rPr>
                <w:sz w:val="16"/>
                <w:szCs w:val="16"/>
              </w:rPr>
              <w:t>(CY</w:t>
            </w:r>
            <w:r w:rsidR="00892289" w:rsidRPr="00CA0AE3">
              <w:rPr>
                <w:sz w:val="16"/>
                <w:szCs w:val="16"/>
              </w:rPr>
              <w:t>20</w:t>
            </w:r>
            <w:r w:rsidRPr="00CA0AE3">
              <w:rPr>
                <w:sz w:val="16"/>
                <w:szCs w:val="16"/>
              </w:rPr>
              <w:t>19)</w:t>
            </w:r>
          </w:p>
        </w:tc>
        <w:tc>
          <w:tcPr>
            <w:tcW w:w="1260" w:type="dxa"/>
            <w:shd w:val="clear" w:color="auto" w:fill="auto"/>
            <w:tcMar>
              <w:top w:w="13" w:type="dxa"/>
              <w:left w:w="93" w:type="dxa"/>
              <w:bottom w:w="0" w:type="dxa"/>
              <w:right w:w="93" w:type="dxa"/>
            </w:tcMar>
            <w:vAlign w:val="center"/>
            <w:hideMark/>
          </w:tcPr>
          <w:p w:rsidR="0065130B" w:rsidRPr="00CA0AE3" w:rsidRDefault="0065130B" w:rsidP="0065130B">
            <w:pPr>
              <w:spacing w:after="0" w:line="240" w:lineRule="auto"/>
              <w:jc w:val="center"/>
              <w:rPr>
                <w:b/>
                <w:sz w:val="16"/>
                <w:szCs w:val="16"/>
              </w:rPr>
            </w:pPr>
            <w:r w:rsidRPr="00CA0AE3">
              <w:rPr>
                <w:b/>
                <w:sz w:val="16"/>
                <w:szCs w:val="16"/>
              </w:rPr>
              <w:t>O</w:t>
            </w:r>
          </w:p>
          <w:p w:rsidR="0065130B" w:rsidRPr="00CA0AE3" w:rsidRDefault="008D3CB4" w:rsidP="0065130B">
            <w:pPr>
              <w:spacing w:after="0" w:line="240" w:lineRule="auto"/>
              <w:jc w:val="center"/>
              <w:rPr>
                <w:sz w:val="16"/>
                <w:szCs w:val="16"/>
              </w:rPr>
            </w:pPr>
            <w:r w:rsidRPr="00CA0AE3">
              <w:rPr>
                <w:sz w:val="16"/>
                <w:szCs w:val="16"/>
              </w:rPr>
              <w:t>(CY</w:t>
            </w:r>
            <w:r w:rsidR="00892289" w:rsidRPr="00CA0AE3">
              <w:rPr>
                <w:sz w:val="16"/>
                <w:szCs w:val="16"/>
              </w:rPr>
              <w:t>20</w:t>
            </w:r>
            <w:r w:rsidRPr="00CA0AE3">
              <w:rPr>
                <w:sz w:val="16"/>
                <w:szCs w:val="16"/>
              </w:rPr>
              <w:t>20)</w:t>
            </w:r>
          </w:p>
        </w:tc>
        <w:tc>
          <w:tcPr>
            <w:tcW w:w="1260" w:type="dxa"/>
            <w:shd w:val="clear" w:color="auto" w:fill="auto"/>
            <w:tcMar>
              <w:top w:w="13" w:type="dxa"/>
              <w:left w:w="93" w:type="dxa"/>
              <w:bottom w:w="0" w:type="dxa"/>
              <w:right w:w="93" w:type="dxa"/>
            </w:tcMar>
            <w:vAlign w:val="center"/>
            <w:hideMark/>
          </w:tcPr>
          <w:p w:rsidR="0065130B" w:rsidRPr="00CA0AE3" w:rsidRDefault="0065130B" w:rsidP="0065130B">
            <w:pPr>
              <w:spacing w:after="0" w:line="240" w:lineRule="auto"/>
              <w:jc w:val="center"/>
              <w:rPr>
                <w:b/>
                <w:sz w:val="16"/>
                <w:szCs w:val="16"/>
              </w:rPr>
            </w:pPr>
            <w:r w:rsidRPr="00CA0AE3">
              <w:rPr>
                <w:b/>
                <w:sz w:val="16"/>
                <w:szCs w:val="16"/>
              </w:rPr>
              <w:t>O</w:t>
            </w:r>
          </w:p>
          <w:p w:rsidR="0065130B" w:rsidRPr="00CA0AE3" w:rsidRDefault="00892289" w:rsidP="0065130B">
            <w:pPr>
              <w:spacing w:after="0" w:line="240" w:lineRule="auto"/>
              <w:jc w:val="center"/>
              <w:rPr>
                <w:sz w:val="16"/>
                <w:szCs w:val="16"/>
              </w:rPr>
            </w:pPr>
            <w:r w:rsidRPr="00CA0AE3">
              <w:rPr>
                <w:sz w:val="16"/>
                <w:szCs w:val="16"/>
              </w:rPr>
              <w:t>(</w:t>
            </w:r>
            <w:r w:rsidR="008D3CB4" w:rsidRPr="00CA0AE3">
              <w:rPr>
                <w:sz w:val="16"/>
                <w:szCs w:val="16"/>
              </w:rPr>
              <w:t>CY</w:t>
            </w:r>
            <w:r w:rsidRPr="00CA0AE3">
              <w:rPr>
                <w:sz w:val="16"/>
                <w:szCs w:val="16"/>
              </w:rPr>
              <w:t>20</w:t>
            </w:r>
            <w:r w:rsidR="008D3CB4" w:rsidRPr="00CA0AE3">
              <w:rPr>
                <w:sz w:val="16"/>
                <w:szCs w:val="16"/>
              </w:rPr>
              <w:t>21)</w:t>
            </w:r>
          </w:p>
        </w:tc>
        <w:tc>
          <w:tcPr>
            <w:tcW w:w="1266" w:type="dxa"/>
            <w:vAlign w:val="center"/>
          </w:tcPr>
          <w:p w:rsidR="0065130B" w:rsidRPr="00CA0AE3" w:rsidRDefault="0065130B" w:rsidP="00B3615C">
            <w:pPr>
              <w:spacing w:after="0" w:line="240" w:lineRule="auto"/>
              <w:rPr>
                <w:rFonts w:eastAsia="Times New Roman"/>
                <w:sz w:val="16"/>
                <w:szCs w:val="16"/>
              </w:rPr>
            </w:pPr>
            <w:r w:rsidRPr="00CA0AE3">
              <w:rPr>
                <w:rFonts w:eastAsia="Times New Roman"/>
                <w:sz w:val="16"/>
                <w:szCs w:val="16"/>
              </w:rPr>
              <w:t>Target of 25% informed by out-migration improvement opportunity</w:t>
            </w:r>
          </w:p>
        </w:tc>
      </w:tr>
      <w:tr w:rsidR="0065130B" w:rsidRPr="00CA0AE3" w:rsidTr="00C947DF">
        <w:trPr>
          <w:cantSplit/>
        </w:trPr>
        <w:tc>
          <w:tcPr>
            <w:tcW w:w="358" w:type="dxa"/>
            <w:vAlign w:val="center"/>
          </w:tcPr>
          <w:p w:rsidR="0065130B" w:rsidRPr="00CA0AE3" w:rsidRDefault="0065130B" w:rsidP="0065130B">
            <w:pPr>
              <w:spacing w:after="0" w:line="240" w:lineRule="auto"/>
              <w:jc w:val="center"/>
              <w:rPr>
                <w:sz w:val="16"/>
                <w:szCs w:val="16"/>
              </w:rPr>
            </w:pPr>
            <w:r w:rsidRPr="00CA0AE3">
              <w:rPr>
                <w:sz w:val="16"/>
                <w:szCs w:val="16"/>
              </w:rPr>
              <w:t>2</w:t>
            </w:r>
          </w:p>
        </w:tc>
        <w:tc>
          <w:tcPr>
            <w:tcW w:w="1529" w:type="dxa"/>
            <w:shd w:val="clear" w:color="auto" w:fill="auto"/>
            <w:tcMar>
              <w:top w:w="13" w:type="dxa"/>
              <w:left w:w="93" w:type="dxa"/>
              <w:bottom w:w="0" w:type="dxa"/>
              <w:right w:w="93" w:type="dxa"/>
            </w:tcMar>
            <w:vAlign w:val="center"/>
            <w:hideMark/>
          </w:tcPr>
          <w:p w:rsidR="0065130B" w:rsidRPr="00CA0AE3" w:rsidRDefault="0065130B" w:rsidP="0065130B">
            <w:pPr>
              <w:spacing w:after="0" w:line="240" w:lineRule="auto"/>
              <w:rPr>
                <w:sz w:val="16"/>
                <w:szCs w:val="16"/>
              </w:rPr>
            </w:pPr>
            <w:r w:rsidRPr="00CA0AE3">
              <w:rPr>
                <w:sz w:val="16"/>
                <w:szCs w:val="16"/>
              </w:rPr>
              <w:t>Overall Reduce proportion of Inpatient Outmigration to –Public Hospital System Facilities within specific payer contracts</w:t>
            </w:r>
          </w:p>
        </w:tc>
        <w:tc>
          <w:tcPr>
            <w:tcW w:w="1170" w:type="dxa"/>
            <w:shd w:val="clear" w:color="auto" w:fill="auto"/>
            <w:tcMar>
              <w:top w:w="13" w:type="dxa"/>
              <w:left w:w="93" w:type="dxa"/>
              <w:bottom w:w="0" w:type="dxa"/>
              <w:right w:w="93" w:type="dxa"/>
            </w:tcMar>
            <w:vAlign w:val="center"/>
            <w:hideMark/>
          </w:tcPr>
          <w:p w:rsidR="0065130B" w:rsidRPr="00CA0AE3" w:rsidRDefault="0065130B" w:rsidP="0065130B">
            <w:pPr>
              <w:spacing w:after="0" w:line="240" w:lineRule="auto"/>
              <w:jc w:val="center"/>
              <w:rPr>
                <w:sz w:val="16"/>
                <w:szCs w:val="16"/>
              </w:rPr>
            </w:pPr>
            <w:r w:rsidRPr="00CA0AE3">
              <w:rPr>
                <w:sz w:val="16"/>
                <w:szCs w:val="16"/>
              </w:rPr>
              <w:t>Customized Measure: Claims based</w:t>
            </w:r>
          </w:p>
          <w:p w:rsidR="0065130B" w:rsidRPr="00CA0AE3" w:rsidRDefault="0065130B" w:rsidP="0065130B">
            <w:pPr>
              <w:spacing w:after="0" w:line="240" w:lineRule="auto"/>
              <w:jc w:val="center"/>
              <w:rPr>
                <w:sz w:val="16"/>
                <w:szCs w:val="16"/>
              </w:rPr>
            </w:pPr>
            <w:r w:rsidRPr="00CA0AE3">
              <w:rPr>
                <w:sz w:val="16"/>
                <w:szCs w:val="16"/>
              </w:rPr>
              <w:t>(units of service)</w:t>
            </w:r>
            <w:r w:rsidRPr="00CA0AE3">
              <w:rPr>
                <w:sz w:val="16"/>
                <w:szCs w:val="16"/>
                <w:vertAlign w:val="superscript"/>
              </w:rPr>
              <w:t>5</w:t>
            </w:r>
          </w:p>
        </w:tc>
        <w:tc>
          <w:tcPr>
            <w:tcW w:w="1260" w:type="dxa"/>
            <w:shd w:val="clear" w:color="auto" w:fill="auto"/>
            <w:tcMar>
              <w:top w:w="13" w:type="dxa"/>
              <w:left w:w="93" w:type="dxa"/>
              <w:bottom w:w="0" w:type="dxa"/>
              <w:right w:w="93" w:type="dxa"/>
            </w:tcMar>
            <w:vAlign w:val="center"/>
            <w:hideMark/>
          </w:tcPr>
          <w:p w:rsidR="0065130B" w:rsidRPr="00CA0AE3" w:rsidRDefault="0065130B" w:rsidP="0065130B">
            <w:pPr>
              <w:spacing w:after="0" w:line="240" w:lineRule="auto"/>
              <w:jc w:val="center"/>
              <w:rPr>
                <w:sz w:val="16"/>
                <w:szCs w:val="16"/>
              </w:rPr>
            </w:pPr>
            <w:r w:rsidRPr="00CA0AE3">
              <w:rPr>
                <w:sz w:val="16"/>
                <w:szCs w:val="16"/>
              </w:rPr>
              <w:t>No external benchmark;</w:t>
            </w:r>
          </w:p>
          <w:p w:rsidR="0065130B" w:rsidRPr="00CA0AE3" w:rsidRDefault="0065130B" w:rsidP="0065130B">
            <w:pPr>
              <w:spacing w:after="0" w:line="240" w:lineRule="auto"/>
              <w:jc w:val="center"/>
              <w:rPr>
                <w:bCs/>
                <w:sz w:val="16"/>
                <w:szCs w:val="16"/>
              </w:rPr>
            </w:pPr>
            <w:r w:rsidRPr="00CA0AE3">
              <w:rPr>
                <w:sz w:val="16"/>
                <w:szCs w:val="16"/>
              </w:rPr>
              <w:t>hospital specific improvement target = 50%</w:t>
            </w:r>
          </w:p>
        </w:tc>
        <w:tc>
          <w:tcPr>
            <w:tcW w:w="1440" w:type="dxa"/>
            <w:shd w:val="clear" w:color="auto" w:fill="auto"/>
            <w:tcMar>
              <w:top w:w="13" w:type="dxa"/>
              <w:left w:w="93" w:type="dxa"/>
              <w:bottom w:w="0" w:type="dxa"/>
              <w:right w:w="93" w:type="dxa"/>
            </w:tcMar>
            <w:vAlign w:val="center"/>
            <w:hideMark/>
          </w:tcPr>
          <w:p w:rsidR="0065130B" w:rsidRPr="00CA0AE3" w:rsidRDefault="0065130B" w:rsidP="0065130B">
            <w:pPr>
              <w:spacing w:after="0" w:line="240" w:lineRule="auto"/>
              <w:jc w:val="center"/>
              <w:rPr>
                <w:sz w:val="16"/>
                <w:szCs w:val="16"/>
              </w:rPr>
            </w:pPr>
            <w:r w:rsidRPr="00CA0AE3">
              <w:rPr>
                <w:bCs/>
                <w:sz w:val="16"/>
                <w:szCs w:val="16"/>
              </w:rPr>
              <w:t>Gap to Goal (10%) or attainment at target</w:t>
            </w:r>
          </w:p>
        </w:tc>
        <w:tc>
          <w:tcPr>
            <w:tcW w:w="1170" w:type="dxa"/>
            <w:shd w:val="clear" w:color="auto" w:fill="auto"/>
            <w:tcMar>
              <w:top w:w="13" w:type="dxa"/>
              <w:left w:w="93" w:type="dxa"/>
              <w:bottom w:w="0" w:type="dxa"/>
              <w:right w:w="93" w:type="dxa"/>
            </w:tcMar>
            <w:vAlign w:val="center"/>
            <w:hideMark/>
          </w:tcPr>
          <w:p w:rsidR="0065130B" w:rsidRPr="00CA0AE3" w:rsidRDefault="0065130B" w:rsidP="0065130B">
            <w:pPr>
              <w:spacing w:after="0" w:line="240" w:lineRule="auto"/>
              <w:jc w:val="center"/>
              <w:rPr>
                <w:b/>
                <w:sz w:val="16"/>
                <w:szCs w:val="16"/>
              </w:rPr>
            </w:pPr>
            <w:r w:rsidRPr="00CA0AE3">
              <w:rPr>
                <w:b/>
                <w:sz w:val="16"/>
                <w:szCs w:val="16"/>
              </w:rPr>
              <w:t>B</w:t>
            </w:r>
          </w:p>
          <w:p w:rsidR="0065130B" w:rsidRPr="00CA0AE3" w:rsidRDefault="00892289" w:rsidP="0065130B">
            <w:pPr>
              <w:spacing w:after="0" w:line="240" w:lineRule="auto"/>
              <w:jc w:val="center"/>
              <w:rPr>
                <w:b/>
                <w:sz w:val="16"/>
                <w:szCs w:val="16"/>
              </w:rPr>
            </w:pPr>
            <w:r w:rsidRPr="00CA0AE3">
              <w:rPr>
                <w:sz w:val="16"/>
                <w:szCs w:val="16"/>
              </w:rPr>
              <w:t>(CY2016)</w:t>
            </w:r>
          </w:p>
        </w:tc>
        <w:tc>
          <w:tcPr>
            <w:tcW w:w="1260" w:type="dxa"/>
            <w:shd w:val="clear" w:color="auto" w:fill="auto"/>
            <w:tcMar>
              <w:top w:w="13" w:type="dxa"/>
              <w:left w:w="93" w:type="dxa"/>
              <w:bottom w:w="0" w:type="dxa"/>
              <w:right w:w="93" w:type="dxa"/>
            </w:tcMar>
            <w:vAlign w:val="center"/>
            <w:hideMark/>
          </w:tcPr>
          <w:p w:rsidR="0065130B" w:rsidRPr="00CA0AE3" w:rsidRDefault="0065130B" w:rsidP="0065130B">
            <w:pPr>
              <w:spacing w:after="0" w:line="240" w:lineRule="auto"/>
              <w:jc w:val="center"/>
              <w:rPr>
                <w:b/>
                <w:sz w:val="16"/>
                <w:szCs w:val="16"/>
              </w:rPr>
            </w:pPr>
            <w:r w:rsidRPr="00CA0AE3">
              <w:rPr>
                <w:b/>
                <w:sz w:val="16"/>
                <w:szCs w:val="16"/>
              </w:rPr>
              <w:t>O</w:t>
            </w:r>
          </w:p>
          <w:p w:rsidR="0065130B" w:rsidRPr="00CA0AE3" w:rsidRDefault="00892289" w:rsidP="0065130B">
            <w:pPr>
              <w:spacing w:after="0" w:line="240" w:lineRule="auto"/>
              <w:jc w:val="center"/>
              <w:rPr>
                <w:b/>
                <w:sz w:val="16"/>
                <w:szCs w:val="16"/>
              </w:rPr>
            </w:pPr>
            <w:r w:rsidRPr="00CA0AE3">
              <w:rPr>
                <w:sz w:val="16"/>
                <w:szCs w:val="16"/>
              </w:rPr>
              <w:t>(CY2018)</w:t>
            </w:r>
          </w:p>
        </w:tc>
        <w:tc>
          <w:tcPr>
            <w:tcW w:w="1260" w:type="dxa"/>
            <w:shd w:val="clear" w:color="auto" w:fill="auto"/>
            <w:tcMar>
              <w:top w:w="13" w:type="dxa"/>
              <w:left w:w="93" w:type="dxa"/>
              <w:bottom w:w="0" w:type="dxa"/>
              <w:right w:w="93" w:type="dxa"/>
            </w:tcMar>
            <w:vAlign w:val="center"/>
            <w:hideMark/>
          </w:tcPr>
          <w:p w:rsidR="0065130B" w:rsidRPr="00CA0AE3" w:rsidRDefault="0065130B" w:rsidP="0065130B">
            <w:pPr>
              <w:spacing w:after="0" w:line="240" w:lineRule="auto"/>
              <w:jc w:val="center"/>
              <w:rPr>
                <w:b/>
                <w:sz w:val="16"/>
                <w:szCs w:val="16"/>
              </w:rPr>
            </w:pPr>
            <w:r w:rsidRPr="00CA0AE3">
              <w:rPr>
                <w:b/>
                <w:sz w:val="16"/>
                <w:szCs w:val="16"/>
              </w:rPr>
              <w:t>O</w:t>
            </w:r>
          </w:p>
          <w:p w:rsidR="0065130B" w:rsidRPr="00CA0AE3" w:rsidRDefault="00892289" w:rsidP="0065130B">
            <w:pPr>
              <w:spacing w:after="0" w:line="240" w:lineRule="auto"/>
              <w:jc w:val="center"/>
              <w:rPr>
                <w:b/>
                <w:sz w:val="16"/>
                <w:szCs w:val="16"/>
              </w:rPr>
            </w:pPr>
            <w:r w:rsidRPr="00CA0AE3">
              <w:rPr>
                <w:sz w:val="16"/>
                <w:szCs w:val="16"/>
              </w:rPr>
              <w:t>(CY2019)</w:t>
            </w:r>
          </w:p>
        </w:tc>
        <w:tc>
          <w:tcPr>
            <w:tcW w:w="1260" w:type="dxa"/>
            <w:shd w:val="clear" w:color="auto" w:fill="auto"/>
            <w:tcMar>
              <w:top w:w="13" w:type="dxa"/>
              <w:left w:w="93" w:type="dxa"/>
              <w:bottom w:w="0" w:type="dxa"/>
              <w:right w:w="93" w:type="dxa"/>
            </w:tcMar>
            <w:vAlign w:val="center"/>
            <w:hideMark/>
          </w:tcPr>
          <w:p w:rsidR="0065130B" w:rsidRPr="00CA0AE3" w:rsidRDefault="0065130B" w:rsidP="0065130B">
            <w:pPr>
              <w:spacing w:after="0" w:line="240" w:lineRule="auto"/>
              <w:jc w:val="center"/>
              <w:rPr>
                <w:b/>
                <w:sz w:val="16"/>
                <w:szCs w:val="16"/>
              </w:rPr>
            </w:pPr>
            <w:r w:rsidRPr="00CA0AE3">
              <w:rPr>
                <w:b/>
                <w:sz w:val="16"/>
                <w:szCs w:val="16"/>
              </w:rPr>
              <w:t>O</w:t>
            </w:r>
          </w:p>
          <w:p w:rsidR="0065130B" w:rsidRPr="00CA0AE3" w:rsidRDefault="00892289" w:rsidP="0065130B">
            <w:pPr>
              <w:spacing w:after="0" w:line="240" w:lineRule="auto"/>
              <w:jc w:val="center"/>
              <w:rPr>
                <w:b/>
                <w:sz w:val="16"/>
                <w:szCs w:val="16"/>
              </w:rPr>
            </w:pPr>
            <w:r w:rsidRPr="00CA0AE3">
              <w:rPr>
                <w:sz w:val="16"/>
                <w:szCs w:val="16"/>
              </w:rPr>
              <w:t>(CY2020)</w:t>
            </w:r>
          </w:p>
        </w:tc>
        <w:tc>
          <w:tcPr>
            <w:tcW w:w="1260" w:type="dxa"/>
            <w:shd w:val="clear" w:color="auto" w:fill="auto"/>
            <w:tcMar>
              <w:top w:w="13" w:type="dxa"/>
              <w:left w:w="93" w:type="dxa"/>
              <w:bottom w:w="0" w:type="dxa"/>
              <w:right w:w="93" w:type="dxa"/>
            </w:tcMar>
            <w:vAlign w:val="center"/>
            <w:hideMark/>
          </w:tcPr>
          <w:p w:rsidR="0065130B" w:rsidRPr="00CA0AE3" w:rsidRDefault="0065130B" w:rsidP="0065130B">
            <w:pPr>
              <w:spacing w:after="0" w:line="240" w:lineRule="auto"/>
              <w:jc w:val="center"/>
              <w:rPr>
                <w:b/>
                <w:sz w:val="16"/>
                <w:szCs w:val="16"/>
              </w:rPr>
            </w:pPr>
            <w:r w:rsidRPr="00CA0AE3">
              <w:rPr>
                <w:b/>
                <w:sz w:val="16"/>
                <w:szCs w:val="16"/>
              </w:rPr>
              <w:t>O</w:t>
            </w:r>
          </w:p>
          <w:p w:rsidR="0065130B" w:rsidRPr="00CA0AE3" w:rsidRDefault="00892289" w:rsidP="0065130B">
            <w:pPr>
              <w:spacing w:after="0" w:line="240" w:lineRule="auto"/>
              <w:jc w:val="center"/>
              <w:rPr>
                <w:b/>
                <w:sz w:val="16"/>
                <w:szCs w:val="16"/>
              </w:rPr>
            </w:pPr>
            <w:r w:rsidRPr="00CA0AE3">
              <w:rPr>
                <w:sz w:val="16"/>
                <w:szCs w:val="16"/>
              </w:rPr>
              <w:t>(CY2021)</w:t>
            </w:r>
          </w:p>
        </w:tc>
        <w:tc>
          <w:tcPr>
            <w:tcW w:w="1266" w:type="dxa"/>
            <w:vAlign w:val="center"/>
          </w:tcPr>
          <w:p w:rsidR="0065130B" w:rsidRPr="00CA0AE3" w:rsidRDefault="0065130B" w:rsidP="00B3615C">
            <w:pPr>
              <w:spacing w:after="0" w:line="240" w:lineRule="auto"/>
              <w:rPr>
                <w:rFonts w:eastAsia="Times New Roman"/>
                <w:sz w:val="16"/>
                <w:szCs w:val="16"/>
              </w:rPr>
            </w:pPr>
            <w:r w:rsidRPr="00CA0AE3">
              <w:rPr>
                <w:rFonts w:eastAsia="Times New Roman"/>
                <w:sz w:val="16"/>
                <w:szCs w:val="16"/>
              </w:rPr>
              <w:t>Target of 50% informed by out-migration improvement opportunity</w:t>
            </w:r>
          </w:p>
        </w:tc>
      </w:tr>
      <w:tr w:rsidR="0065130B" w:rsidRPr="00CA0AE3" w:rsidTr="00C947DF">
        <w:trPr>
          <w:cantSplit/>
        </w:trPr>
        <w:tc>
          <w:tcPr>
            <w:tcW w:w="358" w:type="dxa"/>
            <w:vAlign w:val="center"/>
          </w:tcPr>
          <w:p w:rsidR="0065130B" w:rsidRPr="00CA0AE3" w:rsidRDefault="0065130B" w:rsidP="0065130B">
            <w:pPr>
              <w:spacing w:after="0" w:line="240" w:lineRule="auto"/>
              <w:jc w:val="center"/>
              <w:rPr>
                <w:sz w:val="16"/>
                <w:szCs w:val="16"/>
              </w:rPr>
            </w:pPr>
            <w:r w:rsidRPr="00CA0AE3">
              <w:rPr>
                <w:sz w:val="16"/>
                <w:szCs w:val="16"/>
              </w:rPr>
              <w:t>3</w:t>
            </w:r>
          </w:p>
        </w:tc>
        <w:tc>
          <w:tcPr>
            <w:tcW w:w="1529" w:type="dxa"/>
            <w:shd w:val="clear" w:color="auto" w:fill="auto"/>
            <w:tcMar>
              <w:top w:w="13" w:type="dxa"/>
              <w:left w:w="93" w:type="dxa"/>
              <w:bottom w:w="0" w:type="dxa"/>
              <w:right w:w="93" w:type="dxa"/>
            </w:tcMar>
            <w:vAlign w:val="center"/>
            <w:hideMark/>
          </w:tcPr>
          <w:p w:rsidR="0065130B" w:rsidRPr="00CA0AE3" w:rsidRDefault="0065130B" w:rsidP="0065130B">
            <w:pPr>
              <w:spacing w:after="0" w:line="240" w:lineRule="auto"/>
              <w:rPr>
                <w:sz w:val="16"/>
                <w:szCs w:val="16"/>
              </w:rPr>
            </w:pPr>
            <w:r w:rsidRPr="00CA0AE3">
              <w:rPr>
                <w:sz w:val="16"/>
                <w:szCs w:val="16"/>
              </w:rPr>
              <w:t>Overall Reduce proportion of out-of-network Medical &amp; Surgical specialty referrals (outpatient)</w:t>
            </w:r>
          </w:p>
        </w:tc>
        <w:tc>
          <w:tcPr>
            <w:tcW w:w="1170" w:type="dxa"/>
            <w:shd w:val="clear" w:color="auto" w:fill="auto"/>
            <w:tcMar>
              <w:top w:w="13" w:type="dxa"/>
              <w:left w:w="93" w:type="dxa"/>
              <w:bottom w:w="0" w:type="dxa"/>
              <w:right w:w="93" w:type="dxa"/>
            </w:tcMar>
            <w:vAlign w:val="center"/>
            <w:hideMark/>
          </w:tcPr>
          <w:p w:rsidR="0065130B" w:rsidRPr="00CA0AE3" w:rsidRDefault="0065130B" w:rsidP="0065130B">
            <w:pPr>
              <w:spacing w:after="0" w:line="240" w:lineRule="auto"/>
              <w:jc w:val="center"/>
              <w:rPr>
                <w:sz w:val="16"/>
                <w:szCs w:val="16"/>
              </w:rPr>
            </w:pPr>
            <w:r w:rsidRPr="00CA0AE3">
              <w:rPr>
                <w:sz w:val="16"/>
                <w:szCs w:val="16"/>
              </w:rPr>
              <w:t>Customized Measure</w:t>
            </w:r>
          </w:p>
        </w:tc>
        <w:tc>
          <w:tcPr>
            <w:tcW w:w="1260" w:type="dxa"/>
            <w:shd w:val="clear" w:color="auto" w:fill="auto"/>
            <w:tcMar>
              <w:top w:w="13" w:type="dxa"/>
              <w:left w:w="93" w:type="dxa"/>
              <w:bottom w:w="0" w:type="dxa"/>
              <w:right w:w="93" w:type="dxa"/>
            </w:tcMar>
            <w:vAlign w:val="center"/>
            <w:hideMark/>
          </w:tcPr>
          <w:p w:rsidR="0065130B" w:rsidRPr="00CA0AE3" w:rsidRDefault="0065130B" w:rsidP="0065130B">
            <w:pPr>
              <w:spacing w:after="0" w:line="240" w:lineRule="auto"/>
              <w:jc w:val="center"/>
              <w:rPr>
                <w:sz w:val="16"/>
                <w:szCs w:val="16"/>
              </w:rPr>
            </w:pPr>
            <w:r w:rsidRPr="00CA0AE3">
              <w:rPr>
                <w:sz w:val="16"/>
                <w:szCs w:val="16"/>
              </w:rPr>
              <w:t>No external benchmark;</w:t>
            </w:r>
          </w:p>
          <w:p w:rsidR="0065130B" w:rsidRPr="00CA0AE3" w:rsidRDefault="0065130B" w:rsidP="0065130B">
            <w:pPr>
              <w:spacing w:after="0" w:line="240" w:lineRule="auto"/>
              <w:jc w:val="center"/>
              <w:rPr>
                <w:bCs/>
                <w:sz w:val="16"/>
                <w:szCs w:val="16"/>
              </w:rPr>
            </w:pPr>
            <w:r w:rsidRPr="00CA0AE3">
              <w:rPr>
                <w:sz w:val="16"/>
                <w:szCs w:val="16"/>
              </w:rPr>
              <w:t>hospital specific improvement target = 10%</w:t>
            </w:r>
          </w:p>
        </w:tc>
        <w:tc>
          <w:tcPr>
            <w:tcW w:w="1440" w:type="dxa"/>
            <w:shd w:val="clear" w:color="auto" w:fill="auto"/>
            <w:tcMar>
              <w:top w:w="13" w:type="dxa"/>
              <w:left w:w="93" w:type="dxa"/>
              <w:bottom w:w="0" w:type="dxa"/>
              <w:right w:w="93" w:type="dxa"/>
            </w:tcMar>
            <w:vAlign w:val="center"/>
            <w:hideMark/>
          </w:tcPr>
          <w:p w:rsidR="0065130B" w:rsidRPr="00CA0AE3" w:rsidRDefault="0065130B" w:rsidP="0065130B">
            <w:pPr>
              <w:spacing w:after="0" w:line="240" w:lineRule="auto"/>
              <w:jc w:val="center"/>
              <w:rPr>
                <w:sz w:val="16"/>
                <w:szCs w:val="16"/>
              </w:rPr>
            </w:pPr>
            <w:r w:rsidRPr="00CA0AE3">
              <w:rPr>
                <w:bCs/>
                <w:sz w:val="16"/>
                <w:szCs w:val="16"/>
              </w:rPr>
              <w:t>Gap to Goal (10%) or attainment at target</w:t>
            </w:r>
          </w:p>
        </w:tc>
        <w:tc>
          <w:tcPr>
            <w:tcW w:w="1170" w:type="dxa"/>
            <w:shd w:val="clear" w:color="auto" w:fill="auto"/>
            <w:tcMar>
              <w:top w:w="13" w:type="dxa"/>
              <w:left w:w="93" w:type="dxa"/>
              <w:bottom w:w="0" w:type="dxa"/>
              <w:right w:w="93" w:type="dxa"/>
            </w:tcMar>
            <w:vAlign w:val="center"/>
            <w:hideMark/>
          </w:tcPr>
          <w:p w:rsidR="0065130B" w:rsidRPr="00CA0AE3" w:rsidRDefault="0065130B" w:rsidP="0065130B">
            <w:pPr>
              <w:spacing w:after="0" w:line="240" w:lineRule="auto"/>
              <w:jc w:val="center"/>
              <w:rPr>
                <w:b/>
                <w:sz w:val="16"/>
                <w:szCs w:val="16"/>
              </w:rPr>
            </w:pPr>
            <w:r w:rsidRPr="00CA0AE3">
              <w:rPr>
                <w:b/>
                <w:sz w:val="16"/>
                <w:szCs w:val="16"/>
              </w:rPr>
              <w:t>O</w:t>
            </w:r>
          </w:p>
          <w:p w:rsidR="0065130B" w:rsidRPr="00CA0AE3" w:rsidRDefault="008D3CB4" w:rsidP="0065130B">
            <w:pPr>
              <w:spacing w:after="0" w:line="240" w:lineRule="auto"/>
              <w:jc w:val="center"/>
              <w:rPr>
                <w:sz w:val="16"/>
                <w:szCs w:val="16"/>
              </w:rPr>
            </w:pPr>
            <w:r w:rsidRPr="00CA0AE3">
              <w:rPr>
                <w:sz w:val="16"/>
                <w:szCs w:val="16"/>
              </w:rPr>
              <w:t>(4/1/17 -3/31/18)</w:t>
            </w:r>
          </w:p>
        </w:tc>
        <w:tc>
          <w:tcPr>
            <w:tcW w:w="1260" w:type="dxa"/>
            <w:shd w:val="clear" w:color="auto" w:fill="auto"/>
            <w:tcMar>
              <w:top w:w="13" w:type="dxa"/>
              <w:left w:w="93" w:type="dxa"/>
              <w:bottom w:w="0" w:type="dxa"/>
              <w:right w:w="93" w:type="dxa"/>
            </w:tcMar>
            <w:vAlign w:val="center"/>
            <w:hideMark/>
          </w:tcPr>
          <w:p w:rsidR="0065130B" w:rsidRPr="00CA0AE3" w:rsidRDefault="0065130B" w:rsidP="0065130B">
            <w:pPr>
              <w:spacing w:after="0" w:line="240" w:lineRule="auto"/>
              <w:jc w:val="center"/>
              <w:rPr>
                <w:b/>
                <w:sz w:val="16"/>
                <w:szCs w:val="16"/>
              </w:rPr>
            </w:pPr>
            <w:r w:rsidRPr="00CA0AE3">
              <w:rPr>
                <w:b/>
                <w:sz w:val="16"/>
                <w:szCs w:val="16"/>
              </w:rPr>
              <w:t>O</w:t>
            </w:r>
          </w:p>
          <w:p w:rsidR="0065130B" w:rsidRPr="00CA0AE3" w:rsidRDefault="008D3CB4" w:rsidP="0065130B">
            <w:pPr>
              <w:spacing w:after="0" w:line="240" w:lineRule="auto"/>
              <w:jc w:val="center"/>
              <w:rPr>
                <w:sz w:val="16"/>
                <w:szCs w:val="16"/>
              </w:rPr>
            </w:pPr>
            <w:r w:rsidRPr="00CA0AE3">
              <w:rPr>
                <w:sz w:val="16"/>
                <w:szCs w:val="16"/>
              </w:rPr>
              <w:t>(4/1/18 -3/31/19)</w:t>
            </w:r>
          </w:p>
        </w:tc>
        <w:tc>
          <w:tcPr>
            <w:tcW w:w="1260" w:type="dxa"/>
            <w:shd w:val="clear" w:color="auto" w:fill="auto"/>
            <w:tcMar>
              <w:top w:w="13" w:type="dxa"/>
              <w:left w:w="93" w:type="dxa"/>
              <w:bottom w:w="0" w:type="dxa"/>
              <w:right w:w="93" w:type="dxa"/>
            </w:tcMar>
            <w:vAlign w:val="center"/>
            <w:hideMark/>
          </w:tcPr>
          <w:p w:rsidR="0065130B" w:rsidRPr="00CA0AE3" w:rsidRDefault="0065130B" w:rsidP="0065130B">
            <w:pPr>
              <w:spacing w:after="0" w:line="240" w:lineRule="auto"/>
              <w:jc w:val="center"/>
              <w:rPr>
                <w:b/>
                <w:sz w:val="16"/>
                <w:szCs w:val="16"/>
              </w:rPr>
            </w:pPr>
            <w:r w:rsidRPr="00CA0AE3">
              <w:rPr>
                <w:b/>
                <w:sz w:val="16"/>
                <w:szCs w:val="16"/>
              </w:rPr>
              <w:t>O</w:t>
            </w:r>
          </w:p>
          <w:p w:rsidR="0065130B" w:rsidRPr="00CA0AE3" w:rsidRDefault="008D3CB4" w:rsidP="0065130B">
            <w:pPr>
              <w:spacing w:after="0" w:line="240" w:lineRule="auto"/>
              <w:jc w:val="center"/>
              <w:rPr>
                <w:sz w:val="16"/>
                <w:szCs w:val="16"/>
              </w:rPr>
            </w:pPr>
            <w:r w:rsidRPr="00CA0AE3">
              <w:rPr>
                <w:sz w:val="16"/>
                <w:szCs w:val="16"/>
              </w:rPr>
              <w:t>(4/1/19 -3/31/20)</w:t>
            </w:r>
          </w:p>
        </w:tc>
        <w:tc>
          <w:tcPr>
            <w:tcW w:w="1260" w:type="dxa"/>
            <w:shd w:val="clear" w:color="auto" w:fill="auto"/>
            <w:tcMar>
              <w:top w:w="13" w:type="dxa"/>
              <w:left w:w="93" w:type="dxa"/>
              <w:bottom w:w="0" w:type="dxa"/>
              <w:right w:w="93" w:type="dxa"/>
            </w:tcMar>
            <w:vAlign w:val="center"/>
            <w:hideMark/>
          </w:tcPr>
          <w:p w:rsidR="0065130B" w:rsidRPr="00CA0AE3" w:rsidRDefault="0065130B" w:rsidP="0065130B">
            <w:pPr>
              <w:spacing w:after="0" w:line="240" w:lineRule="auto"/>
              <w:jc w:val="center"/>
              <w:rPr>
                <w:b/>
                <w:sz w:val="16"/>
                <w:szCs w:val="16"/>
              </w:rPr>
            </w:pPr>
            <w:r w:rsidRPr="00CA0AE3">
              <w:rPr>
                <w:b/>
                <w:sz w:val="16"/>
                <w:szCs w:val="16"/>
              </w:rPr>
              <w:t>O</w:t>
            </w:r>
          </w:p>
          <w:p w:rsidR="0065130B" w:rsidRPr="00CA0AE3" w:rsidRDefault="008D3CB4" w:rsidP="0065130B">
            <w:pPr>
              <w:spacing w:after="0" w:line="240" w:lineRule="auto"/>
              <w:jc w:val="center"/>
              <w:rPr>
                <w:sz w:val="16"/>
                <w:szCs w:val="16"/>
              </w:rPr>
            </w:pPr>
            <w:r w:rsidRPr="00CA0AE3">
              <w:rPr>
                <w:sz w:val="16"/>
                <w:szCs w:val="16"/>
              </w:rPr>
              <w:t>(4/1/20 – 3/31/21)</w:t>
            </w:r>
          </w:p>
        </w:tc>
        <w:tc>
          <w:tcPr>
            <w:tcW w:w="1260" w:type="dxa"/>
            <w:shd w:val="clear" w:color="auto" w:fill="auto"/>
            <w:tcMar>
              <w:top w:w="13" w:type="dxa"/>
              <w:left w:w="93" w:type="dxa"/>
              <w:bottom w:w="0" w:type="dxa"/>
              <w:right w:w="93" w:type="dxa"/>
            </w:tcMar>
            <w:vAlign w:val="center"/>
            <w:hideMark/>
          </w:tcPr>
          <w:p w:rsidR="0065130B" w:rsidRPr="00CA0AE3" w:rsidRDefault="0065130B" w:rsidP="0065130B">
            <w:pPr>
              <w:spacing w:after="0" w:line="240" w:lineRule="auto"/>
              <w:jc w:val="center"/>
              <w:rPr>
                <w:b/>
                <w:sz w:val="16"/>
                <w:szCs w:val="16"/>
              </w:rPr>
            </w:pPr>
            <w:r w:rsidRPr="00CA0AE3">
              <w:rPr>
                <w:b/>
                <w:sz w:val="16"/>
                <w:szCs w:val="16"/>
              </w:rPr>
              <w:t>O</w:t>
            </w:r>
          </w:p>
          <w:p w:rsidR="0065130B" w:rsidRPr="00CA0AE3" w:rsidRDefault="008D3CB4" w:rsidP="0065130B">
            <w:pPr>
              <w:spacing w:after="0" w:line="240" w:lineRule="auto"/>
              <w:jc w:val="center"/>
              <w:rPr>
                <w:sz w:val="16"/>
                <w:szCs w:val="16"/>
              </w:rPr>
            </w:pPr>
            <w:r w:rsidRPr="00CA0AE3">
              <w:rPr>
                <w:sz w:val="16"/>
                <w:szCs w:val="16"/>
              </w:rPr>
              <w:t>(4/1/21 - 3/31/22)</w:t>
            </w:r>
          </w:p>
        </w:tc>
        <w:tc>
          <w:tcPr>
            <w:tcW w:w="1266" w:type="dxa"/>
            <w:vAlign w:val="center"/>
          </w:tcPr>
          <w:p w:rsidR="0065130B" w:rsidRPr="00CA0AE3" w:rsidRDefault="0065130B" w:rsidP="00B3615C">
            <w:pPr>
              <w:spacing w:after="0" w:line="240" w:lineRule="auto"/>
              <w:rPr>
                <w:rFonts w:eastAsia="Times New Roman"/>
                <w:sz w:val="16"/>
                <w:szCs w:val="16"/>
              </w:rPr>
            </w:pPr>
            <w:r w:rsidRPr="00CA0AE3">
              <w:rPr>
                <w:rFonts w:eastAsia="Times New Roman"/>
                <w:sz w:val="16"/>
                <w:szCs w:val="16"/>
              </w:rPr>
              <w:t>Target of 10% informed by out-of-network referral improvement opportunity</w:t>
            </w:r>
          </w:p>
        </w:tc>
      </w:tr>
      <w:tr w:rsidR="0065130B" w:rsidRPr="00CA0AE3" w:rsidTr="00C947DF">
        <w:trPr>
          <w:cantSplit/>
          <w:trHeight w:val="1035"/>
        </w:trPr>
        <w:tc>
          <w:tcPr>
            <w:tcW w:w="358" w:type="dxa"/>
            <w:vMerge w:val="restart"/>
            <w:vAlign w:val="center"/>
          </w:tcPr>
          <w:p w:rsidR="0065130B" w:rsidRPr="00CA0AE3" w:rsidRDefault="009B1F36" w:rsidP="009B1F36">
            <w:pPr>
              <w:spacing w:after="0" w:line="240" w:lineRule="auto"/>
              <w:jc w:val="center"/>
              <w:rPr>
                <w:sz w:val="16"/>
                <w:szCs w:val="16"/>
              </w:rPr>
            </w:pPr>
            <w:r w:rsidRPr="00CA0AE3">
              <w:rPr>
                <w:sz w:val="16"/>
                <w:szCs w:val="16"/>
              </w:rPr>
              <w:t>4</w:t>
            </w:r>
          </w:p>
        </w:tc>
        <w:tc>
          <w:tcPr>
            <w:tcW w:w="1529" w:type="dxa"/>
            <w:vMerge w:val="restart"/>
            <w:shd w:val="clear" w:color="auto" w:fill="auto"/>
            <w:tcMar>
              <w:top w:w="13" w:type="dxa"/>
              <w:left w:w="93" w:type="dxa"/>
              <w:bottom w:w="0" w:type="dxa"/>
              <w:right w:w="93" w:type="dxa"/>
            </w:tcMar>
            <w:vAlign w:val="center"/>
            <w:hideMark/>
          </w:tcPr>
          <w:p w:rsidR="0065130B" w:rsidRPr="00CA0AE3" w:rsidRDefault="0065130B" w:rsidP="0065130B">
            <w:pPr>
              <w:spacing w:after="0" w:line="240" w:lineRule="auto"/>
              <w:rPr>
                <w:sz w:val="16"/>
                <w:szCs w:val="16"/>
              </w:rPr>
            </w:pPr>
            <w:r w:rsidRPr="00CA0AE3">
              <w:rPr>
                <w:sz w:val="16"/>
                <w:szCs w:val="16"/>
              </w:rPr>
              <w:t>Selected Public Hospital Primary Care Practice(s) Initiative: Primary care reduce proportion of out-of-network Medical &amp; Surgical specialty referrals (outpatient) referrals</w:t>
            </w:r>
          </w:p>
        </w:tc>
        <w:tc>
          <w:tcPr>
            <w:tcW w:w="1170" w:type="dxa"/>
            <w:vMerge w:val="restart"/>
            <w:shd w:val="clear" w:color="auto" w:fill="auto"/>
            <w:tcMar>
              <w:top w:w="13" w:type="dxa"/>
              <w:left w:w="93" w:type="dxa"/>
              <w:bottom w:w="0" w:type="dxa"/>
              <w:right w:w="93" w:type="dxa"/>
            </w:tcMar>
            <w:vAlign w:val="center"/>
            <w:hideMark/>
          </w:tcPr>
          <w:p w:rsidR="0065130B" w:rsidRPr="00CA0AE3" w:rsidRDefault="0065130B" w:rsidP="0065130B">
            <w:pPr>
              <w:spacing w:after="0" w:line="240" w:lineRule="auto"/>
              <w:jc w:val="center"/>
              <w:rPr>
                <w:sz w:val="16"/>
                <w:szCs w:val="16"/>
              </w:rPr>
            </w:pPr>
            <w:r w:rsidRPr="00CA0AE3">
              <w:rPr>
                <w:sz w:val="16"/>
                <w:szCs w:val="16"/>
              </w:rPr>
              <w:t>Customized Measure</w:t>
            </w:r>
          </w:p>
        </w:tc>
        <w:tc>
          <w:tcPr>
            <w:tcW w:w="1260" w:type="dxa"/>
            <w:vMerge w:val="restart"/>
            <w:shd w:val="clear" w:color="auto" w:fill="auto"/>
            <w:tcMar>
              <w:top w:w="13" w:type="dxa"/>
              <w:left w:w="93" w:type="dxa"/>
              <w:bottom w:w="0" w:type="dxa"/>
              <w:right w:w="93" w:type="dxa"/>
            </w:tcMar>
            <w:vAlign w:val="center"/>
            <w:hideMark/>
          </w:tcPr>
          <w:p w:rsidR="0065130B" w:rsidRPr="00CA0AE3" w:rsidRDefault="0065130B" w:rsidP="0065130B">
            <w:pPr>
              <w:spacing w:after="0" w:line="240" w:lineRule="auto"/>
              <w:jc w:val="center"/>
              <w:rPr>
                <w:sz w:val="16"/>
                <w:szCs w:val="16"/>
              </w:rPr>
            </w:pPr>
            <w:r w:rsidRPr="00CA0AE3">
              <w:rPr>
                <w:sz w:val="16"/>
                <w:szCs w:val="16"/>
              </w:rPr>
              <w:t>No external benchmark;</w:t>
            </w:r>
          </w:p>
          <w:p w:rsidR="0065130B" w:rsidRPr="00CA0AE3" w:rsidRDefault="0065130B" w:rsidP="0065130B">
            <w:pPr>
              <w:spacing w:after="0" w:line="240" w:lineRule="auto"/>
              <w:jc w:val="center"/>
              <w:rPr>
                <w:b/>
                <w:sz w:val="16"/>
                <w:szCs w:val="16"/>
              </w:rPr>
            </w:pPr>
            <w:r w:rsidRPr="00CA0AE3">
              <w:rPr>
                <w:sz w:val="16"/>
                <w:szCs w:val="16"/>
              </w:rPr>
              <w:t>hospital specific improvement target = 10%</w:t>
            </w:r>
          </w:p>
        </w:tc>
        <w:tc>
          <w:tcPr>
            <w:tcW w:w="1440" w:type="dxa"/>
            <w:vMerge w:val="restart"/>
            <w:shd w:val="clear" w:color="auto" w:fill="auto"/>
            <w:tcMar>
              <w:top w:w="13" w:type="dxa"/>
              <w:left w:w="93" w:type="dxa"/>
              <w:bottom w:w="0" w:type="dxa"/>
              <w:right w:w="93" w:type="dxa"/>
            </w:tcMar>
            <w:vAlign w:val="center"/>
            <w:hideMark/>
          </w:tcPr>
          <w:p w:rsidR="0065130B" w:rsidRPr="00CA0AE3" w:rsidRDefault="0065130B" w:rsidP="0065130B">
            <w:pPr>
              <w:spacing w:after="0" w:line="240" w:lineRule="auto"/>
              <w:jc w:val="center"/>
              <w:rPr>
                <w:bCs/>
                <w:sz w:val="16"/>
                <w:szCs w:val="16"/>
              </w:rPr>
            </w:pPr>
            <w:r w:rsidRPr="00CA0AE3">
              <w:rPr>
                <w:bCs/>
                <w:sz w:val="16"/>
                <w:szCs w:val="16"/>
              </w:rPr>
              <w:t>Gap to Goal (10%) or attainment at target</w:t>
            </w:r>
          </w:p>
        </w:tc>
        <w:tc>
          <w:tcPr>
            <w:tcW w:w="1170" w:type="dxa"/>
            <w:shd w:val="clear" w:color="auto" w:fill="auto"/>
            <w:tcMar>
              <w:top w:w="13" w:type="dxa"/>
              <w:left w:w="93" w:type="dxa"/>
              <w:bottom w:w="0" w:type="dxa"/>
              <w:right w:w="93" w:type="dxa"/>
            </w:tcMar>
            <w:vAlign w:val="center"/>
            <w:hideMark/>
          </w:tcPr>
          <w:p w:rsidR="0065130B" w:rsidRPr="00CA0AE3" w:rsidRDefault="0065130B" w:rsidP="0065130B">
            <w:pPr>
              <w:spacing w:after="0" w:line="240" w:lineRule="auto"/>
              <w:jc w:val="center"/>
              <w:rPr>
                <w:b/>
                <w:sz w:val="16"/>
                <w:szCs w:val="16"/>
              </w:rPr>
            </w:pPr>
            <w:r w:rsidRPr="00CA0AE3">
              <w:rPr>
                <w:b/>
                <w:sz w:val="16"/>
                <w:szCs w:val="16"/>
              </w:rPr>
              <w:t>B</w:t>
            </w:r>
          </w:p>
          <w:p w:rsidR="0065130B" w:rsidRPr="00CA0AE3" w:rsidRDefault="008D3CB4" w:rsidP="0065130B">
            <w:pPr>
              <w:spacing w:after="0" w:line="240" w:lineRule="auto"/>
              <w:jc w:val="center"/>
              <w:rPr>
                <w:sz w:val="16"/>
                <w:szCs w:val="16"/>
              </w:rPr>
            </w:pPr>
            <w:r w:rsidRPr="00CA0AE3">
              <w:rPr>
                <w:sz w:val="16"/>
                <w:szCs w:val="16"/>
              </w:rPr>
              <w:t>(4/1/17 -3/31/18)</w:t>
            </w:r>
          </w:p>
        </w:tc>
        <w:tc>
          <w:tcPr>
            <w:tcW w:w="1260" w:type="dxa"/>
            <w:shd w:val="clear" w:color="auto" w:fill="auto"/>
            <w:tcMar>
              <w:top w:w="13" w:type="dxa"/>
              <w:left w:w="93" w:type="dxa"/>
              <w:bottom w:w="0" w:type="dxa"/>
              <w:right w:w="93" w:type="dxa"/>
            </w:tcMar>
            <w:vAlign w:val="center"/>
            <w:hideMark/>
          </w:tcPr>
          <w:p w:rsidR="0065130B" w:rsidRPr="00CA0AE3" w:rsidRDefault="0065130B" w:rsidP="0065130B">
            <w:pPr>
              <w:spacing w:after="0" w:line="240" w:lineRule="auto"/>
              <w:jc w:val="center"/>
              <w:rPr>
                <w:b/>
                <w:sz w:val="16"/>
                <w:szCs w:val="16"/>
              </w:rPr>
            </w:pPr>
            <w:r w:rsidRPr="00CA0AE3">
              <w:rPr>
                <w:b/>
                <w:sz w:val="16"/>
                <w:szCs w:val="16"/>
              </w:rPr>
              <w:t>O</w:t>
            </w:r>
          </w:p>
          <w:p w:rsidR="0065130B" w:rsidRPr="00CA0AE3" w:rsidRDefault="008D3CB4" w:rsidP="0065130B">
            <w:pPr>
              <w:spacing w:after="0" w:line="240" w:lineRule="auto"/>
              <w:jc w:val="center"/>
              <w:rPr>
                <w:sz w:val="16"/>
                <w:szCs w:val="16"/>
              </w:rPr>
            </w:pPr>
            <w:r w:rsidRPr="00CA0AE3">
              <w:rPr>
                <w:sz w:val="16"/>
                <w:szCs w:val="16"/>
              </w:rPr>
              <w:t>(4/1/18 -3/31/19)</w:t>
            </w:r>
          </w:p>
        </w:tc>
        <w:tc>
          <w:tcPr>
            <w:tcW w:w="1260" w:type="dxa"/>
            <w:shd w:val="clear" w:color="auto" w:fill="auto"/>
            <w:tcMar>
              <w:top w:w="13" w:type="dxa"/>
              <w:left w:w="93" w:type="dxa"/>
              <w:bottom w:w="0" w:type="dxa"/>
              <w:right w:w="93" w:type="dxa"/>
            </w:tcMar>
            <w:vAlign w:val="center"/>
            <w:hideMark/>
          </w:tcPr>
          <w:p w:rsidR="0065130B" w:rsidRPr="00CA0AE3" w:rsidRDefault="0065130B" w:rsidP="0065130B">
            <w:pPr>
              <w:spacing w:after="0" w:line="240" w:lineRule="auto"/>
              <w:jc w:val="center"/>
              <w:rPr>
                <w:b/>
                <w:sz w:val="16"/>
                <w:szCs w:val="16"/>
              </w:rPr>
            </w:pPr>
            <w:r w:rsidRPr="00CA0AE3">
              <w:rPr>
                <w:b/>
                <w:sz w:val="16"/>
                <w:szCs w:val="16"/>
              </w:rPr>
              <w:t>O</w:t>
            </w:r>
          </w:p>
          <w:p w:rsidR="0065130B" w:rsidRPr="00CA0AE3" w:rsidRDefault="008D3CB4" w:rsidP="0065130B">
            <w:pPr>
              <w:spacing w:after="0" w:line="240" w:lineRule="auto"/>
              <w:jc w:val="center"/>
              <w:rPr>
                <w:sz w:val="16"/>
                <w:szCs w:val="16"/>
              </w:rPr>
            </w:pPr>
            <w:r w:rsidRPr="00CA0AE3">
              <w:rPr>
                <w:sz w:val="16"/>
                <w:szCs w:val="16"/>
              </w:rPr>
              <w:t>(4/1/19 -3/31/20)</w:t>
            </w:r>
          </w:p>
          <w:p w:rsidR="0065130B" w:rsidRPr="00CA0AE3" w:rsidRDefault="008D3CB4" w:rsidP="0065130B">
            <w:pPr>
              <w:spacing w:after="0" w:line="240" w:lineRule="auto"/>
              <w:jc w:val="center"/>
              <w:rPr>
                <w:b/>
                <w:sz w:val="16"/>
                <w:szCs w:val="16"/>
              </w:rPr>
            </w:pPr>
            <w:r w:rsidRPr="00CA0AE3">
              <w:rPr>
                <w:sz w:val="16"/>
                <w:szCs w:val="16"/>
              </w:rPr>
              <w:t>Initial Practice (s)</w:t>
            </w:r>
          </w:p>
        </w:tc>
        <w:tc>
          <w:tcPr>
            <w:tcW w:w="1260" w:type="dxa"/>
            <w:shd w:val="clear" w:color="auto" w:fill="auto"/>
            <w:tcMar>
              <w:top w:w="13" w:type="dxa"/>
              <w:left w:w="93" w:type="dxa"/>
              <w:bottom w:w="0" w:type="dxa"/>
              <w:right w:w="93" w:type="dxa"/>
            </w:tcMar>
            <w:vAlign w:val="center"/>
            <w:hideMark/>
          </w:tcPr>
          <w:p w:rsidR="0065130B" w:rsidRPr="00CA0AE3" w:rsidRDefault="0065130B" w:rsidP="0065130B">
            <w:pPr>
              <w:spacing w:after="0" w:line="240" w:lineRule="auto"/>
              <w:jc w:val="center"/>
              <w:rPr>
                <w:b/>
                <w:sz w:val="16"/>
                <w:szCs w:val="16"/>
              </w:rPr>
            </w:pPr>
            <w:r w:rsidRPr="00CA0AE3">
              <w:rPr>
                <w:b/>
                <w:sz w:val="16"/>
                <w:szCs w:val="16"/>
              </w:rPr>
              <w:t>O</w:t>
            </w:r>
          </w:p>
          <w:p w:rsidR="0065130B" w:rsidRPr="00CA0AE3" w:rsidRDefault="008D3CB4" w:rsidP="0065130B">
            <w:pPr>
              <w:spacing w:after="0" w:line="240" w:lineRule="auto"/>
              <w:jc w:val="center"/>
              <w:rPr>
                <w:sz w:val="16"/>
                <w:szCs w:val="16"/>
              </w:rPr>
            </w:pPr>
            <w:r w:rsidRPr="00CA0AE3">
              <w:rPr>
                <w:sz w:val="16"/>
                <w:szCs w:val="16"/>
              </w:rPr>
              <w:t>(4/1/20 – 3/31/21)</w:t>
            </w:r>
          </w:p>
        </w:tc>
        <w:tc>
          <w:tcPr>
            <w:tcW w:w="1260" w:type="dxa"/>
            <w:shd w:val="clear" w:color="auto" w:fill="auto"/>
            <w:tcMar>
              <w:top w:w="13" w:type="dxa"/>
              <w:left w:w="93" w:type="dxa"/>
              <w:bottom w:w="0" w:type="dxa"/>
              <w:right w:w="93" w:type="dxa"/>
            </w:tcMar>
            <w:vAlign w:val="center"/>
            <w:hideMark/>
          </w:tcPr>
          <w:p w:rsidR="0065130B" w:rsidRPr="00CA0AE3" w:rsidRDefault="0065130B" w:rsidP="0065130B">
            <w:pPr>
              <w:spacing w:after="0" w:line="240" w:lineRule="auto"/>
              <w:jc w:val="center"/>
              <w:rPr>
                <w:b/>
                <w:sz w:val="16"/>
                <w:szCs w:val="16"/>
              </w:rPr>
            </w:pPr>
            <w:r w:rsidRPr="00CA0AE3">
              <w:rPr>
                <w:b/>
                <w:sz w:val="16"/>
                <w:szCs w:val="16"/>
              </w:rPr>
              <w:t>O</w:t>
            </w:r>
          </w:p>
          <w:p w:rsidR="0065130B" w:rsidRPr="00CA0AE3" w:rsidRDefault="008D3CB4" w:rsidP="0065130B">
            <w:pPr>
              <w:spacing w:after="0" w:line="240" w:lineRule="auto"/>
              <w:jc w:val="center"/>
              <w:rPr>
                <w:sz w:val="16"/>
                <w:szCs w:val="16"/>
              </w:rPr>
            </w:pPr>
            <w:r w:rsidRPr="00CA0AE3">
              <w:rPr>
                <w:sz w:val="16"/>
                <w:szCs w:val="16"/>
              </w:rPr>
              <w:t>(4/1/21 - 3/31/22)</w:t>
            </w:r>
          </w:p>
        </w:tc>
        <w:tc>
          <w:tcPr>
            <w:tcW w:w="1266" w:type="dxa"/>
            <w:vMerge w:val="restart"/>
            <w:vAlign w:val="center"/>
          </w:tcPr>
          <w:p w:rsidR="0065130B" w:rsidRPr="00CA0AE3" w:rsidRDefault="0065130B" w:rsidP="00B3615C">
            <w:pPr>
              <w:spacing w:after="0" w:line="240" w:lineRule="auto"/>
              <w:rPr>
                <w:rFonts w:eastAsia="Times New Roman"/>
                <w:sz w:val="16"/>
                <w:szCs w:val="16"/>
              </w:rPr>
            </w:pPr>
            <w:r w:rsidRPr="00CA0AE3">
              <w:rPr>
                <w:rFonts w:eastAsia="Times New Roman"/>
                <w:sz w:val="16"/>
                <w:szCs w:val="16"/>
              </w:rPr>
              <w:t>Target of 10% informed by out-of-network referral improvement opportunity</w:t>
            </w:r>
          </w:p>
        </w:tc>
      </w:tr>
      <w:tr w:rsidR="0065130B" w:rsidRPr="00CA0AE3" w:rsidTr="00C947DF">
        <w:trPr>
          <w:cantSplit/>
          <w:trHeight w:val="1035"/>
        </w:trPr>
        <w:tc>
          <w:tcPr>
            <w:tcW w:w="358" w:type="dxa"/>
            <w:vMerge/>
            <w:vAlign w:val="center"/>
          </w:tcPr>
          <w:p w:rsidR="0065130B" w:rsidRPr="00CA0AE3" w:rsidRDefault="0065130B" w:rsidP="0065130B">
            <w:pPr>
              <w:spacing w:after="0" w:line="240" w:lineRule="auto"/>
              <w:jc w:val="center"/>
              <w:rPr>
                <w:sz w:val="16"/>
                <w:szCs w:val="16"/>
              </w:rPr>
            </w:pPr>
          </w:p>
        </w:tc>
        <w:tc>
          <w:tcPr>
            <w:tcW w:w="1529" w:type="dxa"/>
            <w:vMerge/>
            <w:shd w:val="clear" w:color="auto" w:fill="auto"/>
            <w:tcMar>
              <w:top w:w="13" w:type="dxa"/>
              <w:left w:w="93" w:type="dxa"/>
              <w:bottom w:w="0" w:type="dxa"/>
              <w:right w:w="93" w:type="dxa"/>
            </w:tcMar>
            <w:vAlign w:val="center"/>
            <w:hideMark/>
          </w:tcPr>
          <w:p w:rsidR="0065130B" w:rsidRPr="00CA0AE3" w:rsidRDefault="0065130B" w:rsidP="0065130B">
            <w:pPr>
              <w:spacing w:after="0" w:line="240" w:lineRule="auto"/>
              <w:rPr>
                <w:sz w:val="16"/>
                <w:szCs w:val="16"/>
              </w:rPr>
            </w:pPr>
          </w:p>
        </w:tc>
        <w:tc>
          <w:tcPr>
            <w:tcW w:w="1170" w:type="dxa"/>
            <w:vMerge/>
            <w:shd w:val="clear" w:color="auto" w:fill="auto"/>
            <w:tcMar>
              <w:top w:w="13" w:type="dxa"/>
              <w:left w:w="93" w:type="dxa"/>
              <w:bottom w:w="0" w:type="dxa"/>
              <w:right w:w="93" w:type="dxa"/>
            </w:tcMar>
            <w:vAlign w:val="center"/>
            <w:hideMark/>
          </w:tcPr>
          <w:p w:rsidR="0065130B" w:rsidRPr="00CA0AE3" w:rsidRDefault="0065130B" w:rsidP="0065130B">
            <w:pPr>
              <w:spacing w:after="0" w:line="240" w:lineRule="auto"/>
              <w:jc w:val="center"/>
              <w:rPr>
                <w:sz w:val="16"/>
                <w:szCs w:val="16"/>
              </w:rPr>
            </w:pPr>
          </w:p>
        </w:tc>
        <w:tc>
          <w:tcPr>
            <w:tcW w:w="1260" w:type="dxa"/>
            <w:vMerge/>
            <w:shd w:val="clear" w:color="auto" w:fill="auto"/>
            <w:tcMar>
              <w:top w:w="13" w:type="dxa"/>
              <w:left w:w="93" w:type="dxa"/>
              <w:bottom w:w="0" w:type="dxa"/>
              <w:right w:w="93" w:type="dxa"/>
            </w:tcMar>
            <w:vAlign w:val="center"/>
            <w:hideMark/>
          </w:tcPr>
          <w:p w:rsidR="0065130B" w:rsidRPr="00CA0AE3" w:rsidRDefault="0065130B" w:rsidP="0065130B">
            <w:pPr>
              <w:spacing w:after="0" w:line="240" w:lineRule="auto"/>
              <w:jc w:val="center"/>
              <w:rPr>
                <w:sz w:val="16"/>
                <w:szCs w:val="16"/>
              </w:rPr>
            </w:pPr>
          </w:p>
        </w:tc>
        <w:tc>
          <w:tcPr>
            <w:tcW w:w="1440" w:type="dxa"/>
            <w:vMerge/>
            <w:shd w:val="clear" w:color="auto" w:fill="auto"/>
            <w:tcMar>
              <w:top w:w="13" w:type="dxa"/>
              <w:left w:w="93" w:type="dxa"/>
              <w:bottom w:w="0" w:type="dxa"/>
              <w:right w:w="93" w:type="dxa"/>
            </w:tcMar>
            <w:vAlign w:val="center"/>
            <w:hideMark/>
          </w:tcPr>
          <w:p w:rsidR="0065130B" w:rsidRPr="00CA0AE3" w:rsidRDefault="0065130B" w:rsidP="0065130B">
            <w:pPr>
              <w:spacing w:after="0" w:line="240" w:lineRule="auto"/>
              <w:jc w:val="center"/>
              <w:rPr>
                <w:bCs/>
                <w:sz w:val="16"/>
                <w:szCs w:val="16"/>
              </w:rPr>
            </w:pPr>
          </w:p>
        </w:tc>
        <w:tc>
          <w:tcPr>
            <w:tcW w:w="1170" w:type="dxa"/>
            <w:shd w:val="clear" w:color="auto" w:fill="auto"/>
            <w:tcMar>
              <w:top w:w="13" w:type="dxa"/>
              <w:left w:w="93" w:type="dxa"/>
              <w:bottom w:w="0" w:type="dxa"/>
              <w:right w:w="93" w:type="dxa"/>
            </w:tcMar>
            <w:vAlign w:val="center"/>
            <w:hideMark/>
          </w:tcPr>
          <w:p w:rsidR="0065130B" w:rsidRPr="00CA0AE3" w:rsidRDefault="008D3CB4" w:rsidP="0065130B">
            <w:pPr>
              <w:spacing w:after="0" w:line="240" w:lineRule="auto"/>
              <w:jc w:val="center"/>
              <w:rPr>
                <w:sz w:val="16"/>
                <w:szCs w:val="16"/>
              </w:rPr>
            </w:pPr>
            <w:r w:rsidRPr="00CA0AE3">
              <w:rPr>
                <w:sz w:val="16"/>
                <w:szCs w:val="16"/>
              </w:rPr>
              <w:t>Initial Practice (s)</w:t>
            </w:r>
          </w:p>
        </w:tc>
        <w:tc>
          <w:tcPr>
            <w:tcW w:w="1260" w:type="dxa"/>
            <w:shd w:val="clear" w:color="auto" w:fill="auto"/>
            <w:tcMar>
              <w:top w:w="13" w:type="dxa"/>
              <w:left w:w="93" w:type="dxa"/>
              <w:bottom w:w="0" w:type="dxa"/>
              <w:right w:w="93" w:type="dxa"/>
            </w:tcMar>
            <w:vAlign w:val="center"/>
            <w:hideMark/>
          </w:tcPr>
          <w:p w:rsidR="0065130B" w:rsidRPr="00CA0AE3" w:rsidRDefault="008D3CB4" w:rsidP="0065130B">
            <w:pPr>
              <w:spacing w:after="0" w:line="240" w:lineRule="auto"/>
              <w:jc w:val="center"/>
              <w:rPr>
                <w:sz w:val="16"/>
                <w:szCs w:val="16"/>
              </w:rPr>
            </w:pPr>
            <w:r w:rsidRPr="00CA0AE3">
              <w:rPr>
                <w:sz w:val="16"/>
                <w:szCs w:val="16"/>
              </w:rPr>
              <w:t>Initial Practice (s)</w:t>
            </w:r>
          </w:p>
        </w:tc>
        <w:tc>
          <w:tcPr>
            <w:tcW w:w="1260" w:type="dxa"/>
            <w:shd w:val="clear" w:color="auto" w:fill="auto"/>
            <w:tcMar>
              <w:top w:w="13" w:type="dxa"/>
              <w:left w:w="93" w:type="dxa"/>
              <w:bottom w:w="0" w:type="dxa"/>
              <w:right w:w="93" w:type="dxa"/>
            </w:tcMar>
            <w:vAlign w:val="center"/>
            <w:hideMark/>
          </w:tcPr>
          <w:p w:rsidR="0065130B" w:rsidRPr="00CA0AE3" w:rsidRDefault="008D3CB4" w:rsidP="0065130B">
            <w:pPr>
              <w:spacing w:after="0" w:line="240" w:lineRule="auto"/>
              <w:jc w:val="center"/>
              <w:rPr>
                <w:sz w:val="16"/>
                <w:szCs w:val="16"/>
              </w:rPr>
            </w:pPr>
            <w:r w:rsidRPr="00CA0AE3">
              <w:rPr>
                <w:sz w:val="16"/>
                <w:szCs w:val="16"/>
              </w:rPr>
              <w:t>New</w:t>
            </w:r>
          </w:p>
          <w:p w:rsidR="0065130B" w:rsidRPr="00CA0AE3" w:rsidRDefault="008D3CB4" w:rsidP="0065130B">
            <w:pPr>
              <w:spacing w:after="0" w:line="240" w:lineRule="auto"/>
              <w:jc w:val="center"/>
              <w:rPr>
                <w:b/>
                <w:sz w:val="16"/>
                <w:szCs w:val="16"/>
              </w:rPr>
            </w:pPr>
            <w:r w:rsidRPr="00CA0AE3">
              <w:rPr>
                <w:sz w:val="16"/>
                <w:szCs w:val="16"/>
              </w:rPr>
              <w:t>Practice (s)</w:t>
            </w:r>
          </w:p>
        </w:tc>
        <w:tc>
          <w:tcPr>
            <w:tcW w:w="1260" w:type="dxa"/>
            <w:shd w:val="clear" w:color="auto" w:fill="auto"/>
            <w:tcMar>
              <w:top w:w="13" w:type="dxa"/>
              <w:left w:w="93" w:type="dxa"/>
              <w:bottom w:w="0" w:type="dxa"/>
              <w:right w:w="93" w:type="dxa"/>
            </w:tcMar>
            <w:vAlign w:val="center"/>
            <w:hideMark/>
          </w:tcPr>
          <w:p w:rsidR="0065130B" w:rsidRPr="00CA0AE3" w:rsidRDefault="008D3CB4" w:rsidP="0065130B">
            <w:pPr>
              <w:spacing w:after="0" w:line="240" w:lineRule="auto"/>
              <w:jc w:val="center"/>
              <w:rPr>
                <w:sz w:val="16"/>
                <w:szCs w:val="16"/>
              </w:rPr>
            </w:pPr>
            <w:r w:rsidRPr="00CA0AE3">
              <w:rPr>
                <w:sz w:val="16"/>
                <w:szCs w:val="16"/>
              </w:rPr>
              <w:t xml:space="preserve">New </w:t>
            </w:r>
          </w:p>
          <w:p w:rsidR="0065130B" w:rsidRPr="00CA0AE3" w:rsidRDefault="008D3CB4" w:rsidP="0065130B">
            <w:pPr>
              <w:spacing w:after="0" w:line="240" w:lineRule="auto"/>
              <w:jc w:val="center"/>
              <w:rPr>
                <w:b/>
                <w:sz w:val="16"/>
                <w:szCs w:val="16"/>
              </w:rPr>
            </w:pPr>
            <w:r w:rsidRPr="00CA0AE3">
              <w:rPr>
                <w:sz w:val="16"/>
                <w:szCs w:val="16"/>
              </w:rPr>
              <w:t>Practice (s)</w:t>
            </w:r>
          </w:p>
        </w:tc>
        <w:tc>
          <w:tcPr>
            <w:tcW w:w="1260" w:type="dxa"/>
            <w:shd w:val="clear" w:color="auto" w:fill="auto"/>
            <w:tcMar>
              <w:top w:w="13" w:type="dxa"/>
              <w:left w:w="93" w:type="dxa"/>
              <w:bottom w:w="0" w:type="dxa"/>
              <w:right w:w="93" w:type="dxa"/>
            </w:tcMar>
            <w:vAlign w:val="center"/>
            <w:hideMark/>
          </w:tcPr>
          <w:p w:rsidR="0065130B" w:rsidRPr="00CA0AE3" w:rsidRDefault="008D3CB4" w:rsidP="0065130B">
            <w:pPr>
              <w:spacing w:after="0" w:line="240" w:lineRule="auto"/>
              <w:jc w:val="center"/>
              <w:rPr>
                <w:sz w:val="16"/>
                <w:szCs w:val="16"/>
              </w:rPr>
            </w:pPr>
            <w:r w:rsidRPr="00CA0AE3">
              <w:rPr>
                <w:sz w:val="16"/>
                <w:szCs w:val="16"/>
              </w:rPr>
              <w:t xml:space="preserve">New </w:t>
            </w:r>
          </w:p>
          <w:p w:rsidR="0065130B" w:rsidRPr="00CA0AE3" w:rsidRDefault="008D3CB4" w:rsidP="0065130B">
            <w:pPr>
              <w:spacing w:after="0" w:line="240" w:lineRule="auto"/>
              <w:jc w:val="center"/>
              <w:rPr>
                <w:b/>
                <w:sz w:val="16"/>
                <w:szCs w:val="16"/>
              </w:rPr>
            </w:pPr>
            <w:r w:rsidRPr="00CA0AE3">
              <w:rPr>
                <w:sz w:val="16"/>
                <w:szCs w:val="16"/>
              </w:rPr>
              <w:t>Practice (s)</w:t>
            </w:r>
          </w:p>
        </w:tc>
        <w:tc>
          <w:tcPr>
            <w:tcW w:w="1266" w:type="dxa"/>
            <w:vMerge/>
            <w:vAlign w:val="center"/>
          </w:tcPr>
          <w:p w:rsidR="0065130B" w:rsidRPr="00CA0AE3" w:rsidRDefault="0065130B" w:rsidP="00B3615C">
            <w:pPr>
              <w:spacing w:after="0" w:line="240" w:lineRule="auto"/>
              <w:rPr>
                <w:rFonts w:eastAsia="Times New Roman"/>
                <w:sz w:val="16"/>
                <w:szCs w:val="16"/>
              </w:rPr>
            </w:pPr>
          </w:p>
        </w:tc>
      </w:tr>
      <w:tr w:rsidR="0065130B" w:rsidRPr="00CA0AE3" w:rsidTr="00C947DF">
        <w:trPr>
          <w:cantSplit/>
          <w:trHeight w:val="1596"/>
        </w:trPr>
        <w:tc>
          <w:tcPr>
            <w:tcW w:w="358" w:type="dxa"/>
            <w:vMerge w:val="restart"/>
            <w:vAlign w:val="center"/>
          </w:tcPr>
          <w:p w:rsidR="0065130B" w:rsidRPr="00CA0AE3" w:rsidRDefault="009B1F36" w:rsidP="009B1F36">
            <w:pPr>
              <w:spacing w:after="0" w:line="240" w:lineRule="auto"/>
              <w:jc w:val="center"/>
              <w:rPr>
                <w:sz w:val="16"/>
                <w:szCs w:val="16"/>
              </w:rPr>
            </w:pPr>
            <w:r w:rsidRPr="00CA0AE3">
              <w:rPr>
                <w:sz w:val="16"/>
                <w:szCs w:val="16"/>
              </w:rPr>
              <w:lastRenderedPageBreak/>
              <w:t>5</w:t>
            </w:r>
          </w:p>
        </w:tc>
        <w:tc>
          <w:tcPr>
            <w:tcW w:w="1529" w:type="dxa"/>
            <w:vMerge w:val="restart"/>
            <w:shd w:val="clear" w:color="auto" w:fill="auto"/>
            <w:tcMar>
              <w:top w:w="13" w:type="dxa"/>
              <w:left w:w="93" w:type="dxa"/>
              <w:bottom w:w="0" w:type="dxa"/>
              <w:right w:w="93" w:type="dxa"/>
            </w:tcMar>
            <w:vAlign w:val="center"/>
            <w:hideMark/>
          </w:tcPr>
          <w:p w:rsidR="0065130B" w:rsidRPr="00CA0AE3" w:rsidRDefault="0065130B" w:rsidP="0065130B">
            <w:pPr>
              <w:spacing w:after="0" w:line="240" w:lineRule="auto"/>
              <w:rPr>
                <w:sz w:val="16"/>
                <w:szCs w:val="16"/>
              </w:rPr>
            </w:pPr>
            <w:r w:rsidRPr="00CA0AE3">
              <w:rPr>
                <w:sz w:val="16"/>
                <w:szCs w:val="16"/>
              </w:rPr>
              <w:t xml:space="preserve">Reduce the proportion of out-of-network referrals for selected  specialty care areas </w:t>
            </w:r>
            <w:r w:rsidRPr="00CA0AE3">
              <w:rPr>
                <w:bCs/>
                <w:sz w:val="16"/>
                <w:szCs w:val="16"/>
              </w:rPr>
              <w:t>within the public hospital system</w:t>
            </w:r>
            <w:r w:rsidRPr="00CA0AE3">
              <w:rPr>
                <w:sz w:val="16"/>
                <w:szCs w:val="16"/>
              </w:rPr>
              <w:t>:</w:t>
            </w:r>
          </w:p>
          <w:p w:rsidR="0065130B" w:rsidRPr="00CA0AE3" w:rsidRDefault="0065130B" w:rsidP="0065130B">
            <w:pPr>
              <w:spacing w:after="0" w:line="240" w:lineRule="auto"/>
              <w:rPr>
                <w:sz w:val="16"/>
                <w:szCs w:val="16"/>
              </w:rPr>
            </w:pPr>
            <w:r w:rsidRPr="00CA0AE3">
              <w:rPr>
                <w:sz w:val="16"/>
                <w:szCs w:val="16"/>
              </w:rPr>
              <w:t>(SFY 2018 will continue Gastroenterology) (SFYs 2019 – 2020 will be a 2</w:t>
            </w:r>
            <w:r w:rsidRPr="00CA0AE3">
              <w:rPr>
                <w:sz w:val="16"/>
                <w:szCs w:val="16"/>
                <w:vertAlign w:val="superscript"/>
              </w:rPr>
              <w:t>nd</w:t>
            </w:r>
            <w:r w:rsidRPr="00CA0AE3">
              <w:rPr>
                <w:sz w:val="16"/>
                <w:szCs w:val="16"/>
              </w:rPr>
              <w:t xml:space="preserve"> Specialty Area)</w:t>
            </w:r>
          </w:p>
          <w:p w:rsidR="0065130B" w:rsidRPr="00CA0AE3" w:rsidRDefault="0065130B" w:rsidP="0065130B">
            <w:pPr>
              <w:spacing w:after="0" w:line="240" w:lineRule="auto"/>
              <w:rPr>
                <w:sz w:val="16"/>
                <w:szCs w:val="16"/>
              </w:rPr>
            </w:pPr>
            <w:r w:rsidRPr="00CA0AE3">
              <w:rPr>
                <w:sz w:val="16"/>
                <w:szCs w:val="16"/>
              </w:rPr>
              <w:t>(SFYs 2021 – 2022 will be a 3</w:t>
            </w:r>
            <w:r w:rsidRPr="00CA0AE3">
              <w:rPr>
                <w:sz w:val="16"/>
                <w:szCs w:val="16"/>
                <w:vertAlign w:val="superscript"/>
              </w:rPr>
              <w:t>rd</w:t>
            </w:r>
            <w:r w:rsidRPr="00CA0AE3">
              <w:rPr>
                <w:sz w:val="16"/>
                <w:szCs w:val="16"/>
              </w:rPr>
              <w:t xml:space="preserve"> Specialty Area)</w:t>
            </w:r>
          </w:p>
        </w:tc>
        <w:tc>
          <w:tcPr>
            <w:tcW w:w="1170" w:type="dxa"/>
            <w:vMerge w:val="restart"/>
            <w:shd w:val="clear" w:color="auto" w:fill="auto"/>
            <w:tcMar>
              <w:top w:w="13" w:type="dxa"/>
              <w:left w:w="93" w:type="dxa"/>
              <w:bottom w:w="0" w:type="dxa"/>
              <w:right w:w="93" w:type="dxa"/>
            </w:tcMar>
            <w:vAlign w:val="center"/>
            <w:hideMark/>
          </w:tcPr>
          <w:p w:rsidR="0065130B" w:rsidRPr="00CA0AE3" w:rsidRDefault="0065130B" w:rsidP="0065130B">
            <w:pPr>
              <w:spacing w:after="0" w:line="240" w:lineRule="auto"/>
              <w:jc w:val="center"/>
              <w:rPr>
                <w:sz w:val="16"/>
                <w:szCs w:val="16"/>
              </w:rPr>
            </w:pPr>
            <w:r w:rsidRPr="00CA0AE3">
              <w:rPr>
                <w:sz w:val="16"/>
                <w:szCs w:val="16"/>
              </w:rPr>
              <w:t>Customized Measure</w:t>
            </w:r>
          </w:p>
        </w:tc>
        <w:tc>
          <w:tcPr>
            <w:tcW w:w="1260" w:type="dxa"/>
            <w:vMerge w:val="restart"/>
            <w:shd w:val="clear" w:color="auto" w:fill="auto"/>
            <w:tcMar>
              <w:top w:w="13" w:type="dxa"/>
              <w:left w:w="93" w:type="dxa"/>
              <w:bottom w:w="0" w:type="dxa"/>
              <w:right w:w="93" w:type="dxa"/>
            </w:tcMar>
            <w:vAlign w:val="center"/>
            <w:hideMark/>
          </w:tcPr>
          <w:p w:rsidR="0065130B" w:rsidRPr="00CA0AE3" w:rsidRDefault="0065130B" w:rsidP="0065130B">
            <w:pPr>
              <w:spacing w:after="0" w:line="240" w:lineRule="auto"/>
              <w:jc w:val="center"/>
              <w:rPr>
                <w:sz w:val="16"/>
                <w:szCs w:val="16"/>
              </w:rPr>
            </w:pPr>
            <w:r w:rsidRPr="00CA0AE3">
              <w:rPr>
                <w:sz w:val="16"/>
                <w:szCs w:val="16"/>
              </w:rPr>
              <w:t>No external benchmark;</w:t>
            </w:r>
          </w:p>
          <w:p w:rsidR="0065130B" w:rsidRPr="00CA0AE3" w:rsidRDefault="0065130B" w:rsidP="0065130B">
            <w:pPr>
              <w:spacing w:after="0" w:line="240" w:lineRule="auto"/>
              <w:jc w:val="center"/>
              <w:rPr>
                <w:sz w:val="16"/>
                <w:szCs w:val="16"/>
              </w:rPr>
            </w:pPr>
            <w:r w:rsidRPr="00CA0AE3">
              <w:rPr>
                <w:sz w:val="16"/>
                <w:szCs w:val="16"/>
              </w:rPr>
              <w:t xml:space="preserve">hospital specific improvement target </w:t>
            </w:r>
          </w:p>
          <w:p w:rsidR="0065130B" w:rsidRPr="00CA0AE3" w:rsidRDefault="0065130B" w:rsidP="0065130B">
            <w:pPr>
              <w:spacing w:after="0" w:line="240" w:lineRule="auto"/>
              <w:jc w:val="center"/>
              <w:rPr>
                <w:sz w:val="16"/>
                <w:szCs w:val="16"/>
              </w:rPr>
            </w:pPr>
            <w:r w:rsidRPr="00CA0AE3">
              <w:rPr>
                <w:sz w:val="16"/>
                <w:szCs w:val="16"/>
              </w:rPr>
              <w:t>(Gastroenterology = 6%; Applicable to SFY 2018)</w:t>
            </w:r>
          </w:p>
          <w:p w:rsidR="0065130B" w:rsidRPr="00CA0AE3" w:rsidRDefault="0065130B" w:rsidP="0065130B">
            <w:pPr>
              <w:spacing w:after="0" w:line="240" w:lineRule="auto"/>
              <w:jc w:val="center"/>
              <w:rPr>
                <w:sz w:val="16"/>
                <w:szCs w:val="16"/>
              </w:rPr>
            </w:pPr>
            <w:r w:rsidRPr="00CA0AE3">
              <w:rPr>
                <w:sz w:val="16"/>
                <w:szCs w:val="16"/>
              </w:rPr>
              <w:t>New Specialty Target will be submitted with baseline data for each new specialty</w:t>
            </w:r>
          </w:p>
        </w:tc>
        <w:tc>
          <w:tcPr>
            <w:tcW w:w="1440" w:type="dxa"/>
            <w:vMerge w:val="restart"/>
            <w:shd w:val="clear" w:color="auto" w:fill="auto"/>
            <w:tcMar>
              <w:top w:w="13" w:type="dxa"/>
              <w:left w:w="93" w:type="dxa"/>
              <w:bottom w:w="0" w:type="dxa"/>
              <w:right w:w="93" w:type="dxa"/>
            </w:tcMar>
            <w:vAlign w:val="center"/>
            <w:hideMark/>
          </w:tcPr>
          <w:p w:rsidR="0065130B" w:rsidRPr="00CA0AE3" w:rsidRDefault="0065130B" w:rsidP="0065130B">
            <w:pPr>
              <w:spacing w:after="0" w:line="240" w:lineRule="auto"/>
              <w:jc w:val="center"/>
              <w:rPr>
                <w:sz w:val="16"/>
                <w:szCs w:val="16"/>
              </w:rPr>
            </w:pPr>
            <w:r w:rsidRPr="00CA0AE3">
              <w:rPr>
                <w:bCs/>
                <w:sz w:val="16"/>
                <w:szCs w:val="16"/>
              </w:rPr>
              <w:t>Gap to Goal (10%) or attainment at target</w:t>
            </w:r>
          </w:p>
        </w:tc>
        <w:tc>
          <w:tcPr>
            <w:tcW w:w="1170" w:type="dxa"/>
            <w:shd w:val="clear" w:color="auto" w:fill="auto"/>
            <w:tcMar>
              <w:top w:w="13" w:type="dxa"/>
              <w:left w:w="93" w:type="dxa"/>
              <w:bottom w:w="0" w:type="dxa"/>
              <w:right w:w="93" w:type="dxa"/>
            </w:tcMar>
            <w:vAlign w:val="center"/>
            <w:hideMark/>
          </w:tcPr>
          <w:p w:rsidR="0065130B" w:rsidRPr="00CA0AE3" w:rsidRDefault="0065130B" w:rsidP="0065130B">
            <w:pPr>
              <w:spacing w:after="0" w:line="240" w:lineRule="auto"/>
              <w:jc w:val="center"/>
              <w:rPr>
                <w:b/>
                <w:sz w:val="16"/>
                <w:szCs w:val="16"/>
              </w:rPr>
            </w:pPr>
            <w:r w:rsidRPr="00CA0AE3">
              <w:rPr>
                <w:b/>
                <w:sz w:val="16"/>
                <w:szCs w:val="16"/>
              </w:rPr>
              <w:t>O</w:t>
            </w:r>
          </w:p>
          <w:p w:rsidR="0065130B" w:rsidRPr="00CA0AE3" w:rsidRDefault="008D3CB4" w:rsidP="0065130B">
            <w:pPr>
              <w:spacing w:after="0" w:line="240" w:lineRule="auto"/>
              <w:jc w:val="center"/>
              <w:rPr>
                <w:sz w:val="16"/>
                <w:szCs w:val="16"/>
              </w:rPr>
            </w:pPr>
            <w:r w:rsidRPr="00CA0AE3">
              <w:rPr>
                <w:sz w:val="16"/>
                <w:szCs w:val="16"/>
              </w:rPr>
              <w:t>(4/1/17 -3/31/18)</w:t>
            </w:r>
          </w:p>
        </w:tc>
        <w:tc>
          <w:tcPr>
            <w:tcW w:w="1260" w:type="dxa"/>
            <w:shd w:val="clear" w:color="auto" w:fill="auto"/>
            <w:tcMar>
              <w:top w:w="13" w:type="dxa"/>
              <w:left w:w="93" w:type="dxa"/>
              <w:bottom w:w="0" w:type="dxa"/>
              <w:right w:w="93" w:type="dxa"/>
            </w:tcMar>
            <w:vAlign w:val="center"/>
            <w:hideMark/>
          </w:tcPr>
          <w:p w:rsidR="0065130B" w:rsidRPr="00CA0AE3" w:rsidRDefault="0065130B" w:rsidP="0065130B">
            <w:pPr>
              <w:spacing w:after="0" w:line="240" w:lineRule="auto"/>
              <w:jc w:val="center"/>
              <w:rPr>
                <w:b/>
                <w:sz w:val="16"/>
                <w:szCs w:val="16"/>
              </w:rPr>
            </w:pPr>
            <w:r w:rsidRPr="00CA0AE3">
              <w:rPr>
                <w:b/>
                <w:sz w:val="16"/>
                <w:szCs w:val="16"/>
              </w:rPr>
              <w:t>B</w:t>
            </w:r>
          </w:p>
          <w:p w:rsidR="0065130B" w:rsidRPr="00CA0AE3" w:rsidRDefault="008D3CB4" w:rsidP="0065130B">
            <w:pPr>
              <w:spacing w:after="0" w:line="240" w:lineRule="auto"/>
              <w:jc w:val="center"/>
              <w:rPr>
                <w:sz w:val="16"/>
                <w:szCs w:val="16"/>
              </w:rPr>
            </w:pPr>
            <w:r w:rsidRPr="00CA0AE3">
              <w:rPr>
                <w:sz w:val="16"/>
                <w:szCs w:val="16"/>
              </w:rPr>
              <w:t>(4/1/18 -3/31/19)</w:t>
            </w:r>
          </w:p>
        </w:tc>
        <w:tc>
          <w:tcPr>
            <w:tcW w:w="1260" w:type="dxa"/>
            <w:shd w:val="clear" w:color="auto" w:fill="auto"/>
            <w:tcMar>
              <w:top w:w="13" w:type="dxa"/>
              <w:left w:w="93" w:type="dxa"/>
              <w:bottom w:w="0" w:type="dxa"/>
              <w:right w:w="93" w:type="dxa"/>
            </w:tcMar>
            <w:vAlign w:val="center"/>
            <w:hideMark/>
          </w:tcPr>
          <w:p w:rsidR="0065130B" w:rsidRPr="00CA0AE3" w:rsidRDefault="0065130B" w:rsidP="0065130B">
            <w:pPr>
              <w:spacing w:after="0" w:line="240" w:lineRule="auto"/>
              <w:jc w:val="center"/>
              <w:rPr>
                <w:b/>
                <w:sz w:val="16"/>
                <w:szCs w:val="16"/>
              </w:rPr>
            </w:pPr>
            <w:r w:rsidRPr="00CA0AE3">
              <w:rPr>
                <w:b/>
                <w:sz w:val="16"/>
                <w:szCs w:val="16"/>
              </w:rPr>
              <w:t>O</w:t>
            </w:r>
          </w:p>
          <w:p w:rsidR="0065130B" w:rsidRPr="00CA0AE3" w:rsidRDefault="008D3CB4" w:rsidP="0065130B">
            <w:pPr>
              <w:spacing w:after="0" w:line="240" w:lineRule="auto"/>
              <w:jc w:val="center"/>
              <w:rPr>
                <w:sz w:val="16"/>
                <w:szCs w:val="16"/>
              </w:rPr>
            </w:pPr>
            <w:r w:rsidRPr="00CA0AE3">
              <w:rPr>
                <w:sz w:val="16"/>
                <w:szCs w:val="16"/>
              </w:rPr>
              <w:t>(4/1/19 -3/31/20)</w:t>
            </w:r>
          </w:p>
        </w:tc>
        <w:tc>
          <w:tcPr>
            <w:tcW w:w="1260" w:type="dxa"/>
            <w:shd w:val="clear" w:color="auto" w:fill="auto"/>
            <w:tcMar>
              <w:top w:w="13" w:type="dxa"/>
              <w:left w:w="93" w:type="dxa"/>
              <w:bottom w:w="0" w:type="dxa"/>
              <w:right w:w="93" w:type="dxa"/>
            </w:tcMar>
            <w:vAlign w:val="center"/>
            <w:hideMark/>
          </w:tcPr>
          <w:p w:rsidR="0065130B" w:rsidRPr="00CA0AE3" w:rsidRDefault="0065130B" w:rsidP="0065130B">
            <w:pPr>
              <w:spacing w:after="0" w:line="240" w:lineRule="auto"/>
              <w:jc w:val="center"/>
              <w:rPr>
                <w:b/>
                <w:sz w:val="16"/>
                <w:szCs w:val="16"/>
              </w:rPr>
            </w:pPr>
            <w:r w:rsidRPr="00CA0AE3">
              <w:rPr>
                <w:b/>
                <w:sz w:val="16"/>
                <w:szCs w:val="16"/>
              </w:rPr>
              <w:t>B</w:t>
            </w:r>
          </w:p>
          <w:p w:rsidR="0065130B" w:rsidRPr="00CA0AE3" w:rsidRDefault="008D3CB4" w:rsidP="0065130B">
            <w:pPr>
              <w:spacing w:after="0" w:line="240" w:lineRule="auto"/>
              <w:jc w:val="center"/>
              <w:rPr>
                <w:sz w:val="16"/>
                <w:szCs w:val="16"/>
              </w:rPr>
            </w:pPr>
            <w:r w:rsidRPr="00CA0AE3">
              <w:rPr>
                <w:sz w:val="16"/>
                <w:szCs w:val="16"/>
              </w:rPr>
              <w:t>(4/1/20 -3/31/21)</w:t>
            </w:r>
          </w:p>
        </w:tc>
        <w:tc>
          <w:tcPr>
            <w:tcW w:w="1260" w:type="dxa"/>
            <w:shd w:val="clear" w:color="auto" w:fill="auto"/>
            <w:tcMar>
              <w:top w:w="13" w:type="dxa"/>
              <w:left w:w="93" w:type="dxa"/>
              <w:bottom w:w="0" w:type="dxa"/>
              <w:right w:w="93" w:type="dxa"/>
            </w:tcMar>
            <w:vAlign w:val="center"/>
            <w:hideMark/>
          </w:tcPr>
          <w:p w:rsidR="0065130B" w:rsidRPr="00CA0AE3" w:rsidRDefault="0065130B" w:rsidP="0065130B">
            <w:pPr>
              <w:spacing w:after="0" w:line="240" w:lineRule="auto"/>
              <w:jc w:val="center"/>
              <w:rPr>
                <w:b/>
                <w:sz w:val="16"/>
                <w:szCs w:val="16"/>
              </w:rPr>
            </w:pPr>
            <w:r w:rsidRPr="00CA0AE3">
              <w:rPr>
                <w:b/>
                <w:sz w:val="16"/>
                <w:szCs w:val="16"/>
              </w:rPr>
              <w:t>O</w:t>
            </w:r>
          </w:p>
          <w:p w:rsidR="0065130B" w:rsidRPr="00CA0AE3" w:rsidRDefault="008D3CB4" w:rsidP="0065130B">
            <w:pPr>
              <w:spacing w:after="0" w:line="240" w:lineRule="auto"/>
              <w:jc w:val="center"/>
              <w:rPr>
                <w:sz w:val="16"/>
                <w:szCs w:val="16"/>
              </w:rPr>
            </w:pPr>
            <w:r w:rsidRPr="00CA0AE3">
              <w:rPr>
                <w:sz w:val="16"/>
                <w:szCs w:val="16"/>
              </w:rPr>
              <w:t>(4/1/21 - 3/31/22)</w:t>
            </w:r>
          </w:p>
        </w:tc>
        <w:tc>
          <w:tcPr>
            <w:tcW w:w="1266" w:type="dxa"/>
            <w:vMerge w:val="restart"/>
            <w:vAlign w:val="center"/>
          </w:tcPr>
          <w:p w:rsidR="0065130B" w:rsidRPr="00CA0AE3" w:rsidRDefault="0065130B" w:rsidP="00B3615C">
            <w:pPr>
              <w:spacing w:after="0" w:line="240" w:lineRule="auto"/>
              <w:rPr>
                <w:rFonts w:eastAsia="Times New Roman"/>
                <w:sz w:val="16"/>
                <w:szCs w:val="16"/>
              </w:rPr>
            </w:pPr>
            <w:r w:rsidRPr="00CA0AE3">
              <w:rPr>
                <w:sz w:val="16"/>
                <w:szCs w:val="16"/>
              </w:rPr>
              <w:t>Target for new specialties will be specified at the time of the selection of the specialty and reported with baseline data</w:t>
            </w:r>
          </w:p>
        </w:tc>
      </w:tr>
      <w:tr w:rsidR="0065130B" w:rsidRPr="00CA0AE3" w:rsidTr="00C947DF">
        <w:trPr>
          <w:cantSplit/>
          <w:trHeight w:val="1541"/>
        </w:trPr>
        <w:tc>
          <w:tcPr>
            <w:tcW w:w="358" w:type="dxa"/>
            <w:vMerge/>
            <w:vAlign w:val="center"/>
          </w:tcPr>
          <w:p w:rsidR="0065130B" w:rsidRPr="00CA0AE3" w:rsidRDefault="0065130B" w:rsidP="0065130B">
            <w:pPr>
              <w:spacing w:after="0" w:line="240" w:lineRule="auto"/>
              <w:jc w:val="center"/>
              <w:rPr>
                <w:sz w:val="16"/>
                <w:szCs w:val="16"/>
              </w:rPr>
            </w:pPr>
          </w:p>
        </w:tc>
        <w:tc>
          <w:tcPr>
            <w:tcW w:w="1529" w:type="dxa"/>
            <w:vMerge/>
            <w:shd w:val="clear" w:color="auto" w:fill="auto"/>
            <w:tcMar>
              <w:top w:w="13" w:type="dxa"/>
              <w:left w:w="93" w:type="dxa"/>
              <w:bottom w:w="0" w:type="dxa"/>
              <w:right w:w="93" w:type="dxa"/>
            </w:tcMar>
            <w:vAlign w:val="center"/>
            <w:hideMark/>
          </w:tcPr>
          <w:p w:rsidR="0065130B" w:rsidRPr="00CA0AE3" w:rsidRDefault="0065130B" w:rsidP="0065130B">
            <w:pPr>
              <w:spacing w:after="0" w:line="240" w:lineRule="auto"/>
              <w:rPr>
                <w:sz w:val="16"/>
                <w:szCs w:val="16"/>
              </w:rPr>
            </w:pPr>
          </w:p>
        </w:tc>
        <w:tc>
          <w:tcPr>
            <w:tcW w:w="1170" w:type="dxa"/>
            <w:vMerge/>
            <w:shd w:val="clear" w:color="auto" w:fill="auto"/>
            <w:tcMar>
              <w:top w:w="13" w:type="dxa"/>
              <w:left w:w="93" w:type="dxa"/>
              <w:bottom w:w="0" w:type="dxa"/>
              <w:right w:w="93" w:type="dxa"/>
            </w:tcMar>
            <w:vAlign w:val="center"/>
            <w:hideMark/>
          </w:tcPr>
          <w:p w:rsidR="0065130B" w:rsidRPr="00CA0AE3" w:rsidRDefault="0065130B" w:rsidP="0065130B">
            <w:pPr>
              <w:spacing w:after="0" w:line="240" w:lineRule="auto"/>
              <w:jc w:val="center"/>
              <w:rPr>
                <w:sz w:val="16"/>
                <w:szCs w:val="16"/>
              </w:rPr>
            </w:pPr>
          </w:p>
        </w:tc>
        <w:tc>
          <w:tcPr>
            <w:tcW w:w="1260" w:type="dxa"/>
            <w:vMerge/>
            <w:shd w:val="clear" w:color="auto" w:fill="auto"/>
            <w:tcMar>
              <w:top w:w="13" w:type="dxa"/>
              <w:left w:w="93" w:type="dxa"/>
              <w:bottom w:w="0" w:type="dxa"/>
              <w:right w:w="93" w:type="dxa"/>
            </w:tcMar>
            <w:vAlign w:val="center"/>
            <w:hideMark/>
          </w:tcPr>
          <w:p w:rsidR="0065130B" w:rsidRPr="00CA0AE3" w:rsidRDefault="0065130B" w:rsidP="0065130B">
            <w:pPr>
              <w:spacing w:after="0" w:line="240" w:lineRule="auto"/>
              <w:jc w:val="center"/>
              <w:rPr>
                <w:sz w:val="16"/>
                <w:szCs w:val="16"/>
              </w:rPr>
            </w:pPr>
          </w:p>
        </w:tc>
        <w:tc>
          <w:tcPr>
            <w:tcW w:w="1440" w:type="dxa"/>
            <w:vMerge/>
            <w:shd w:val="clear" w:color="auto" w:fill="auto"/>
            <w:tcMar>
              <w:top w:w="13" w:type="dxa"/>
              <w:left w:w="93" w:type="dxa"/>
              <w:bottom w:w="0" w:type="dxa"/>
              <w:right w:w="93" w:type="dxa"/>
            </w:tcMar>
            <w:vAlign w:val="center"/>
            <w:hideMark/>
          </w:tcPr>
          <w:p w:rsidR="0065130B" w:rsidRPr="00CA0AE3" w:rsidRDefault="0065130B" w:rsidP="0065130B">
            <w:pPr>
              <w:spacing w:after="0" w:line="240" w:lineRule="auto"/>
              <w:jc w:val="center"/>
              <w:rPr>
                <w:bCs/>
                <w:sz w:val="16"/>
                <w:szCs w:val="16"/>
              </w:rPr>
            </w:pPr>
          </w:p>
        </w:tc>
        <w:tc>
          <w:tcPr>
            <w:tcW w:w="1170" w:type="dxa"/>
            <w:shd w:val="clear" w:color="auto" w:fill="auto"/>
            <w:tcMar>
              <w:top w:w="13" w:type="dxa"/>
              <w:left w:w="93" w:type="dxa"/>
              <w:bottom w:w="0" w:type="dxa"/>
              <w:right w:w="93" w:type="dxa"/>
            </w:tcMar>
            <w:vAlign w:val="center"/>
            <w:hideMark/>
          </w:tcPr>
          <w:p w:rsidR="0065130B" w:rsidRPr="00CA0AE3" w:rsidRDefault="008D3CB4" w:rsidP="0065130B">
            <w:pPr>
              <w:spacing w:after="0" w:line="240" w:lineRule="auto"/>
              <w:jc w:val="center"/>
              <w:rPr>
                <w:sz w:val="16"/>
                <w:szCs w:val="16"/>
              </w:rPr>
            </w:pPr>
            <w:r w:rsidRPr="00CA0AE3">
              <w:rPr>
                <w:sz w:val="16"/>
                <w:szCs w:val="16"/>
              </w:rPr>
              <w:t>Gastroenterology</w:t>
            </w:r>
          </w:p>
        </w:tc>
        <w:tc>
          <w:tcPr>
            <w:tcW w:w="1260" w:type="dxa"/>
            <w:shd w:val="clear" w:color="auto" w:fill="auto"/>
            <w:tcMar>
              <w:top w:w="13" w:type="dxa"/>
              <w:left w:w="93" w:type="dxa"/>
              <w:bottom w:w="0" w:type="dxa"/>
              <w:right w:w="93" w:type="dxa"/>
            </w:tcMar>
            <w:vAlign w:val="center"/>
            <w:hideMark/>
          </w:tcPr>
          <w:p w:rsidR="0065130B" w:rsidRPr="00CA0AE3" w:rsidRDefault="008D3CB4" w:rsidP="0065130B">
            <w:pPr>
              <w:spacing w:after="0" w:line="240" w:lineRule="auto"/>
              <w:jc w:val="center"/>
              <w:rPr>
                <w:sz w:val="16"/>
                <w:szCs w:val="16"/>
              </w:rPr>
            </w:pPr>
            <w:r w:rsidRPr="00CA0AE3">
              <w:rPr>
                <w:sz w:val="16"/>
                <w:szCs w:val="16"/>
              </w:rPr>
              <w:t>New Specialty 1</w:t>
            </w:r>
          </w:p>
        </w:tc>
        <w:tc>
          <w:tcPr>
            <w:tcW w:w="1260" w:type="dxa"/>
            <w:shd w:val="clear" w:color="auto" w:fill="auto"/>
            <w:tcMar>
              <w:top w:w="13" w:type="dxa"/>
              <w:left w:w="93" w:type="dxa"/>
              <w:bottom w:w="0" w:type="dxa"/>
              <w:right w:w="93" w:type="dxa"/>
            </w:tcMar>
            <w:vAlign w:val="center"/>
            <w:hideMark/>
          </w:tcPr>
          <w:p w:rsidR="0065130B" w:rsidRPr="00CA0AE3" w:rsidRDefault="008D3CB4" w:rsidP="0065130B">
            <w:pPr>
              <w:spacing w:after="0" w:line="240" w:lineRule="auto"/>
              <w:jc w:val="center"/>
              <w:rPr>
                <w:sz w:val="16"/>
                <w:szCs w:val="16"/>
              </w:rPr>
            </w:pPr>
            <w:r w:rsidRPr="00CA0AE3">
              <w:rPr>
                <w:sz w:val="16"/>
                <w:szCs w:val="16"/>
              </w:rPr>
              <w:t>New Specialty 1</w:t>
            </w:r>
          </w:p>
        </w:tc>
        <w:tc>
          <w:tcPr>
            <w:tcW w:w="1260" w:type="dxa"/>
            <w:shd w:val="clear" w:color="auto" w:fill="auto"/>
            <w:tcMar>
              <w:top w:w="13" w:type="dxa"/>
              <w:left w:w="93" w:type="dxa"/>
              <w:bottom w:w="0" w:type="dxa"/>
              <w:right w:w="93" w:type="dxa"/>
            </w:tcMar>
            <w:vAlign w:val="center"/>
            <w:hideMark/>
          </w:tcPr>
          <w:p w:rsidR="0065130B" w:rsidRPr="00CA0AE3" w:rsidRDefault="008D3CB4" w:rsidP="0065130B">
            <w:pPr>
              <w:spacing w:after="0" w:line="240" w:lineRule="auto"/>
              <w:jc w:val="center"/>
              <w:rPr>
                <w:sz w:val="16"/>
                <w:szCs w:val="16"/>
              </w:rPr>
            </w:pPr>
            <w:r w:rsidRPr="00CA0AE3">
              <w:rPr>
                <w:sz w:val="16"/>
                <w:szCs w:val="16"/>
              </w:rPr>
              <w:t>New Specialty 2</w:t>
            </w:r>
          </w:p>
        </w:tc>
        <w:tc>
          <w:tcPr>
            <w:tcW w:w="1260" w:type="dxa"/>
            <w:shd w:val="clear" w:color="auto" w:fill="auto"/>
            <w:tcMar>
              <w:top w:w="13" w:type="dxa"/>
              <w:left w:w="93" w:type="dxa"/>
              <w:bottom w:w="0" w:type="dxa"/>
              <w:right w:w="93" w:type="dxa"/>
            </w:tcMar>
            <w:vAlign w:val="center"/>
            <w:hideMark/>
          </w:tcPr>
          <w:p w:rsidR="0065130B" w:rsidRPr="00CA0AE3" w:rsidRDefault="008D3CB4" w:rsidP="0065130B">
            <w:pPr>
              <w:spacing w:after="0" w:line="240" w:lineRule="auto"/>
              <w:jc w:val="center"/>
              <w:rPr>
                <w:sz w:val="16"/>
                <w:szCs w:val="16"/>
              </w:rPr>
            </w:pPr>
            <w:r w:rsidRPr="00CA0AE3">
              <w:rPr>
                <w:sz w:val="16"/>
                <w:szCs w:val="16"/>
              </w:rPr>
              <w:t>New Specialty 2</w:t>
            </w:r>
          </w:p>
        </w:tc>
        <w:tc>
          <w:tcPr>
            <w:tcW w:w="1266" w:type="dxa"/>
            <w:vMerge/>
            <w:vAlign w:val="center"/>
          </w:tcPr>
          <w:p w:rsidR="0065130B" w:rsidRPr="00CA0AE3" w:rsidRDefault="0065130B" w:rsidP="00B3615C">
            <w:pPr>
              <w:spacing w:after="0" w:line="240" w:lineRule="auto"/>
              <w:rPr>
                <w:sz w:val="16"/>
                <w:szCs w:val="16"/>
              </w:rPr>
            </w:pPr>
          </w:p>
        </w:tc>
      </w:tr>
      <w:tr w:rsidR="0065130B" w:rsidRPr="00CA0AE3" w:rsidTr="00C947DF">
        <w:trPr>
          <w:cantSplit/>
          <w:trHeight w:val="1541"/>
        </w:trPr>
        <w:tc>
          <w:tcPr>
            <w:tcW w:w="358" w:type="dxa"/>
            <w:vMerge w:val="restart"/>
            <w:vAlign w:val="center"/>
          </w:tcPr>
          <w:p w:rsidR="0065130B" w:rsidRPr="00CA0AE3" w:rsidRDefault="009B1F36" w:rsidP="009B1F36">
            <w:pPr>
              <w:spacing w:after="0" w:line="240" w:lineRule="auto"/>
              <w:jc w:val="center"/>
              <w:rPr>
                <w:sz w:val="16"/>
                <w:szCs w:val="16"/>
              </w:rPr>
            </w:pPr>
            <w:r w:rsidRPr="00CA0AE3">
              <w:rPr>
                <w:sz w:val="16"/>
                <w:szCs w:val="16"/>
              </w:rPr>
              <w:t>6</w:t>
            </w:r>
          </w:p>
        </w:tc>
        <w:tc>
          <w:tcPr>
            <w:tcW w:w="1529" w:type="dxa"/>
            <w:vMerge w:val="restart"/>
            <w:shd w:val="clear" w:color="auto" w:fill="auto"/>
            <w:tcMar>
              <w:top w:w="13" w:type="dxa"/>
              <w:left w:w="93" w:type="dxa"/>
              <w:bottom w:w="0" w:type="dxa"/>
              <w:right w:w="93" w:type="dxa"/>
            </w:tcMar>
            <w:vAlign w:val="center"/>
            <w:hideMark/>
          </w:tcPr>
          <w:p w:rsidR="0065130B" w:rsidRPr="00CA0AE3" w:rsidRDefault="0065130B" w:rsidP="0065130B">
            <w:pPr>
              <w:spacing w:after="0" w:line="240" w:lineRule="auto"/>
              <w:rPr>
                <w:sz w:val="16"/>
                <w:szCs w:val="16"/>
              </w:rPr>
            </w:pPr>
            <w:r w:rsidRPr="00CA0AE3">
              <w:rPr>
                <w:sz w:val="16"/>
                <w:szCs w:val="16"/>
              </w:rPr>
              <w:t>Completed appointments per FTE or total number of completed appointments for selected specialties</w:t>
            </w:r>
            <w:r w:rsidRPr="00CA0AE3">
              <w:rPr>
                <w:bCs/>
                <w:sz w:val="16"/>
                <w:szCs w:val="16"/>
              </w:rPr>
              <w:t xml:space="preserve"> within the public hospital system</w:t>
            </w:r>
            <w:r w:rsidRPr="00CA0AE3">
              <w:rPr>
                <w:sz w:val="16"/>
                <w:szCs w:val="16"/>
              </w:rPr>
              <w:t>:</w:t>
            </w:r>
          </w:p>
          <w:p w:rsidR="0065130B" w:rsidRPr="00CA0AE3" w:rsidRDefault="0065130B" w:rsidP="0065130B">
            <w:pPr>
              <w:spacing w:after="0" w:line="240" w:lineRule="auto"/>
              <w:rPr>
                <w:sz w:val="16"/>
                <w:szCs w:val="16"/>
              </w:rPr>
            </w:pPr>
            <w:r w:rsidRPr="00CA0AE3">
              <w:rPr>
                <w:sz w:val="16"/>
                <w:szCs w:val="16"/>
              </w:rPr>
              <w:t>(SFY 2018 will continue Gastroenterology) (SFYs 2019 – 2020 will be a 2</w:t>
            </w:r>
            <w:r w:rsidRPr="00CA0AE3">
              <w:rPr>
                <w:sz w:val="16"/>
                <w:szCs w:val="16"/>
                <w:vertAlign w:val="superscript"/>
              </w:rPr>
              <w:t>nd</w:t>
            </w:r>
            <w:r w:rsidRPr="00CA0AE3">
              <w:rPr>
                <w:sz w:val="16"/>
                <w:szCs w:val="16"/>
              </w:rPr>
              <w:t xml:space="preserve"> Specialty Area)</w:t>
            </w:r>
          </w:p>
          <w:p w:rsidR="0065130B" w:rsidRPr="00CA0AE3" w:rsidRDefault="0065130B" w:rsidP="0065130B">
            <w:pPr>
              <w:spacing w:after="0" w:line="240" w:lineRule="auto"/>
              <w:rPr>
                <w:sz w:val="16"/>
                <w:szCs w:val="16"/>
              </w:rPr>
            </w:pPr>
            <w:r w:rsidRPr="00CA0AE3">
              <w:rPr>
                <w:sz w:val="16"/>
                <w:szCs w:val="16"/>
              </w:rPr>
              <w:t>(SFYs 2021 – 2022 will be a 3</w:t>
            </w:r>
            <w:r w:rsidRPr="00CA0AE3">
              <w:rPr>
                <w:sz w:val="16"/>
                <w:szCs w:val="16"/>
                <w:vertAlign w:val="superscript"/>
              </w:rPr>
              <w:t>rd</w:t>
            </w:r>
            <w:r w:rsidRPr="00CA0AE3">
              <w:rPr>
                <w:sz w:val="16"/>
                <w:szCs w:val="16"/>
              </w:rPr>
              <w:t xml:space="preserve"> Specialty Area) </w:t>
            </w:r>
          </w:p>
        </w:tc>
        <w:tc>
          <w:tcPr>
            <w:tcW w:w="1170" w:type="dxa"/>
            <w:vMerge w:val="restart"/>
            <w:shd w:val="clear" w:color="auto" w:fill="auto"/>
            <w:tcMar>
              <w:top w:w="13" w:type="dxa"/>
              <w:left w:w="93" w:type="dxa"/>
              <w:bottom w:w="0" w:type="dxa"/>
              <w:right w:w="93" w:type="dxa"/>
            </w:tcMar>
            <w:vAlign w:val="center"/>
            <w:hideMark/>
          </w:tcPr>
          <w:p w:rsidR="0065130B" w:rsidRPr="00CA0AE3" w:rsidRDefault="0065130B" w:rsidP="0065130B">
            <w:pPr>
              <w:spacing w:after="0" w:line="240" w:lineRule="auto"/>
              <w:jc w:val="center"/>
              <w:rPr>
                <w:sz w:val="16"/>
                <w:szCs w:val="16"/>
              </w:rPr>
            </w:pPr>
            <w:r w:rsidRPr="00CA0AE3">
              <w:rPr>
                <w:sz w:val="16"/>
                <w:szCs w:val="16"/>
              </w:rPr>
              <w:t>Customized Measure</w:t>
            </w:r>
          </w:p>
        </w:tc>
        <w:tc>
          <w:tcPr>
            <w:tcW w:w="1260" w:type="dxa"/>
            <w:vMerge w:val="restart"/>
            <w:shd w:val="clear" w:color="auto" w:fill="auto"/>
            <w:tcMar>
              <w:top w:w="13" w:type="dxa"/>
              <w:left w:w="93" w:type="dxa"/>
              <w:bottom w:w="0" w:type="dxa"/>
              <w:right w:w="93" w:type="dxa"/>
            </w:tcMar>
            <w:vAlign w:val="center"/>
            <w:hideMark/>
          </w:tcPr>
          <w:p w:rsidR="0065130B" w:rsidRPr="00CA0AE3" w:rsidRDefault="0065130B" w:rsidP="0065130B">
            <w:pPr>
              <w:spacing w:after="0" w:line="240" w:lineRule="auto"/>
              <w:jc w:val="center"/>
              <w:rPr>
                <w:sz w:val="16"/>
                <w:szCs w:val="16"/>
              </w:rPr>
            </w:pPr>
            <w:r w:rsidRPr="00CA0AE3">
              <w:rPr>
                <w:sz w:val="16"/>
                <w:szCs w:val="16"/>
              </w:rPr>
              <w:t>No external benchmark;</w:t>
            </w:r>
          </w:p>
          <w:p w:rsidR="0065130B" w:rsidRPr="00CA0AE3" w:rsidRDefault="0065130B" w:rsidP="0065130B">
            <w:pPr>
              <w:spacing w:after="0" w:line="240" w:lineRule="auto"/>
              <w:jc w:val="center"/>
              <w:rPr>
                <w:sz w:val="16"/>
                <w:szCs w:val="16"/>
              </w:rPr>
            </w:pPr>
            <w:r w:rsidRPr="00CA0AE3">
              <w:rPr>
                <w:sz w:val="16"/>
                <w:szCs w:val="16"/>
              </w:rPr>
              <w:t xml:space="preserve">hospital specific improvement target (Gastroenterology = 1300 appointments per FTE; Applicable to SFY 2018) </w:t>
            </w:r>
          </w:p>
          <w:p w:rsidR="0065130B" w:rsidRPr="00CA0AE3" w:rsidRDefault="0065130B" w:rsidP="0065130B">
            <w:pPr>
              <w:spacing w:after="0" w:line="240" w:lineRule="auto"/>
              <w:jc w:val="center"/>
              <w:rPr>
                <w:sz w:val="16"/>
                <w:szCs w:val="16"/>
              </w:rPr>
            </w:pPr>
            <w:r w:rsidRPr="00CA0AE3">
              <w:rPr>
                <w:sz w:val="16"/>
                <w:szCs w:val="16"/>
              </w:rPr>
              <w:t>New Specialty Target will be submitted with baseline data for each new specialty</w:t>
            </w:r>
          </w:p>
        </w:tc>
        <w:tc>
          <w:tcPr>
            <w:tcW w:w="1440" w:type="dxa"/>
            <w:vMerge w:val="restart"/>
            <w:shd w:val="clear" w:color="auto" w:fill="auto"/>
            <w:tcMar>
              <w:top w:w="13" w:type="dxa"/>
              <w:left w:w="93" w:type="dxa"/>
              <w:bottom w:w="0" w:type="dxa"/>
              <w:right w:w="93" w:type="dxa"/>
            </w:tcMar>
            <w:vAlign w:val="center"/>
            <w:hideMark/>
          </w:tcPr>
          <w:p w:rsidR="0065130B" w:rsidRPr="00CA0AE3" w:rsidRDefault="0065130B" w:rsidP="0065130B">
            <w:pPr>
              <w:spacing w:after="0" w:line="240" w:lineRule="auto"/>
              <w:jc w:val="center"/>
              <w:rPr>
                <w:bCs/>
                <w:sz w:val="16"/>
                <w:szCs w:val="16"/>
              </w:rPr>
            </w:pPr>
          </w:p>
          <w:p w:rsidR="0065130B" w:rsidRPr="00CA0AE3" w:rsidRDefault="0065130B" w:rsidP="0065130B">
            <w:pPr>
              <w:spacing w:after="0" w:line="240" w:lineRule="auto"/>
              <w:jc w:val="center"/>
              <w:rPr>
                <w:sz w:val="16"/>
                <w:szCs w:val="16"/>
              </w:rPr>
            </w:pPr>
            <w:r w:rsidRPr="00CA0AE3">
              <w:rPr>
                <w:bCs/>
                <w:sz w:val="16"/>
                <w:szCs w:val="16"/>
              </w:rPr>
              <w:t>Gap to Goal (10%) or attainment at target</w:t>
            </w:r>
          </w:p>
          <w:p w:rsidR="0065130B" w:rsidRPr="00CA0AE3" w:rsidRDefault="0065130B" w:rsidP="0065130B">
            <w:pPr>
              <w:spacing w:after="0" w:line="240" w:lineRule="auto"/>
              <w:jc w:val="center"/>
              <w:rPr>
                <w:sz w:val="16"/>
                <w:szCs w:val="16"/>
              </w:rPr>
            </w:pPr>
          </w:p>
        </w:tc>
        <w:tc>
          <w:tcPr>
            <w:tcW w:w="1170" w:type="dxa"/>
            <w:shd w:val="clear" w:color="auto" w:fill="auto"/>
            <w:tcMar>
              <w:top w:w="13" w:type="dxa"/>
              <w:left w:w="93" w:type="dxa"/>
              <w:bottom w:w="0" w:type="dxa"/>
              <w:right w:w="93" w:type="dxa"/>
            </w:tcMar>
            <w:vAlign w:val="center"/>
            <w:hideMark/>
          </w:tcPr>
          <w:p w:rsidR="0065130B" w:rsidRPr="00CA0AE3" w:rsidRDefault="0065130B" w:rsidP="0065130B">
            <w:pPr>
              <w:spacing w:after="0" w:line="240" w:lineRule="auto"/>
              <w:jc w:val="center"/>
              <w:rPr>
                <w:b/>
                <w:sz w:val="16"/>
                <w:szCs w:val="16"/>
              </w:rPr>
            </w:pPr>
            <w:r w:rsidRPr="00CA0AE3">
              <w:rPr>
                <w:b/>
                <w:sz w:val="16"/>
                <w:szCs w:val="16"/>
              </w:rPr>
              <w:t>O</w:t>
            </w:r>
          </w:p>
          <w:p w:rsidR="0065130B" w:rsidRPr="00CA0AE3" w:rsidRDefault="008D3CB4" w:rsidP="0065130B">
            <w:pPr>
              <w:spacing w:after="0" w:line="240" w:lineRule="auto"/>
              <w:jc w:val="center"/>
              <w:rPr>
                <w:sz w:val="16"/>
                <w:szCs w:val="16"/>
              </w:rPr>
            </w:pPr>
            <w:r w:rsidRPr="00CA0AE3">
              <w:rPr>
                <w:sz w:val="16"/>
                <w:szCs w:val="16"/>
              </w:rPr>
              <w:t>(4/1/17 -3/31/18)</w:t>
            </w:r>
          </w:p>
        </w:tc>
        <w:tc>
          <w:tcPr>
            <w:tcW w:w="1260" w:type="dxa"/>
            <w:shd w:val="clear" w:color="auto" w:fill="auto"/>
            <w:tcMar>
              <w:top w:w="13" w:type="dxa"/>
              <w:left w:w="93" w:type="dxa"/>
              <w:bottom w:w="0" w:type="dxa"/>
              <w:right w:w="93" w:type="dxa"/>
            </w:tcMar>
            <w:vAlign w:val="center"/>
            <w:hideMark/>
          </w:tcPr>
          <w:p w:rsidR="0065130B" w:rsidRPr="00CA0AE3" w:rsidRDefault="0065130B" w:rsidP="0065130B">
            <w:pPr>
              <w:spacing w:after="0" w:line="240" w:lineRule="auto"/>
              <w:jc w:val="center"/>
              <w:rPr>
                <w:b/>
                <w:sz w:val="16"/>
                <w:szCs w:val="16"/>
              </w:rPr>
            </w:pPr>
            <w:r w:rsidRPr="00CA0AE3">
              <w:rPr>
                <w:b/>
                <w:sz w:val="16"/>
                <w:szCs w:val="16"/>
              </w:rPr>
              <w:t>B</w:t>
            </w:r>
          </w:p>
          <w:p w:rsidR="0065130B" w:rsidRPr="00CA0AE3" w:rsidRDefault="008D3CB4" w:rsidP="0065130B">
            <w:pPr>
              <w:spacing w:after="0" w:line="240" w:lineRule="auto"/>
              <w:jc w:val="center"/>
              <w:rPr>
                <w:sz w:val="16"/>
                <w:szCs w:val="16"/>
              </w:rPr>
            </w:pPr>
            <w:r w:rsidRPr="00CA0AE3">
              <w:rPr>
                <w:sz w:val="16"/>
                <w:szCs w:val="16"/>
              </w:rPr>
              <w:t>(4/1/18 -3/31/19)</w:t>
            </w:r>
          </w:p>
        </w:tc>
        <w:tc>
          <w:tcPr>
            <w:tcW w:w="1260" w:type="dxa"/>
            <w:shd w:val="clear" w:color="auto" w:fill="auto"/>
            <w:tcMar>
              <w:top w:w="13" w:type="dxa"/>
              <w:left w:w="93" w:type="dxa"/>
              <w:bottom w:w="0" w:type="dxa"/>
              <w:right w:w="93" w:type="dxa"/>
            </w:tcMar>
            <w:vAlign w:val="center"/>
            <w:hideMark/>
          </w:tcPr>
          <w:p w:rsidR="0065130B" w:rsidRPr="00CA0AE3" w:rsidRDefault="0065130B" w:rsidP="0065130B">
            <w:pPr>
              <w:spacing w:after="0" w:line="240" w:lineRule="auto"/>
              <w:jc w:val="center"/>
              <w:rPr>
                <w:b/>
                <w:sz w:val="16"/>
                <w:szCs w:val="16"/>
              </w:rPr>
            </w:pPr>
            <w:r w:rsidRPr="00CA0AE3">
              <w:rPr>
                <w:b/>
                <w:sz w:val="16"/>
                <w:szCs w:val="16"/>
              </w:rPr>
              <w:t>O</w:t>
            </w:r>
          </w:p>
          <w:p w:rsidR="0065130B" w:rsidRPr="00CA0AE3" w:rsidRDefault="008D3CB4" w:rsidP="0065130B">
            <w:pPr>
              <w:spacing w:after="0" w:line="240" w:lineRule="auto"/>
              <w:jc w:val="center"/>
              <w:rPr>
                <w:sz w:val="16"/>
                <w:szCs w:val="16"/>
              </w:rPr>
            </w:pPr>
            <w:r w:rsidRPr="00CA0AE3">
              <w:rPr>
                <w:sz w:val="16"/>
                <w:szCs w:val="16"/>
              </w:rPr>
              <w:t>(4/1/19 -3/31/20)</w:t>
            </w:r>
          </w:p>
        </w:tc>
        <w:tc>
          <w:tcPr>
            <w:tcW w:w="1260" w:type="dxa"/>
            <w:shd w:val="clear" w:color="auto" w:fill="auto"/>
            <w:tcMar>
              <w:top w:w="13" w:type="dxa"/>
              <w:left w:w="93" w:type="dxa"/>
              <w:bottom w:w="0" w:type="dxa"/>
              <w:right w:w="93" w:type="dxa"/>
            </w:tcMar>
            <w:vAlign w:val="center"/>
            <w:hideMark/>
          </w:tcPr>
          <w:p w:rsidR="0065130B" w:rsidRPr="00CA0AE3" w:rsidRDefault="0065130B" w:rsidP="0065130B">
            <w:pPr>
              <w:spacing w:after="0" w:line="240" w:lineRule="auto"/>
              <w:jc w:val="center"/>
              <w:rPr>
                <w:b/>
                <w:sz w:val="16"/>
                <w:szCs w:val="16"/>
              </w:rPr>
            </w:pPr>
            <w:r w:rsidRPr="00CA0AE3">
              <w:rPr>
                <w:b/>
                <w:sz w:val="16"/>
                <w:szCs w:val="16"/>
              </w:rPr>
              <w:t>B</w:t>
            </w:r>
          </w:p>
          <w:p w:rsidR="0065130B" w:rsidRPr="00CA0AE3" w:rsidRDefault="008D3CB4" w:rsidP="0065130B">
            <w:pPr>
              <w:spacing w:after="0" w:line="240" w:lineRule="auto"/>
              <w:jc w:val="center"/>
              <w:rPr>
                <w:sz w:val="16"/>
                <w:szCs w:val="16"/>
              </w:rPr>
            </w:pPr>
            <w:r w:rsidRPr="00CA0AE3">
              <w:rPr>
                <w:sz w:val="16"/>
                <w:szCs w:val="16"/>
              </w:rPr>
              <w:t>(4/1/20 -3/31/21)</w:t>
            </w:r>
          </w:p>
        </w:tc>
        <w:tc>
          <w:tcPr>
            <w:tcW w:w="1260" w:type="dxa"/>
            <w:shd w:val="clear" w:color="auto" w:fill="auto"/>
            <w:tcMar>
              <w:top w:w="13" w:type="dxa"/>
              <w:left w:w="93" w:type="dxa"/>
              <w:bottom w:w="0" w:type="dxa"/>
              <w:right w:w="93" w:type="dxa"/>
            </w:tcMar>
            <w:vAlign w:val="center"/>
            <w:hideMark/>
          </w:tcPr>
          <w:p w:rsidR="0065130B" w:rsidRPr="00CA0AE3" w:rsidRDefault="0065130B" w:rsidP="0065130B">
            <w:pPr>
              <w:spacing w:after="0" w:line="240" w:lineRule="auto"/>
              <w:jc w:val="center"/>
              <w:rPr>
                <w:b/>
                <w:sz w:val="16"/>
                <w:szCs w:val="16"/>
              </w:rPr>
            </w:pPr>
            <w:r w:rsidRPr="00CA0AE3">
              <w:rPr>
                <w:b/>
                <w:sz w:val="16"/>
                <w:szCs w:val="16"/>
              </w:rPr>
              <w:t>O</w:t>
            </w:r>
          </w:p>
          <w:p w:rsidR="0065130B" w:rsidRPr="00CA0AE3" w:rsidRDefault="008D3CB4" w:rsidP="0065130B">
            <w:pPr>
              <w:spacing w:after="0" w:line="240" w:lineRule="auto"/>
              <w:jc w:val="center"/>
              <w:rPr>
                <w:sz w:val="16"/>
                <w:szCs w:val="16"/>
              </w:rPr>
            </w:pPr>
            <w:r w:rsidRPr="00CA0AE3">
              <w:rPr>
                <w:sz w:val="16"/>
                <w:szCs w:val="16"/>
              </w:rPr>
              <w:t>(4/1/21 - 3/31/22)</w:t>
            </w:r>
          </w:p>
        </w:tc>
        <w:tc>
          <w:tcPr>
            <w:tcW w:w="1266" w:type="dxa"/>
            <w:vMerge w:val="restart"/>
            <w:vAlign w:val="center"/>
          </w:tcPr>
          <w:p w:rsidR="0065130B" w:rsidRPr="00CA0AE3" w:rsidRDefault="0065130B" w:rsidP="00B3615C">
            <w:pPr>
              <w:spacing w:after="0" w:line="240" w:lineRule="auto"/>
              <w:rPr>
                <w:rFonts w:eastAsia="Times New Roman"/>
                <w:sz w:val="16"/>
                <w:szCs w:val="16"/>
              </w:rPr>
            </w:pPr>
            <w:r w:rsidRPr="00CA0AE3">
              <w:rPr>
                <w:sz w:val="16"/>
                <w:szCs w:val="16"/>
              </w:rPr>
              <w:t>Target for new specialties will be specified at the time of the selection of the  specialty and reported with baseline data</w:t>
            </w:r>
          </w:p>
        </w:tc>
      </w:tr>
      <w:tr w:rsidR="0065130B" w:rsidRPr="00CA0AE3" w:rsidTr="00C947DF">
        <w:trPr>
          <w:cantSplit/>
          <w:trHeight w:val="1541"/>
        </w:trPr>
        <w:tc>
          <w:tcPr>
            <w:tcW w:w="358" w:type="dxa"/>
            <w:vMerge/>
            <w:vAlign w:val="center"/>
          </w:tcPr>
          <w:p w:rsidR="0065130B" w:rsidRPr="00CA0AE3" w:rsidRDefault="0065130B" w:rsidP="0065130B">
            <w:pPr>
              <w:spacing w:after="0" w:line="240" w:lineRule="auto"/>
              <w:jc w:val="center"/>
              <w:rPr>
                <w:sz w:val="16"/>
                <w:szCs w:val="16"/>
              </w:rPr>
            </w:pPr>
          </w:p>
        </w:tc>
        <w:tc>
          <w:tcPr>
            <w:tcW w:w="1529" w:type="dxa"/>
            <w:vMerge/>
            <w:shd w:val="clear" w:color="auto" w:fill="auto"/>
            <w:tcMar>
              <w:top w:w="13" w:type="dxa"/>
              <w:left w:w="93" w:type="dxa"/>
              <w:bottom w:w="0" w:type="dxa"/>
              <w:right w:w="93" w:type="dxa"/>
            </w:tcMar>
            <w:vAlign w:val="center"/>
            <w:hideMark/>
          </w:tcPr>
          <w:p w:rsidR="0065130B" w:rsidRPr="00CA0AE3" w:rsidRDefault="0065130B" w:rsidP="0065130B">
            <w:pPr>
              <w:spacing w:after="0" w:line="240" w:lineRule="auto"/>
              <w:rPr>
                <w:sz w:val="16"/>
                <w:szCs w:val="16"/>
              </w:rPr>
            </w:pPr>
          </w:p>
        </w:tc>
        <w:tc>
          <w:tcPr>
            <w:tcW w:w="1170" w:type="dxa"/>
            <w:vMerge/>
            <w:shd w:val="clear" w:color="auto" w:fill="auto"/>
            <w:tcMar>
              <w:top w:w="13" w:type="dxa"/>
              <w:left w:w="93" w:type="dxa"/>
              <w:bottom w:w="0" w:type="dxa"/>
              <w:right w:w="93" w:type="dxa"/>
            </w:tcMar>
            <w:vAlign w:val="center"/>
            <w:hideMark/>
          </w:tcPr>
          <w:p w:rsidR="0065130B" w:rsidRPr="00CA0AE3" w:rsidRDefault="0065130B" w:rsidP="0065130B">
            <w:pPr>
              <w:spacing w:after="0" w:line="240" w:lineRule="auto"/>
              <w:jc w:val="center"/>
              <w:rPr>
                <w:sz w:val="16"/>
                <w:szCs w:val="16"/>
              </w:rPr>
            </w:pPr>
          </w:p>
        </w:tc>
        <w:tc>
          <w:tcPr>
            <w:tcW w:w="1260" w:type="dxa"/>
            <w:vMerge/>
            <w:shd w:val="clear" w:color="auto" w:fill="auto"/>
            <w:tcMar>
              <w:top w:w="13" w:type="dxa"/>
              <w:left w:w="93" w:type="dxa"/>
              <w:bottom w:w="0" w:type="dxa"/>
              <w:right w:w="93" w:type="dxa"/>
            </w:tcMar>
            <w:vAlign w:val="center"/>
            <w:hideMark/>
          </w:tcPr>
          <w:p w:rsidR="0065130B" w:rsidRPr="00CA0AE3" w:rsidRDefault="0065130B" w:rsidP="0065130B">
            <w:pPr>
              <w:spacing w:after="0" w:line="240" w:lineRule="auto"/>
              <w:jc w:val="center"/>
              <w:rPr>
                <w:sz w:val="16"/>
                <w:szCs w:val="16"/>
              </w:rPr>
            </w:pPr>
          </w:p>
        </w:tc>
        <w:tc>
          <w:tcPr>
            <w:tcW w:w="1440" w:type="dxa"/>
            <w:vMerge/>
            <w:shd w:val="clear" w:color="auto" w:fill="auto"/>
            <w:tcMar>
              <w:top w:w="13" w:type="dxa"/>
              <w:left w:w="93" w:type="dxa"/>
              <w:bottom w:w="0" w:type="dxa"/>
              <w:right w:w="93" w:type="dxa"/>
            </w:tcMar>
            <w:vAlign w:val="center"/>
            <w:hideMark/>
          </w:tcPr>
          <w:p w:rsidR="0065130B" w:rsidRPr="00CA0AE3" w:rsidRDefault="0065130B" w:rsidP="0065130B">
            <w:pPr>
              <w:spacing w:after="0" w:line="240" w:lineRule="auto"/>
              <w:jc w:val="center"/>
              <w:rPr>
                <w:bCs/>
                <w:sz w:val="16"/>
                <w:szCs w:val="16"/>
              </w:rPr>
            </w:pPr>
          </w:p>
        </w:tc>
        <w:tc>
          <w:tcPr>
            <w:tcW w:w="1170" w:type="dxa"/>
            <w:shd w:val="clear" w:color="auto" w:fill="auto"/>
            <w:tcMar>
              <w:top w:w="13" w:type="dxa"/>
              <w:left w:w="93" w:type="dxa"/>
              <w:bottom w:w="0" w:type="dxa"/>
              <w:right w:w="93" w:type="dxa"/>
            </w:tcMar>
            <w:vAlign w:val="center"/>
            <w:hideMark/>
          </w:tcPr>
          <w:p w:rsidR="0065130B" w:rsidRPr="00CA0AE3" w:rsidRDefault="008D3CB4" w:rsidP="0065130B">
            <w:pPr>
              <w:spacing w:after="0" w:line="240" w:lineRule="auto"/>
              <w:jc w:val="center"/>
              <w:rPr>
                <w:sz w:val="16"/>
                <w:szCs w:val="16"/>
              </w:rPr>
            </w:pPr>
            <w:r w:rsidRPr="00CA0AE3">
              <w:rPr>
                <w:sz w:val="16"/>
                <w:szCs w:val="16"/>
              </w:rPr>
              <w:t>Gastroenterology</w:t>
            </w:r>
          </w:p>
        </w:tc>
        <w:tc>
          <w:tcPr>
            <w:tcW w:w="1260" w:type="dxa"/>
            <w:shd w:val="clear" w:color="auto" w:fill="auto"/>
            <w:tcMar>
              <w:top w:w="13" w:type="dxa"/>
              <w:left w:w="93" w:type="dxa"/>
              <w:bottom w:w="0" w:type="dxa"/>
              <w:right w:w="93" w:type="dxa"/>
            </w:tcMar>
            <w:vAlign w:val="center"/>
            <w:hideMark/>
          </w:tcPr>
          <w:p w:rsidR="0065130B" w:rsidRPr="00CA0AE3" w:rsidRDefault="008D3CB4" w:rsidP="0065130B">
            <w:pPr>
              <w:spacing w:after="0" w:line="240" w:lineRule="auto"/>
              <w:jc w:val="center"/>
              <w:rPr>
                <w:sz w:val="16"/>
                <w:szCs w:val="16"/>
              </w:rPr>
            </w:pPr>
            <w:r w:rsidRPr="00CA0AE3">
              <w:rPr>
                <w:sz w:val="16"/>
                <w:szCs w:val="16"/>
              </w:rPr>
              <w:t>New Specialty 1</w:t>
            </w:r>
          </w:p>
        </w:tc>
        <w:tc>
          <w:tcPr>
            <w:tcW w:w="1260" w:type="dxa"/>
            <w:shd w:val="clear" w:color="auto" w:fill="auto"/>
            <w:tcMar>
              <w:top w:w="13" w:type="dxa"/>
              <w:left w:w="93" w:type="dxa"/>
              <w:bottom w:w="0" w:type="dxa"/>
              <w:right w:w="93" w:type="dxa"/>
            </w:tcMar>
            <w:vAlign w:val="center"/>
            <w:hideMark/>
          </w:tcPr>
          <w:p w:rsidR="0065130B" w:rsidRPr="00CA0AE3" w:rsidRDefault="008D3CB4" w:rsidP="0065130B">
            <w:pPr>
              <w:spacing w:after="0" w:line="240" w:lineRule="auto"/>
              <w:jc w:val="center"/>
              <w:rPr>
                <w:sz w:val="16"/>
                <w:szCs w:val="16"/>
              </w:rPr>
            </w:pPr>
            <w:r w:rsidRPr="00CA0AE3">
              <w:rPr>
                <w:sz w:val="16"/>
                <w:szCs w:val="16"/>
              </w:rPr>
              <w:t>New Specialty 1</w:t>
            </w:r>
          </w:p>
        </w:tc>
        <w:tc>
          <w:tcPr>
            <w:tcW w:w="1260" w:type="dxa"/>
            <w:shd w:val="clear" w:color="auto" w:fill="auto"/>
            <w:tcMar>
              <w:top w:w="13" w:type="dxa"/>
              <w:left w:w="93" w:type="dxa"/>
              <w:bottom w:w="0" w:type="dxa"/>
              <w:right w:w="93" w:type="dxa"/>
            </w:tcMar>
            <w:vAlign w:val="center"/>
            <w:hideMark/>
          </w:tcPr>
          <w:p w:rsidR="0065130B" w:rsidRPr="00CA0AE3" w:rsidRDefault="008D3CB4" w:rsidP="0065130B">
            <w:pPr>
              <w:spacing w:after="0" w:line="240" w:lineRule="auto"/>
              <w:jc w:val="center"/>
              <w:rPr>
                <w:sz w:val="16"/>
                <w:szCs w:val="16"/>
              </w:rPr>
            </w:pPr>
            <w:r w:rsidRPr="00CA0AE3">
              <w:rPr>
                <w:sz w:val="16"/>
                <w:szCs w:val="16"/>
              </w:rPr>
              <w:t>New Specialty 2</w:t>
            </w:r>
          </w:p>
        </w:tc>
        <w:tc>
          <w:tcPr>
            <w:tcW w:w="1260" w:type="dxa"/>
            <w:shd w:val="clear" w:color="auto" w:fill="auto"/>
            <w:tcMar>
              <w:top w:w="13" w:type="dxa"/>
              <w:left w:w="93" w:type="dxa"/>
              <w:bottom w:w="0" w:type="dxa"/>
              <w:right w:w="93" w:type="dxa"/>
            </w:tcMar>
            <w:vAlign w:val="center"/>
            <w:hideMark/>
          </w:tcPr>
          <w:p w:rsidR="0065130B" w:rsidRPr="00CA0AE3" w:rsidRDefault="008D3CB4" w:rsidP="0065130B">
            <w:pPr>
              <w:spacing w:after="0" w:line="240" w:lineRule="auto"/>
              <w:jc w:val="center"/>
              <w:rPr>
                <w:sz w:val="16"/>
                <w:szCs w:val="16"/>
              </w:rPr>
            </w:pPr>
            <w:r w:rsidRPr="00CA0AE3">
              <w:rPr>
                <w:sz w:val="16"/>
                <w:szCs w:val="16"/>
              </w:rPr>
              <w:t>New Specialty 2</w:t>
            </w:r>
          </w:p>
        </w:tc>
        <w:tc>
          <w:tcPr>
            <w:tcW w:w="1266" w:type="dxa"/>
            <w:vMerge/>
            <w:vAlign w:val="center"/>
          </w:tcPr>
          <w:p w:rsidR="0065130B" w:rsidRPr="00CA0AE3" w:rsidRDefault="0065130B" w:rsidP="0065130B">
            <w:pPr>
              <w:spacing w:after="0" w:line="240" w:lineRule="auto"/>
              <w:jc w:val="center"/>
              <w:rPr>
                <w:sz w:val="16"/>
                <w:szCs w:val="16"/>
              </w:rPr>
            </w:pPr>
          </w:p>
        </w:tc>
      </w:tr>
      <w:tr w:rsidR="0065130B" w:rsidRPr="00CA0AE3" w:rsidTr="00C947DF">
        <w:trPr>
          <w:cantSplit/>
          <w:trHeight w:val="1334"/>
        </w:trPr>
        <w:tc>
          <w:tcPr>
            <w:tcW w:w="358" w:type="dxa"/>
            <w:vMerge w:val="restart"/>
            <w:vAlign w:val="center"/>
          </w:tcPr>
          <w:p w:rsidR="0065130B" w:rsidRPr="00CA0AE3" w:rsidRDefault="009B1F36" w:rsidP="009B1F36">
            <w:pPr>
              <w:spacing w:after="0" w:line="240" w:lineRule="auto"/>
              <w:jc w:val="center"/>
              <w:rPr>
                <w:sz w:val="16"/>
                <w:szCs w:val="16"/>
              </w:rPr>
            </w:pPr>
            <w:r w:rsidRPr="00CA0AE3">
              <w:rPr>
                <w:sz w:val="16"/>
                <w:szCs w:val="16"/>
              </w:rPr>
              <w:t>7</w:t>
            </w:r>
          </w:p>
        </w:tc>
        <w:tc>
          <w:tcPr>
            <w:tcW w:w="1529" w:type="dxa"/>
            <w:vMerge w:val="restart"/>
            <w:shd w:val="clear" w:color="auto" w:fill="auto"/>
            <w:tcMar>
              <w:top w:w="13" w:type="dxa"/>
              <w:left w:w="93" w:type="dxa"/>
              <w:bottom w:w="0" w:type="dxa"/>
              <w:right w:w="93" w:type="dxa"/>
            </w:tcMar>
            <w:vAlign w:val="center"/>
          </w:tcPr>
          <w:p w:rsidR="0065130B" w:rsidRPr="00CA0AE3" w:rsidRDefault="0065130B" w:rsidP="0065130B">
            <w:pPr>
              <w:spacing w:after="0" w:line="240" w:lineRule="auto"/>
              <w:rPr>
                <w:bCs/>
                <w:sz w:val="16"/>
                <w:szCs w:val="16"/>
              </w:rPr>
            </w:pPr>
            <w:r w:rsidRPr="00CA0AE3">
              <w:rPr>
                <w:sz w:val="16"/>
                <w:szCs w:val="16"/>
              </w:rPr>
              <w:t>Time to first appointment: percentage of referrals to scheduled within 60 days</w:t>
            </w:r>
            <w:r w:rsidRPr="00CA0AE3">
              <w:rPr>
                <w:bCs/>
                <w:sz w:val="16"/>
                <w:szCs w:val="16"/>
              </w:rPr>
              <w:t xml:space="preserve"> for selected specialties within </w:t>
            </w:r>
            <w:r w:rsidRPr="00CA0AE3">
              <w:rPr>
                <w:bCs/>
                <w:sz w:val="16"/>
                <w:szCs w:val="16"/>
              </w:rPr>
              <w:lastRenderedPageBreak/>
              <w:t>the public hospital system:</w:t>
            </w:r>
          </w:p>
          <w:p w:rsidR="0065130B" w:rsidRPr="00CA0AE3" w:rsidRDefault="0065130B" w:rsidP="0065130B">
            <w:pPr>
              <w:spacing w:after="0" w:line="240" w:lineRule="auto"/>
              <w:rPr>
                <w:sz w:val="16"/>
                <w:szCs w:val="16"/>
              </w:rPr>
            </w:pPr>
            <w:r w:rsidRPr="00CA0AE3">
              <w:rPr>
                <w:sz w:val="16"/>
                <w:szCs w:val="16"/>
              </w:rPr>
              <w:t>(SFY 2018 will continue Gastroenterology) (SFYs 2019 – 2020 will be a 2</w:t>
            </w:r>
            <w:r w:rsidRPr="00CA0AE3">
              <w:rPr>
                <w:sz w:val="16"/>
                <w:szCs w:val="16"/>
                <w:vertAlign w:val="superscript"/>
              </w:rPr>
              <w:t>nd</w:t>
            </w:r>
            <w:r w:rsidRPr="00CA0AE3">
              <w:rPr>
                <w:sz w:val="16"/>
                <w:szCs w:val="16"/>
              </w:rPr>
              <w:t xml:space="preserve"> Specialty Area)</w:t>
            </w:r>
          </w:p>
          <w:p w:rsidR="0065130B" w:rsidRPr="00CA0AE3" w:rsidRDefault="0065130B" w:rsidP="0065130B">
            <w:pPr>
              <w:spacing w:after="0" w:line="240" w:lineRule="auto"/>
              <w:rPr>
                <w:sz w:val="16"/>
                <w:szCs w:val="16"/>
              </w:rPr>
            </w:pPr>
            <w:r w:rsidRPr="00CA0AE3">
              <w:rPr>
                <w:sz w:val="16"/>
                <w:szCs w:val="16"/>
              </w:rPr>
              <w:t>(SFYs 2021 – 2022 will be a 3</w:t>
            </w:r>
            <w:r w:rsidRPr="00CA0AE3">
              <w:rPr>
                <w:sz w:val="16"/>
                <w:szCs w:val="16"/>
                <w:vertAlign w:val="superscript"/>
              </w:rPr>
              <w:t>rd</w:t>
            </w:r>
            <w:r w:rsidRPr="00CA0AE3">
              <w:rPr>
                <w:sz w:val="16"/>
                <w:szCs w:val="16"/>
              </w:rPr>
              <w:t xml:space="preserve"> Specialty Area)</w:t>
            </w:r>
          </w:p>
        </w:tc>
        <w:tc>
          <w:tcPr>
            <w:tcW w:w="1170" w:type="dxa"/>
            <w:vMerge w:val="restart"/>
            <w:shd w:val="clear" w:color="auto" w:fill="auto"/>
            <w:tcMar>
              <w:top w:w="13" w:type="dxa"/>
              <w:left w:w="93" w:type="dxa"/>
              <w:bottom w:w="0" w:type="dxa"/>
              <w:right w:w="93" w:type="dxa"/>
            </w:tcMar>
            <w:vAlign w:val="center"/>
          </w:tcPr>
          <w:p w:rsidR="0065130B" w:rsidRPr="00CA0AE3" w:rsidRDefault="0065130B" w:rsidP="0065130B">
            <w:pPr>
              <w:spacing w:after="0" w:line="240" w:lineRule="auto"/>
              <w:jc w:val="center"/>
              <w:rPr>
                <w:sz w:val="16"/>
                <w:szCs w:val="16"/>
              </w:rPr>
            </w:pPr>
            <w:r w:rsidRPr="00CA0AE3">
              <w:rPr>
                <w:sz w:val="16"/>
                <w:szCs w:val="16"/>
              </w:rPr>
              <w:lastRenderedPageBreak/>
              <w:t>Customized Measure</w:t>
            </w:r>
          </w:p>
        </w:tc>
        <w:tc>
          <w:tcPr>
            <w:tcW w:w="1260" w:type="dxa"/>
            <w:vMerge w:val="restart"/>
            <w:shd w:val="clear" w:color="auto" w:fill="auto"/>
            <w:tcMar>
              <w:top w:w="13" w:type="dxa"/>
              <w:left w:w="93" w:type="dxa"/>
              <w:bottom w:w="0" w:type="dxa"/>
              <w:right w:w="93" w:type="dxa"/>
            </w:tcMar>
            <w:vAlign w:val="center"/>
          </w:tcPr>
          <w:p w:rsidR="0065130B" w:rsidRPr="00CA0AE3" w:rsidRDefault="0065130B" w:rsidP="0065130B">
            <w:pPr>
              <w:spacing w:after="0" w:line="240" w:lineRule="auto"/>
              <w:jc w:val="center"/>
              <w:rPr>
                <w:sz w:val="16"/>
                <w:szCs w:val="16"/>
              </w:rPr>
            </w:pPr>
            <w:r w:rsidRPr="00CA0AE3">
              <w:rPr>
                <w:sz w:val="16"/>
                <w:szCs w:val="16"/>
              </w:rPr>
              <w:t>No external benchmark;</w:t>
            </w:r>
          </w:p>
          <w:p w:rsidR="0065130B" w:rsidRPr="00CA0AE3" w:rsidRDefault="0065130B" w:rsidP="0065130B">
            <w:pPr>
              <w:spacing w:after="0" w:line="240" w:lineRule="auto"/>
              <w:jc w:val="center"/>
              <w:rPr>
                <w:sz w:val="16"/>
                <w:szCs w:val="16"/>
              </w:rPr>
            </w:pPr>
            <w:r w:rsidRPr="00CA0AE3">
              <w:rPr>
                <w:sz w:val="16"/>
                <w:szCs w:val="16"/>
              </w:rPr>
              <w:t xml:space="preserve">hospital specific improvement target (Gastroenterology=50%; </w:t>
            </w:r>
            <w:r w:rsidRPr="00CA0AE3">
              <w:rPr>
                <w:sz w:val="16"/>
                <w:szCs w:val="16"/>
              </w:rPr>
              <w:lastRenderedPageBreak/>
              <w:t>Applicable to SFY 2018)</w:t>
            </w:r>
          </w:p>
          <w:p w:rsidR="0065130B" w:rsidRPr="00CA0AE3" w:rsidRDefault="0065130B" w:rsidP="0065130B">
            <w:pPr>
              <w:spacing w:after="0" w:line="240" w:lineRule="auto"/>
              <w:jc w:val="center"/>
              <w:rPr>
                <w:sz w:val="16"/>
                <w:szCs w:val="16"/>
              </w:rPr>
            </w:pPr>
            <w:r w:rsidRPr="00CA0AE3">
              <w:rPr>
                <w:sz w:val="16"/>
                <w:szCs w:val="16"/>
              </w:rPr>
              <w:t>New Specialty Target will be submitted with baseline data for each new specialty</w:t>
            </w:r>
          </w:p>
        </w:tc>
        <w:tc>
          <w:tcPr>
            <w:tcW w:w="1440" w:type="dxa"/>
            <w:vMerge w:val="restart"/>
            <w:shd w:val="clear" w:color="auto" w:fill="auto"/>
            <w:tcMar>
              <w:top w:w="13" w:type="dxa"/>
              <w:left w:w="93" w:type="dxa"/>
              <w:bottom w:w="0" w:type="dxa"/>
              <w:right w:w="93" w:type="dxa"/>
            </w:tcMar>
            <w:vAlign w:val="center"/>
          </w:tcPr>
          <w:p w:rsidR="0065130B" w:rsidRPr="00CA0AE3" w:rsidRDefault="0065130B" w:rsidP="0065130B">
            <w:pPr>
              <w:spacing w:after="0" w:line="240" w:lineRule="auto"/>
              <w:jc w:val="center"/>
              <w:rPr>
                <w:sz w:val="16"/>
                <w:szCs w:val="16"/>
              </w:rPr>
            </w:pPr>
            <w:r w:rsidRPr="00CA0AE3">
              <w:rPr>
                <w:bCs/>
                <w:sz w:val="16"/>
                <w:szCs w:val="16"/>
              </w:rPr>
              <w:lastRenderedPageBreak/>
              <w:t>Gap to Goal (10%) or attainment at target</w:t>
            </w:r>
          </w:p>
        </w:tc>
        <w:tc>
          <w:tcPr>
            <w:tcW w:w="1170" w:type="dxa"/>
            <w:shd w:val="clear" w:color="auto" w:fill="auto"/>
            <w:tcMar>
              <w:top w:w="13" w:type="dxa"/>
              <w:left w:w="93" w:type="dxa"/>
              <w:bottom w:w="0" w:type="dxa"/>
              <w:right w:w="93" w:type="dxa"/>
            </w:tcMar>
            <w:vAlign w:val="center"/>
          </w:tcPr>
          <w:p w:rsidR="0065130B" w:rsidRPr="00CA0AE3" w:rsidRDefault="0065130B" w:rsidP="0065130B">
            <w:pPr>
              <w:spacing w:after="0" w:line="240" w:lineRule="auto"/>
              <w:jc w:val="center"/>
              <w:rPr>
                <w:b/>
                <w:sz w:val="16"/>
                <w:szCs w:val="16"/>
              </w:rPr>
            </w:pPr>
            <w:r w:rsidRPr="00CA0AE3">
              <w:rPr>
                <w:b/>
                <w:sz w:val="16"/>
                <w:szCs w:val="16"/>
              </w:rPr>
              <w:t>O</w:t>
            </w:r>
          </w:p>
          <w:p w:rsidR="0065130B" w:rsidRPr="00CA0AE3" w:rsidRDefault="008D3CB4" w:rsidP="0065130B">
            <w:pPr>
              <w:spacing w:after="0" w:line="240" w:lineRule="auto"/>
              <w:jc w:val="center"/>
              <w:rPr>
                <w:sz w:val="16"/>
                <w:szCs w:val="16"/>
              </w:rPr>
            </w:pPr>
            <w:r w:rsidRPr="00CA0AE3">
              <w:rPr>
                <w:sz w:val="16"/>
                <w:szCs w:val="16"/>
              </w:rPr>
              <w:t>(4/1/17 -3/31/18)</w:t>
            </w:r>
          </w:p>
        </w:tc>
        <w:tc>
          <w:tcPr>
            <w:tcW w:w="1260" w:type="dxa"/>
            <w:shd w:val="clear" w:color="auto" w:fill="auto"/>
            <w:tcMar>
              <w:top w:w="13" w:type="dxa"/>
              <w:left w:w="93" w:type="dxa"/>
              <w:bottom w:w="0" w:type="dxa"/>
              <w:right w:w="93" w:type="dxa"/>
            </w:tcMar>
            <w:vAlign w:val="center"/>
          </w:tcPr>
          <w:p w:rsidR="0065130B" w:rsidRPr="00CA0AE3" w:rsidRDefault="0065130B" w:rsidP="0065130B">
            <w:pPr>
              <w:spacing w:after="0" w:line="240" w:lineRule="auto"/>
              <w:jc w:val="center"/>
              <w:rPr>
                <w:b/>
                <w:sz w:val="16"/>
                <w:szCs w:val="16"/>
              </w:rPr>
            </w:pPr>
            <w:r w:rsidRPr="00CA0AE3">
              <w:rPr>
                <w:b/>
                <w:sz w:val="16"/>
                <w:szCs w:val="16"/>
              </w:rPr>
              <w:t>B</w:t>
            </w:r>
          </w:p>
          <w:p w:rsidR="0065130B" w:rsidRPr="00CA0AE3" w:rsidRDefault="008D3CB4" w:rsidP="0065130B">
            <w:pPr>
              <w:spacing w:after="0" w:line="240" w:lineRule="auto"/>
              <w:jc w:val="center"/>
              <w:rPr>
                <w:sz w:val="16"/>
                <w:szCs w:val="16"/>
              </w:rPr>
            </w:pPr>
            <w:r w:rsidRPr="00CA0AE3">
              <w:rPr>
                <w:sz w:val="16"/>
                <w:szCs w:val="16"/>
              </w:rPr>
              <w:t>(4/1/18 -3/31/19)</w:t>
            </w:r>
          </w:p>
        </w:tc>
        <w:tc>
          <w:tcPr>
            <w:tcW w:w="1260" w:type="dxa"/>
            <w:shd w:val="clear" w:color="auto" w:fill="auto"/>
            <w:tcMar>
              <w:top w:w="13" w:type="dxa"/>
              <w:left w:w="93" w:type="dxa"/>
              <w:bottom w:w="0" w:type="dxa"/>
              <w:right w:w="93" w:type="dxa"/>
            </w:tcMar>
            <w:vAlign w:val="center"/>
          </w:tcPr>
          <w:p w:rsidR="0065130B" w:rsidRPr="00CA0AE3" w:rsidRDefault="0065130B" w:rsidP="0065130B">
            <w:pPr>
              <w:spacing w:after="0" w:line="240" w:lineRule="auto"/>
              <w:jc w:val="center"/>
              <w:rPr>
                <w:b/>
                <w:sz w:val="16"/>
                <w:szCs w:val="16"/>
              </w:rPr>
            </w:pPr>
            <w:r w:rsidRPr="00CA0AE3">
              <w:rPr>
                <w:b/>
                <w:sz w:val="16"/>
                <w:szCs w:val="16"/>
              </w:rPr>
              <w:t>O</w:t>
            </w:r>
          </w:p>
          <w:p w:rsidR="0065130B" w:rsidRPr="00CA0AE3" w:rsidRDefault="008D3CB4" w:rsidP="0065130B">
            <w:pPr>
              <w:spacing w:after="0" w:line="240" w:lineRule="auto"/>
              <w:jc w:val="center"/>
              <w:rPr>
                <w:sz w:val="16"/>
                <w:szCs w:val="16"/>
              </w:rPr>
            </w:pPr>
            <w:r w:rsidRPr="00CA0AE3">
              <w:rPr>
                <w:sz w:val="16"/>
                <w:szCs w:val="16"/>
              </w:rPr>
              <w:t>(4/1/19 -3/31/20)</w:t>
            </w:r>
          </w:p>
        </w:tc>
        <w:tc>
          <w:tcPr>
            <w:tcW w:w="1260" w:type="dxa"/>
            <w:shd w:val="clear" w:color="auto" w:fill="auto"/>
            <w:tcMar>
              <w:top w:w="13" w:type="dxa"/>
              <w:left w:w="93" w:type="dxa"/>
              <w:bottom w:w="0" w:type="dxa"/>
              <w:right w:w="93" w:type="dxa"/>
            </w:tcMar>
            <w:vAlign w:val="center"/>
          </w:tcPr>
          <w:p w:rsidR="0065130B" w:rsidRPr="00CA0AE3" w:rsidRDefault="0065130B" w:rsidP="0065130B">
            <w:pPr>
              <w:spacing w:after="0" w:line="240" w:lineRule="auto"/>
              <w:jc w:val="center"/>
              <w:rPr>
                <w:b/>
                <w:sz w:val="16"/>
                <w:szCs w:val="16"/>
              </w:rPr>
            </w:pPr>
            <w:r w:rsidRPr="00CA0AE3">
              <w:rPr>
                <w:b/>
                <w:sz w:val="16"/>
                <w:szCs w:val="16"/>
              </w:rPr>
              <w:t>B</w:t>
            </w:r>
          </w:p>
          <w:p w:rsidR="0065130B" w:rsidRPr="00CA0AE3" w:rsidRDefault="008D3CB4" w:rsidP="0065130B">
            <w:pPr>
              <w:spacing w:after="0" w:line="240" w:lineRule="auto"/>
              <w:jc w:val="center"/>
              <w:rPr>
                <w:sz w:val="16"/>
                <w:szCs w:val="16"/>
              </w:rPr>
            </w:pPr>
            <w:r w:rsidRPr="00CA0AE3">
              <w:rPr>
                <w:sz w:val="16"/>
                <w:szCs w:val="16"/>
              </w:rPr>
              <w:t>(4/1/20 -3/31/21)</w:t>
            </w:r>
          </w:p>
        </w:tc>
        <w:tc>
          <w:tcPr>
            <w:tcW w:w="1260" w:type="dxa"/>
            <w:shd w:val="clear" w:color="auto" w:fill="auto"/>
            <w:tcMar>
              <w:top w:w="13" w:type="dxa"/>
              <w:left w:w="93" w:type="dxa"/>
              <w:bottom w:w="0" w:type="dxa"/>
              <w:right w:w="93" w:type="dxa"/>
            </w:tcMar>
            <w:vAlign w:val="center"/>
          </w:tcPr>
          <w:p w:rsidR="0065130B" w:rsidRPr="00CA0AE3" w:rsidRDefault="0065130B" w:rsidP="0065130B">
            <w:pPr>
              <w:spacing w:after="0" w:line="240" w:lineRule="auto"/>
              <w:jc w:val="center"/>
              <w:rPr>
                <w:b/>
                <w:sz w:val="16"/>
                <w:szCs w:val="16"/>
              </w:rPr>
            </w:pPr>
            <w:r w:rsidRPr="00CA0AE3">
              <w:rPr>
                <w:b/>
                <w:sz w:val="16"/>
                <w:szCs w:val="16"/>
              </w:rPr>
              <w:t>O</w:t>
            </w:r>
          </w:p>
          <w:p w:rsidR="0065130B" w:rsidRPr="00CA0AE3" w:rsidRDefault="008D3CB4" w:rsidP="0065130B">
            <w:pPr>
              <w:spacing w:after="0" w:line="240" w:lineRule="auto"/>
              <w:jc w:val="center"/>
              <w:rPr>
                <w:sz w:val="16"/>
                <w:szCs w:val="16"/>
              </w:rPr>
            </w:pPr>
            <w:r w:rsidRPr="00CA0AE3">
              <w:rPr>
                <w:sz w:val="16"/>
                <w:szCs w:val="16"/>
              </w:rPr>
              <w:t>(4/1/21 - 3/31/22)</w:t>
            </w:r>
          </w:p>
        </w:tc>
        <w:tc>
          <w:tcPr>
            <w:tcW w:w="1266" w:type="dxa"/>
            <w:vMerge w:val="restart"/>
            <w:vAlign w:val="center"/>
          </w:tcPr>
          <w:p w:rsidR="0065130B" w:rsidRPr="00CA0AE3" w:rsidRDefault="0065130B" w:rsidP="00B3615C">
            <w:pPr>
              <w:spacing w:after="0" w:line="240" w:lineRule="auto"/>
              <w:rPr>
                <w:rFonts w:eastAsia="Times New Roman"/>
                <w:sz w:val="16"/>
                <w:szCs w:val="16"/>
              </w:rPr>
            </w:pPr>
            <w:r w:rsidRPr="00CA0AE3">
              <w:rPr>
                <w:sz w:val="16"/>
                <w:szCs w:val="16"/>
              </w:rPr>
              <w:t xml:space="preserve">Target for new specialties will be specified at the time of the selection of the  specialty and </w:t>
            </w:r>
            <w:r w:rsidRPr="00CA0AE3">
              <w:rPr>
                <w:sz w:val="16"/>
                <w:szCs w:val="16"/>
              </w:rPr>
              <w:lastRenderedPageBreak/>
              <w:t>reported with baseline data</w:t>
            </w:r>
          </w:p>
        </w:tc>
      </w:tr>
      <w:tr w:rsidR="0065130B" w:rsidRPr="00CA0AE3" w:rsidTr="00C947DF">
        <w:trPr>
          <w:cantSplit/>
          <w:trHeight w:val="1334"/>
        </w:trPr>
        <w:tc>
          <w:tcPr>
            <w:tcW w:w="358" w:type="dxa"/>
            <w:vMerge/>
            <w:vAlign w:val="center"/>
          </w:tcPr>
          <w:p w:rsidR="0065130B" w:rsidRPr="00CA0AE3" w:rsidRDefault="0065130B" w:rsidP="0065130B">
            <w:pPr>
              <w:spacing w:after="0" w:line="240" w:lineRule="auto"/>
              <w:jc w:val="center"/>
              <w:rPr>
                <w:sz w:val="16"/>
                <w:szCs w:val="16"/>
              </w:rPr>
            </w:pPr>
          </w:p>
        </w:tc>
        <w:tc>
          <w:tcPr>
            <w:tcW w:w="1529" w:type="dxa"/>
            <w:vMerge/>
            <w:shd w:val="clear" w:color="auto" w:fill="auto"/>
            <w:tcMar>
              <w:top w:w="13" w:type="dxa"/>
              <w:left w:w="93" w:type="dxa"/>
              <w:bottom w:w="0" w:type="dxa"/>
              <w:right w:w="93" w:type="dxa"/>
            </w:tcMar>
            <w:vAlign w:val="center"/>
          </w:tcPr>
          <w:p w:rsidR="0065130B" w:rsidRPr="00CA0AE3" w:rsidRDefault="0065130B" w:rsidP="0065130B">
            <w:pPr>
              <w:spacing w:after="0" w:line="240" w:lineRule="auto"/>
              <w:rPr>
                <w:sz w:val="16"/>
                <w:szCs w:val="16"/>
              </w:rPr>
            </w:pPr>
          </w:p>
        </w:tc>
        <w:tc>
          <w:tcPr>
            <w:tcW w:w="1170" w:type="dxa"/>
            <w:vMerge/>
            <w:shd w:val="clear" w:color="auto" w:fill="auto"/>
            <w:tcMar>
              <w:top w:w="13" w:type="dxa"/>
              <w:left w:w="93" w:type="dxa"/>
              <w:bottom w:w="0" w:type="dxa"/>
              <w:right w:w="93" w:type="dxa"/>
            </w:tcMar>
            <w:vAlign w:val="center"/>
          </w:tcPr>
          <w:p w:rsidR="0065130B" w:rsidRPr="00CA0AE3" w:rsidRDefault="0065130B" w:rsidP="0065130B">
            <w:pPr>
              <w:spacing w:after="0" w:line="240" w:lineRule="auto"/>
              <w:jc w:val="center"/>
              <w:rPr>
                <w:sz w:val="16"/>
                <w:szCs w:val="16"/>
              </w:rPr>
            </w:pPr>
          </w:p>
        </w:tc>
        <w:tc>
          <w:tcPr>
            <w:tcW w:w="1260" w:type="dxa"/>
            <w:vMerge/>
            <w:shd w:val="clear" w:color="auto" w:fill="auto"/>
            <w:tcMar>
              <w:top w:w="13" w:type="dxa"/>
              <w:left w:w="93" w:type="dxa"/>
              <w:bottom w:w="0" w:type="dxa"/>
              <w:right w:w="93" w:type="dxa"/>
            </w:tcMar>
            <w:vAlign w:val="center"/>
          </w:tcPr>
          <w:p w:rsidR="0065130B" w:rsidRPr="00CA0AE3" w:rsidRDefault="0065130B" w:rsidP="0065130B">
            <w:pPr>
              <w:spacing w:after="0" w:line="240" w:lineRule="auto"/>
              <w:jc w:val="center"/>
              <w:rPr>
                <w:sz w:val="16"/>
                <w:szCs w:val="16"/>
              </w:rPr>
            </w:pPr>
          </w:p>
        </w:tc>
        <w:tc>
          <w:tcPr>
            <w:tcW w:w="1440" w:type="dxa"/>
            <w:vMerge/>
            <w:shd w:val="clear" w:color="auto" w:fill="auto"/>
            <w:tcMar>
              <w:top w:w="13" w:type="dxa"/>
              <w:left w:w="93" w:type="dxa"/>
              <w:bottom w:w="0" w:type="dxa"/>
              <w:right w:w="93" w:type="dxa"/>
            </w:tcMar>
            <w:vAlign w:val="center"/>
          </w:tcPr>
          <w:p w:rsidR="0065130B" w:rsidRPr="00CA0AE3" w:rsidRDefault="0065130B" w:rsidP="0065130B">
            <w:pPr>
              <w:spacing w:after="0" w:line="240" w:lineRule="auto"/>
              <w:jc w:val="center"/>
              <w:rPr>
                <w:bCs/>
                <w:sz w:val="16"/>
                <w:szCs w:val="16"/>
              </w:rPr>
            </w:pPr>
          </w:p>
        </w:tc>
        <w:tc>
          <w:tcPr>
            <w:tcW w:w="1170" w:type="dxa"/>
            <w:shd w:val="clear" w:color="auto" w:fill="auto"/>
            <w:tcMar>
              <w:top w:w="13" w:type="dxa"/>
              <w:left w:w="93" w:type="dxa"/>
              <w:bottom w:w="0" w:type="dxa"/>
              <w:right w:w="93" w:type="dxa"/>
            </w:tcMar>
            <w:vAlign w:val="center"/>
          </w:tcPr>
          <w:p w:rsidR="0065130B" w:rsidRPr="00CA0AE3" w:rsidRDefault="008D3CB4" w:rsidP="0065130B">
            <w:pPr>
              <w:spacing w:after="0" w:line="240" w:lineRule="auto"/>
              <w:jc w:val="center"/>
              <w:rPr>
                <w:sz w:val="16"/>
                <w:szCs w:val="16"/>
              </w:rPr>
            </w:pPr>
            <w:r w:rsidRPr="00CA0AE3">
              <w:rPr>
                <w:sz w:val="16"/>
                <w:szCs w:val="16"/>
              </w:rPr>
              <w:t>Gastroenterology</w:t>
            </w:r>
          </w:p>
        </w:tc>
        <w:tc>
          <w:tcPr>
            <w:tcW w:w="1260" w:type="dxa"/>
            <w:shd w:val="clear" w:color="auto" w:fill="auto"/>
            <w:tcMar>
              <w:top w:w="13" w:type="dxa"/>
              <w:left w:w="93" w:type="dxa"/>
              <w:bottom w:w="0" w:type="dxa"/>
              <w:right w:w="93" w:type="dxa"/>
            </w:tcMar>
            <w:vAlign w:val="center"/>
          </w:tcPr>
          <w:p w:rsidR="0065130B" w:rsidRPr="00CA0AE3" w:rsidRDefault="008D3CB4" w:rsidP="0065130B">
            <w:pPr>
              <w:spacing w:after="0" w:line="240" w:lineRule="auto"/>
              <w:jc w:val="center"/>
              <w:rPr>
                <w:sz w:val="16"/>
                <w:szCs w:val="16"/>
              </w:rPr>
            </w:pPr>
            <w:r w:rsidRPr="00CA0AE3">
              <w:rPr>
                <w:sz w:val="16"/>
                <w:szCs w:val="16"/>
              </w:rPr>
              <w:t>New Specialty 1</w:t>
            </w:r>
          </w:p>
        </w:tc>
        <w:tc>
          <w:tcPr>
            <w:tcW w:w="1260" w:type="dxa"/>
            <w:shd w:val="clear" w:color="auto" w:fill="auto"/>
            <w:tcMar>
              <w:top w:w="13" w:type="dxa"/>
              <w:left w:w="93" w:type="dxa"/>
              <w:bottom w:w="0" w:type="dxa"/>
              <w:right w:w="93" w:type="dxa"/>
            </w:tcMar>
            <w:vAlign w:val="center"/>
          </w:tcPr>
          <w:p w:rsidR="0065130B" w:rsidRPr="00CA0AE3" w:rsidRDefault="008D3CB4" w:rsidP="0065130B">
            <w:pPr>
              <w:spacing w:after="0" w:line="240" w:lineRule="auto"/>
              <w:jc w:val="center"/>
              <w:rPr>
                <w:sz w:val="16"/>
                <w:szCs w:val="16"/>
              </w:rPr>
            </w:pPr>
            <w:r w:rsidRPr="00CA0AE3">
              <w:rPr>
                <w:sz w:val="16"/>
                <w:szCs w:val="16"/>
              </w:rPr>
              <w:t>New Specialty 1</w:t>
            </w:r>
          </w:p>
        </w:tc>
        <w:tc>
          <w:tcPr>
            <w:tcW w:w="1260" w:type="dxa"/>
            <w:shd w:val="clear" w:color="auto" w:fill="auto"/>
            <w:tcMar>
              <w:top w:w="13" w:type="dxa"/>
              <w:left w:w="93" w:type="dxa"/>
              <w:bottom w:w="0" w:type="dxa"/>
              <w:right w:w="93" w:type="dxa"/>
            </w:tcMar>
            <w:vAlign w:val="center"/>
          </w:tcPr>
          <w:p w:rsidR="0065130B" w:rsidRPr="00CA0AE3" w:rsidRDefault="008D3CB4" w:rsidP="0065130B">
            <w:pPr>
              <w:spacing w:after="0" w:line="240" w:lineRule="auto"/>
              <w:jc w:val="center"/>
              <w:rPr>
                <w:sz w:val="16"/>
                <w:szCs w:val="16"/>
              </w:rPr>
            </w:pPr>
            <w:r w:rsidRPr="00CA0AE3">
              <w:rPr>
                <w:sz w:val="16"/>
                <w:szCs w:val="16"/>
              </w:rPr>
              <w:t>New Specialty 2</w:t>
            </w:r>
          </w:p>
        </w:tc>
        <w:tc>
          <w:tcPr>
            <w:tcW w:w="1260" w:type="dxa"/>
            <w:shd w:val="clear" w:color="auto" w:fill="auto"/>
            <w:tcMar>
              <w:top w:w="13" w:type="dxa"/>
              <w:left w:w="93" w:type="dxa"/>
              <w:bottom w:w="0" w:type="dxa"/>
              <w:right w:w="93" w:type="dxa"/>
            </w:tcMar>
            <w:vAlign w:val="center"/>
          </w:tcPr>
          <w:p w:rsidR="0065130B" w:rsidRPr="00CA0AE3" w:rsidRDefault="008D3CB4" w:rsidP="0065130B">
            <w:pPr>
              <w:spacing w:after="0" w:line="240" w:lineRule="auto"/>
              <w:jc w:val="center"/>
              <w:rPr>
                <w:sz w:val="16"/>
                <w:szCs w:val="16"/>
              </w:rPr>
            </w:pPr>
            <w:r w:rsidRPr="00CA0AE3">
              <w:rPr>
                <w:sz w:val="16"/>
                <w:szCs w:val="16"/>
              </w:rPr>
              <w:t>New Specialty 2</w:t>
            </w:r>
          </w:p>
        </w:tc>
        <w:tc>
          <w:tcPr>
            <w:tcW w:w="1266" w:type="dxa"/>
            <w:vMerge/>
            <w:vAlign w:val="center"/>
          </w:tcPr>
          <w:p w:rsidR="0065130B" w:rsidRPr="00CA0AE3" w:rsidRDefault="0065130B" w:rsidP="00B3615C">
            <w:pPr>
              <w:spacing w:after="0" w:line="240" w:lineRule="auto"/>
              <w:rPr>
                <w:sz w:val="16"/>
                <w:szCs w:val="16"/>
              </w:rPr>
            </w:pPr>
          </w:p>
        </w:tc>
      </w:tr>
      <w:tr w:rsidR="0065130B" w:rsidRPr="00CA0AE3" w:rsidTr="00C947DF">
        <w:trPr>
          <w:cantSplit/>
        </w:trPr>
        <w:tc>
          <w:tcPr>
            <w:tcW w:w="358" w:type="dxa"/>
            <w:vAlign w:val="center"/>
          </w:tcPr>
          <w:p w:rsidR="0065130B" w:rsidRPr="00CA0AE3" w:rsidRDefault="009B1F36" w:rsidP="009B1F36">
            <w:pPr>
              <w:spacing w:after="0" w:line="240" w:lineRule="auto"/>
              <w:jc w:val="center"/>
              <w:rPr>
                <w:sz w:val="16"/>
                <w:szCs w:val="16"/>
              </w:rPr>
            </w:pPr>
            <w:r w:rsidRPr="00CA0AE3">
              <w:rPr>
                <w:sz w:val="16"/>
                <w:szCs w:val="16"/>
              </w:rPr>
              <w:t>8</w:t>
            </w:r>
          </w:p>
        </w:tc>
        <w:tc>
          <w:tcPr>
            <w:tcW w:w="1529" w:type="dxa"/>
            <w:shd w:val="clear" w:color="auto" w:fill="auto"/>
            <w:tcMar>
              <w:top w:w="13" w:type="dxa"/>
              <w:left w:w="93" w:type="dxa"/>
              <w:bottom w:w="0" w:type="dxa"/>
              <w:right w:w="93" w:type="dxa"/>
            </w:tcMar>
            <w:vAlign w:val="center"/>
          </w:tcPr>
          <w:p w:rsidR="0065130B" w:rsidRPr="00CA0AE3" w:rsidRDefault="0065130B" w:rsidP="0065130B">
            <w:pPr>
              <w:spacing w:after="0" w:line="240" w:lineRule="auto"/>
              <w:rPr>
                <w:sz w:val="16"/>
                <w:szCs w:val="16"/>
              </w:rPr>
            </w:pPr>
            <w:r w:rsidRPr="00CA0AE3">
              <w:rPr>
                <w:bCs/>
                <w:sz w:val="16"/>
                <w:szCs w:val="16"/>
              </w:rPr>
              <w:t xml:space="preserve">Increase the # of E-Consults referrals made by public hospital primary care providers to defined public hospital specialists </w:t>
            </w:r>
          </w:p>
        </w:tc>
        <w:tc>
          <w:tcPr>
            <w:tcW w:w="1170" w:type="dxa"/>
            <w:shd w:val="clear" w:color="auto" w:fill="auto"/>
            <w:tcMar>
              <w:top w:w="13" w:type="dxa"/>
              <w:left w:w="93" w:type="dxa"/>
              <w:bottom w:w="0" w:type="dxa"/>
              <w:right w:w="93" w:type="dxa"/>
            </w:tcMar>
            <w:vAlign w:val="center"/>
          </w:tcPr>
          <w:p w:rsidR="0065130B" w:rsidRPr="00CA0AE3" w:rsidRDefault="0065130B" w:rsidP="0065130B">
            <w:pPr>
              <w:spacing w:after="0" w:line="240" w:lineRule="auto"/>
              <w:jc w:val="center"/>
              <w:rPr>
                <w:sz w:val="16"/>
                <w:szCs w:val="16"/>
              </w:rPr>
            </w:pPr>
            <w:r w:rsidRPr="00CA0AE3">
              <w:rPr>
                <w:sz w:val="16"/>
                <w:szCs w:val="16"/>
              </w:rPr>
              <w:t>Customized Measure</w:t>
            </w:r>
          </w:p>
        </w:tc>
        <w:tc>
          <w:tcPr>
            <w:tcW w:w="1260" w:type="dxa"/>
            <w:shd w:val="clear" w:color="auto" w:fill="auto"/>
            <w:tcMar>
              <w:top w:w="13" w:type="dxa"/>
              <w:left w:w="93" w:type="dxa"/>
              <w:bottom w:w="0" w:type="dxa"/>
              <w:right w:w="93" w:type="dxa"/>
            </w:tcMar>
            <w:vAlign w:val="center"/>
          </w:tcPr>
          <w:p w:rsidR="0065130B" w:rsidRPr="00CA0AE3" w:rsidRDefault="0065130B" w:rsidP="0065130B">
            <w:pPr>
              <w:spacing w:after="0" w:line="240" w:lineRule="auto"/>
              <w:jc w:val="center"/>
              <w:rPr>
                <w:sz w:val="16"/>
                <w:szCs w:val="16"/>
              </w:rPr>
            </w:pPr>
            <w:r w:rsidRPr="00CA0AE3">
              <w:rPr>
                <w:sz w:val="16"/>
                <w:szCs w:val="16"/>
              </w:rPr>
              <w:t>No external benchmark;</w:t>
            </w:r>
          </w:p>
          <w:p w:rsidR="0065130B" w:rsidRPr="00CA0AE3" w:rsidRDefault="0065130B" w:rsidP="0065130B">
            <w:pPr>
              <w:spacing w:after="0" w:line="240" w:lineRule="auto"/>
              <w:jc w:val="center"/>
              <w:rPr>
                <w:sz w:val="16"/>
                <w:szCs w:val="16"/>
              </w:rPr>
            </w:pPr>
            <w:r w:rsidRPr="00CA0AE3">
              <w:rPr>
                <w:sz w:val="16"/>
                <w:szCs w:val="16"/>
              </w:rPr>
              <w:t>hospital specific improvement over SFY 2018 baseline</w:t>
            </w:r>
          </w:p>
        </w:tc>
        <w:tc>
          <w:tcPr>
            <w:tcW w:w="1440" w:type="dxa"/>
            <w:shd w:val="clear" w:color="auto" w:fill="auto"/>
            <w:tcMar>
              <w:top w:w="13" w:type="dxa"/>
              <w:left w:w="93" w:type="dxa"/>
              <w:bottom w:w="0" w:type="dxa"/>
              <w:right w:w="93" w:type="dxa"/>
            </w:tcMar>
            <w:vAlign w:val="center"/>
          </w:tcPr>
          <w:p w:rsidR="0065130B" w:rsidRPr="00CA0AE3" w:rsidRDefault="0065130B" w:rsidP="0065130B">
            <w:pPr>
              <w:spacing w:after="0" w:line="240" w:lineRule="auto"/>
              <w:jc w:val="center"/>
              <w:rPr>
                <w:bCs/>
                <w:sz w:val="16"/>
                <w:szCs w:val="16"/>
              </w:rPr>
            </w:pPr>
            <w:r w:rsidRPr="00CA0AE3">
              <w:rPr>
                <w:bCs/>
                <w:sz w:val="16"/>
                <w:szCs w:val="16"/>
              </w:rPr>
              <w:t>Defined improvement over SFY 2018 baseline</w:t>
            </w:r>
          </w:p>
          <w:p w:rsidR="0065130B" w:rsidRPr="00CA0AE3" w:rsidRDefault="0065130B" w:rsidP="0065130B">
            <w:pPr>
              <w:spacing w:after="0" w:line="240" w:lineRule="auto"/>
              <w:jc w:val="center"/>
              <w:rPr>
                <w:bCs/>
                <w:sz w:val="16"/>
                <w:szCs w:val="16"/>
              </w:rPr>
            </w:pPr>
          </w:p>
        </w:tc>
        <w:tc>
          <w:tcPr>
            <w:tcW w:w="1170" w:type="dxa"/>
            <w:shd w:val="clear" w:color="auto" w:fill="auto"/>
            <w:tcMar>
              <w:top w:w="13" w:type="dxa"/>
              <w:left w:w="93" w:type="dxa"/>
              <w:bottom w:w="0" w:type="dxa"/>
              <w:right w:w="93" w:type="dxa"/>
            </w:tcMar>
            <w:vAlign w:val="center"/>
          </w:tcPr>
          <w:p w:rsidR="0065130B" w:rsidRPr="00CA0AE3" w:rsidRDefault="0065130B" w:rsidP="0065130B">
            <w:pPr>
              <w:spacing w:after="0" w:line="240" w:lineRule="auto"/>
              <w:jc w:val="center"/>
              <w:rPr>
                <w:b/>
                <w:sz w:val="16"/>
                <w:szCs w:val="16"/>
              </w:rPr>
            </w:pPr>
            <w:r w:rsidRPr="00CA0AE3">
              <w:rPr>
                <w:b/>
                <w:sz w:val="16"/>
                <w:szCs w:val="16"/>
              </w:rPr>
              <w:t>B</w:t>
            </w:r>
          </w:p>
          <w:p w:rsidR="0065130B" w:rsidRPr="00CA0AE3" w:rsidRDefault="008D3CB4" w:rsidP="0065130B">
            <w:pPr>
              <w:spacing w:after="0" w:line="240" w:lineRule="auto"/>
              <w:jc w:val="center"/>
              <w:rPr>
                <w:sz w:val="16"/>
                <w:szCs w:val="16"/>
              </w:rPr>
            </w:pPr>
            <w:r w:rsidRPr="00CA0AE3">
              <w:rPr>
                <w:sz w:val="16"/>
                <w:szCs w:val="16"/>
              </w:rPr>
              <w:t>(4/1/17 -3/31/18)</w:t>
            </w:r>
          </w:p>
        </w:tc>
        <w:tc>
          <w:tcPr>
            <w:tcW w:w="1260" w:type="dxa"/>
            <w:shd w:val="clear" w:color="auto" w:fill="auto"/>
            <w:tcMar>
              <w:top w:w="13" w:type="dxa"/>
              <w:left w:w="93" w:type="dxa"/>
              <w:bottom w:w="0" w:type="dxa"/>
              <w:right w:w="93" w:type="dxa"/>
            </w:tcMar>
          </w:tcPr>
          <w:p w:rsidR="0065130B" w:rsidRPr="00CA0AE3" w:rsidRDefault="0065130B" w:rsidP="0065130B">
            <w:pPr>
              <w:spacing w:after="0" w:line="240" w:lineRule="auto"/>
              <w:jc w:val="center"/>
              <w:rPr>
                <w:b/>
                <w:sz w:val="16"/>
                <w:szCs w:val="16"/>
              </w:rPr>
            </w:pPr>
            <w:r w:rsidRPr="00CA0AE3">
              <w:rPr>
                <w:b/>
                <w:sz w:val="16"/>
                <w:szCs w:val="16"/>
              </w:rPr>
              <w:t>O</w:t>
            </w:r>
          </w:p>
          <w:p w:rsidR="0065130B" w:rsidRPr="00CA0AE3" w:rsidRDefault="008D3CB4" w:rsidP="0065130B">
            <w:pPr>
              <w:spacing w:after="0" w:line="240" w:lineRule="auto"/>
              <w:jc w:val="center"/>
              <w:rPr>
                <w:sz w:val="16"/>
                <w:szCs w:val="16"/>
              </w:rPr>
            </w:pPr>
            <w:r w:rsidRPr="00CA0AE3">
              <w:rPr>
                <w:sz w:val="16"/>
                <w:szCs w:val="16"/>
              </w:rPr>
              <w:t>10% improvement over SFY18 baseline</w:t>
            </w:r>
          </w:p>
          <w:p w:rsidR="00BF57AC" w:rsidRPr="00CA0AE3" w:rsidRDefault="008D3CB4">
            <w:pPr>
              <w:spacing w:after="0" w:line="240" w:lineRule="auto"/>
              <w:jc w:val="center"/>
              <w:rPr>
                <w:b/>
                <w:sz w:val="16"/>
                <w:szCs w:val="16"/>
              </w:rPr>
            </w:pPr>
            <w:r w:rsidRPr="00CA0AE3">
              <w:rPr>
                <w:sz w:val="16"/>
                <w:szCs w:val="16"/>
              </w:rPr>
              <w:t>(4/1/18 -3/31/19)</w:t>
            </w:r>
          </w:p>
        </w:tc>
        <w:tc>
          <w:tcPr>
            <w:tcW w:w="1260" w:type="dxa"/>
            <w:shd w:val="clear" w:color="auto" w:fill="auto"/>
            <w:tcMar>
              <w:top w:w="13" w:type="dxa"/>
              <w:left w:w="93" w:type="dxa"/>
              <w:bottom w:w="0" w:type="dxa"/>
              <w:right w:w="93" w:type="dxa"/>
            </w:tcMar>
          </w:tcPr>
          <w:p w:rsidR="0065130B" w:rsidRPr="00CA0AE3" w:rsidRDefault="0065130B" w:rsidP="0065130B">
            <w:pPr>
              <w:spacing w:after="0" w:line="240" w:lineRule="auto"/>
              <w:jc w:val="center"/>
              <w:rPr>
                <w:b/>
                <w:sz w:val="16"/>
                <w:szCs w:val="16"/>
              </w:rPr>
            </w:pPr>
            <w:r w:rsidRPr="00CA0AE3">
              <w:rPr>
                <w:b/>
                <w:sz w:val="16"/>
                <w:szCs w:val="16"/>
              </w:rPr>
              <w:t>O</w:t>
            </w:r>
          </w:p>
          <w:p w:rsidR="0065130B" w:rsidRPr="00CA0AE3" w:rsidRDefault="008D3CB4" w:rsidP="0065130B">
            <w:pPr>
              <w:spacing w:after="0" w:line="240" w:lineRule="auto"/>
              <w:jc w:val="center"/>
              <w:rPr>
                <w:sz w:val="16"/>
                <w:szCs w:val="16"/>
              </w:rPr>
            </w:pPr>
            <w:r w:rsidRPr="00CA0AE3">
              <w:rPr>
                <w:sz w:val="16"/>
                <w:szCs w:val="16"/>
              </w:rPr>
              <w:t>20% improvement over SFY18 baseline</w:t>
            </w:r>
          </w:p>
          <w:p w:rsidR="0065130B" w:rsidRPr="00CA0AE3" w:rsidRDefault="008D3CB4" w:rsidP="0065130B">
            <w:pPr>
              <w:spacing w:after="0" w:line="240" w:lineRule="auto"/>
              <w:jc w:val="center"/>
              <w:rPr>
                <w:b/>
                <w:sz w:val="16"/>
                <w:szCs w:val="16"/>
              </w:rPr>
            </w:pPr>
            <w:r w:rsidRPr="00CA0AE3">
              <w:rPr>
                <w:sz w:val="16"/>
                <w:szCs w:val="16"/>
              </w:rPr>
              <w:t>(4/1/19 -3/31/20)</w:t>
            </w:r>
          </w:p>
        </w:tc>
        <w:tc>
          <w:tcPr>
            <w:tcW w:w="1260" w:type="dxa"/>
            <w:shd w:val="clear" w:color="auto" w:fill="auto"/>
            <w:tcMar>
              <w:top w:w="13" w:type="dxa"/>
              <w:left w:w="93" w:type="dxa"/>
              <w:bottom w:w="0" w:type="dxa"/>
              <w:right w:w="93" w:type="dxa"/>
            </w:tcMar>
          </w:tcPr>
          <w:p w:rsidR="0065130B" w:rsidRPr="00CA0AE3" w:rsidRDefault="0065130B" w:rsidP="0065130B">
            <w:pPr>
              <w:spacing w:after="0" w:line="240" w:lineRule="auto"/>
              <w:jc w:val="center"/>
              <w:rPr>
                <w:b/>
                <w:sz w:val="16"/>
                <w:szCs w:val="16"/>
              </w:rPr>
            </w:pPr>
            <w:r w:rsidRPr="00CA0AE3">
              <w:rPr>
                <w:b/>
                <w:sz w:val="16"/>
                <w:szCs w:val="16"/>
              </w:rPr>
              <w:t>O</w:t>
            </w:r>
          </w:p>
          <w:p w:rsidR="0065130B" w:rsidRPr="00CA0AE3" w:rsidRDefault="008D3CB4" w:rsidP="0065130B">
            <w:pPr>
              <w:spacing w:after="0" w:line="240" w:lineRule="auto"/>
              <w:jc w:val="center"/>
              <w:rPr>
                <w:sz w:val="16"/>
                <w:szCs w:val="16"/>
              </w:rPr>
            </w:pPr>
            <w:r w:rsidRPr="00CA0AE3">
              <w:rPr>
                <w:sz w:val="16"/>
                <w:szCs w:val="16"/>
              </w:rPr>
              <w:t>30% improvement over SFY18 baseline</w:t>
            </w:r>
          </w:p>
          <w:p w:rsidR="00BF57AC" w:rsidRPr="00CA0AE3" w:rsidRDefault="008D3CB4">
            <w:pPr>
              <w:spacing w:after="0" w:line="240" w:lineRule="auto"/>
              <w:jc w:val="center"/>
              <w:rPr>
                <w:b/>
                <w:sz w:val="16"/>
                <w:szCs w:val="16"/>
              </w:rPr>
            </w:pPr>
            <w:r w:rsidRPr="00CA0AE3">
              <w:rPr>
                <w:sz w:val="16"/>
                <w:szCs w:val="16"/>
              </w:rPr>
              <w:t>(4/1/20 -3/31/21)</w:t>
            </w:r>
          </w:p>
        </w:tc>
        <w:tc>
          <w:tcPr>
            <w:tcW w:w="1260" w:type="dxa"/>
            <w:shd w:val="clear" w:color="auto" w:fill="auto"/>
            <w:tcMar>
              <w:top w:w="13" w:type="dxa"/>
              <w:left w:w="93" w:type="dxa"/>
              <w:bottom w:w="0" w:type="dxa"/>
              <w:right w:w="93" w:type="dxa"/>
            </w:tcMar>
          </w:tcPr>
          <w:p w:rsidR="0065130B" w:rsidRPr="00CA0AE3" w:rsidRDefault="0065130B" w:rsidP="0065130B">
            <w:pPr>
              <w:spacing w:after="0" w:line="240" w:lineRule="auto"/>
              <w:jc w:val="center"/>
              <w:rPr>
                <w:b/>
                <w:sz w:val="16"/>
                <w:szCs w:val="16"/>
              </w:rPr>
            </w:pPr>
            <w:r w:rsidRPr="00CA0AE3">
              <w:rPr>
                <w:b/>
                <w:sz w:val="16"/>
                <w:szCs w:val="16"/>
              </w:rPr>
              <w:t>O</w:t>
            </w:r>
          </w:p>
          <w:p w:rsidR="0065130B" w:rsidRPr="00CA0AE3" w:rsidRDefault="008D3CB4" w:rsidP="0065130B">
            <w:pPr>
              <w:spacing w:after="0" w:line="240" w:lineRule="auto"/>
              <w:jc w:val="center"/>
              <w:rPr>
                <w:sz w:val="16"/>
                <w:szCs w:val="16"/>
              </w:rPr>
            </w:pPr>
            <w:r w:rsidRPr="00CA0AE3">
              <w:rPr>
                <w:sz w:val="16"/>
                <w:szCs w:val="16"/>
              </w:rPr>
              <w:t>40% improvement over SFY18 baseline</w:t>
            </w:r>
          </w:p>
          <w:p w:rsidR="0065130B" w:rsidRPr="00CA0AE3" w:rsidRDefault="008D3CB4" w:rsidP="0065130B">
            <w:pPr>
              <w:spacing w:after="0" w:line="240" w:lineRule="auto"/>
              <w:jc w:val="center"/>
              <w:rPr>
                <w:b/>
                <w:sz w:val="16"/>
                <w:szCs w:val="16"/>
              </w:rPr>
            </w:pPr>
            <w:r w:rsidRPr="00CA0AE3">
              <w:rPr>
                <w:sz w:val="16"/>
                <w:szCs w:val="16"/>
              </w:rPr>
              <w:t>(4/1/21 - 3/31/22)</w:t>
            </w:r>
          </w:p>
        </w:tc>
        <w:tc>
          <w:tcPr>
            <w:tcW w:w="1266" w:type="dxa"/>
            <w:vAlign w:val="center"/>
          </w:tcPr>
          <w:p w:rsidR="0065130B" w:rsidRPr="00CA0AE3" w:rsidRDefault="0065130B" w:rsidP="00B3615C">
            <w:pPr>
              <w:spacing w:after="0" w:line="240" w:lineRule="auto"/>
              <w:rPr>
                <w:rFonts w:eastAsia="Times New Roman"/>
                <w:sz w:val="16"/>
                <w:szCs w:val="16"/>
              </w:rPr>
            </w:pPr>
            <w:r w:rsidRPr="00CA0AE3">
              <w:rPr>
                <w:rFonts w:eastAsia="Times New Roman"/>
                <w:sz w:val="16"/>
                <w:szCs w:val="16"/>
              </w:rPr>
              <w:t>Increased access for consultative services to facilitate care and access for patients to critical specialties</w:t>
            </w:r>
          </w:p>
        </w:tc>
      </w:tr>
      <w:tr w:rsidR="0065130B" w:rsidRPr="00CA0AE3" w:rsidTr="00C947DF">
        <w:trPr>
          <w:cantSplit/>
        </w:trPr>
        <w:tc>
          <w:tcPr>
            <w:tcW w:w="358" w:type="dxa"/>
            <w:vAlign w:val="center"/>
          </w:tcPr>
          <w:p w:rsidR="0065130B" w:rsidRPr="00CA0AE3" w:rsidRDefault="009B1F36" w:rsidP="009B1F36">
            <w:pPr>
              <w:spacing w:after="0" w:line="240" w:lineRule="auto"/>
              <w:jc w:val="center"/>
              <w:rPr>
                <w:sz w:val="16"/>
                <w:szCs w:val="16"/>
              </w:rPr>
            </w:pPr>
            <w:r w:rsidRPr="00CA0AE3">
              <w:rPr>
                <w:sz w:val="16"/>
                <w:szCs w:val="16"/>
              </w:rPr>
              <w:t>9</w:t>
            </w:r>
          </w:p>
        </w:tc>
        <w:tc>
          <w:tcPr>
            <w:tcW w:w="1529" w:type="dxa"/>
            <w:shd w:val="clear" w:color="auto" w:fill="auto"/>
            <w:tcMar>
              <w:top w:w="13" w:type="dxa"/>
              <w:left w:w="93" w:type="dxa"/>
              <w:bottom w:w="0" w:type="dxa"/>
              <w:right w:w="93" w:type="dxa"/>
            </w:tcMar>
            <w:vAlign w:val="center"/>
          </w:tcPr>
          <w:p w:rsidR="0065130B" w:rsidRPr="00CA0AE3" w:rsidRDefault="0065130B" w:rsidP="0065130B">
            <w:pPr>
              <w:spacing w:after="0" w:line="240" w:lineRule="auto"/>
              <w:rPr>
                <w:sz w:val="16"/>
                <w:szCs w:val="16"/>
              </w:rPr>
            </w:pPr>
            <w:r w:rsidRPr="00CA0AE3">
              <w:rPr>
                <w:sz w:val="16"/>
                <w:szCs w:val="16"/>
              </w:rPr>
              <w:t>Demonstrate improvement in colorectal cancer screening rates (for active pubic hospital primary care patients)</w:t>
            </w:r>
          </w:p>
        </w:tc>
        <w:tc>
          <w:tcPr>
            <w:tcW w:w="1170" w:type="dxa"/>
            <w:shd w:val="clear" w:color="auto" w:fill="auto"/>
            <w:tcMar>
              <w:top w:w="13" w:type="dxa"/>
              <w:left w:w="93" w:type="dxa"/>
              <w:bottom w:w="0" w:type="dxa"/>
              <w:right w:w="93" w:type="dxa"/>
            </w:tcMar>
            <w:vAlign w:val="center"/>
          </w:tcPr>
          <w:p w:rsidR="0065130B" w:rsidRPr="00CA0AE3" w:rsidRDefault="0065130B" w:rsidP="0065130B">
            <w:pPr>
              <w:spacing w:after="0" w:line="240" w:lineRule="auto"/>
              <w:jc w:val="center"/>
              <w:rPr>
                <w:sz w:val="16"/>
                <w:szCs w:val="16"/>
              </w:rPr>
            </w:pPr>
            <w:r w:rsidRPr="00CA0AE3">
              <w:rPr>
                <w:sz w:val="16"/>
                <w:szCs w:val="16"/>
              </w:rPr>
              <w:t>NQF 0034</w:t>
            </w:r>
          </w:p>
        </w:tc>
        <w:tc>
          <w:tcPr>
            <w:tcW w:w="1260" w:type="dxa"/>
            <w:shd w:val="clear" w:color="auto" w:fill="auto"/>
            <w:tcMar>
              <w:top w:w="13" w:type="dxa"/>
              <w:left w:w="93" w:type="dxa"/>
              <w:bottom w:w="0" w:type="dxa"/>
              <w:right w:w="93" w:type="dxa"/>
            </w:tcMar>
            <w:vAlign w:val="center"/>
          </w:tcPr>
          <w:p w:rsidR="0065130B" w:rsidRPr="00CA0AE3" w:rsidRDefault="0065130B" w:rsidP="0065130B">
            <w:pPr>
              <w:pStyle w:val="Default"/>
              <w:jc w:val="center"/>
              <w:rPr>
                <w:color w:val="auto"/>
                <w:sz w:val="16"/>
                <w:szCs w:val="16"/>
              </w:rPr>
            </w:pPr>
            <w:r w:rsidRPr="00CA0AE3">
              <w:rPr>
                <w:color w:val="auto"/>
                <w:sz w:val="16"/>
                <w:szCs w:val="16"/>
              </w:rPr>
              <w:t xml:space="preserve">National (HEDIS) Commercial 2014 90th percentile = 72% </w:t>
            </w:r>
          </w:p>
          <w:p w:rsidR="0065130B" w:rsidRPr="00CA0AE3" w:rsidRDefault="0065130B" w:rsidP="0065130B">
            <w:pPr>
              <w:spacing w:after="0" w:line="240" w:lineRule="auto"/>
              <w:jc w:val="center"/>
              <w:rPr>
                <w:sz w:val="16"/>
                <w:szCs w:val="16"/>
              </w:rPr>
            </w:pPr>
          </w:p>
        </w:tc>
        <w:tc>
          <w:tcPr>
            <w:tcW w:w="1440" w:type="dxa"/>
            <w:shd w:val="clear" w:color="auto" w:fill="auto"/>
            <w:tcMar>
              <w:top w:w="13" w:type="dxa"/>
              <w:left w:w="93" w:type="dxa"/>
              <w:bottom w:w="0" w:type="dxa"/>
              <w:right w:w="93" w:type="dxa"/>
            </w:tcMar>
            <w:vAlign w:val="center"/>
          </w:tcPr>
          <w:p w:rsidR="0065130B" w:rsidRPr="00CA0AE3" w:rsidRDefault="0065130B" w:rsidP="0065130B">
            <w:pPr>
              <w:spacing w:after="0" w:line="240" w:lineRule="auto"/>
              <w:jc w:val="center"/>
              <w:rPr>
                <w:bCs/>
                <w:sz w:val="16"/>
                <w:szCs w:val="16"/>
              </w:rPr>
            </w:pPr>
            <w:r w:rsidRPr="00CA0AE3">
              <w:rPr>
                <w:bCs/>
                <w:sz w:val="16"/>
                <w:szCs w:val="16"/>
              </w:rPr>
              <w:t>Gap to Goal (10%) or attainment at target</w:t>
            </w:r>
          </w:p>
          <w:p w:rsidR="0065130B" w:rsidRPr="00CA0AE3" w:rsidRDefault="0065130B" w:rsidP="0065130B">
            <w:pPr>
              <w:spacing w:after="0" w:line="240" w:lineRule="auto"/>
              <w:jc w:val="center"/>
              <w:rPr>
                <w:bCs/>
                <w:sz w:val="16"/>
                <w:szCs w:val="16"/>
              </w:rPr>
            </w:pPr>
          </w:p>
        </w:tc>
        <w:tc>
          <w:tcPr>
            <w:tcW w:w="1170" w:type="dxa"/>
            <w:shd w:val="clear" w:color="auto" w:fill="auto"/>
            <w:tcMar>
              <w:top w:w="13" w:type="dxa"/>
              <w:left w:w="93" w:type="dxa"/>
              <w:bottom w:w="0" w:type="dxa"/>
              <w:right w:w="93" w:type="dxa"/>
            </w:tcMar>
            <w:vAlign w:val="center"/>
          </w:tcPr>
          <w:p w:rsidR="0065130B" w:rsidRPr="00CA0AE3" w:rsidRDefault="0065130B" w:rsidP="0065130B">
            <w:pPr>
              <w:spacing w:after="0" w:line="240" w:lineRule="auto"/>
              <w:jc w:val="center"/>
              <w:rPr>
                <w:b/>
                <w:sz w:val="16"/>
                <w:szCs w:val="16"/>
              </w:rPr>
            </w:pPr>
            <w:r w:rsidRPr="00CA0AE3">
              <w:rPr>
                <w:b/>
                <w:sz w:val="16"/>
                <w:szCs w:val="16"/>
              </w:rPr>
              <w:t>O</w:t>
            </w:r>
          </w:p>
        </w:tc>
        <w:tc>
          <w:tcPr>
            <w:tcW w:w="1260" w:type="dxa"/>
            <w:shd w:val="clear" w:color="auto" w:fill="auto"/>
            <w:tcMar>
              <w:top w:w="13" w:type="dxa"/>
              <w:left w:w="93" w:type="dxa"/>
              <w:bottom w:w="0" w:type="dxa"/>
              <w:right w:w="93" w:type="dxa"/>
            </w:tcMar>
            <w:vAlign w:val="center"/>
          </w:tcPr>
          <w:p w:rsidR="0065130B" w:rsidRPr="00CA0AE3" w:rsidRDefault="0065130B" w:rsidP="0065130B">
            <w:pPr>
              <w:spacing w:after="0" w:line="240" w:lineRule="auto"/>
              <w:jc w:val="center"/>
              <w:rPr>
                <w:b/>
                <w:sz w:val="16"/>
                <w:szCs w:val="16"/>
              </w:rPr>
            </w:pPr>
            <w:r w:rsidRPr="00CA0AE3">
              <w:rPr>
                <w:b/>
                <w:sz w:val="16"/>
                <w:szCs w:val="16"/>
              </w:rPr>
              <w:t>O</w:t>
            </w:r>
          </w:p>
        </w:tc>
        <w:tc>
          <w:tcPr>
            <w:tcW w:w="1260" w:type="dxa"/>
            <w:shd w:val="clear" w:color="auto" w:fill="auto"/>
            <w:tcMar>
              <w:top w:w="13" w:type="dxa"/>
              <w:left w:w="93" w:type="dxa"/>
              <w:bottom w:w="0" w:type="dxa"/>
              <w:right w:w="93" w:type="dxa"/>
            </w:tcMar>
            <w:vAlign w:val="center"/>
          </w:tcPr>
          <w:p w:rsidR="0065130B" w:rsidRPr="00CA0AE3" w:rsidRDefault="0065130B" w:rsidP="0065130B">
            <w:pPr>
              <w:spacing w:after="0" w:line="240" w:lineRule="auto"/>
              <w:jc w:val="center"/>
              <w:rPr>
                <w:b/>
                <w:sz w:val="16"/>
                <w:szCs w:val="16"/>
              </w:rPr>
            </w:pPr>
            <w:r w:rsidRPr="00CA0AE3">
              <w:rPr>
                <w:b/>
                <w:sz w:val="16"/>
                <w:szCs w:val="16"/>
              </w:rPr>
              <w:t>O</w:t>
            </w:r>
          </w:p>
        </w:tc>
        <w:tc>
          <w:tcPr>
            <w:tcW w:w="1260" w:type="dxa"/>
            <w:shd w:val="clear" w:color="auto" w:fill="auto"/>
            <w:tcMar>
              <w:top w:w="13" w:type="dxa"/>
              <w:left w:w="93" w:type="dxa"/>
              <w:bottom w:w="0" w:type="dxa"/>
              <w:right w:w="93" w:type="dxa"/>
            </w:tcMar>
            <w:vAlign w:val="center"/>
          </w:tcPr>
          <w:p w:rsidR="0065130B" w:rsidRPr="00CA0AE3" w:rsidRDefault="0065130B" w:rsidP="0065130B">
            <w:pPr>
              <w:spacing w:after="0" w:line="240" w:lineRule="auto"/>
              <w:jc w:val="center"/>
              <w:rPr>
                <w:b/>
                <w:sz w:val="16"/>
                <w:szCs w:val="16"/>
              </w:rPr>
            </w:pPr>
            <w:r w:rsidRPr="00CA0AE3">
              <w:rPr>
                <w:b/>
                <w:sz w:val="16"/>
                <w:szCs w:val="16"/>
              </w:rPr>
              <w:t>O</w:t>
            </w:r>
          </w:p>
        </w:tc>
        <w:tc>
          <w:tcPr>
            <w:tcW w:w="1260" w:type="dxa"/>
            <w:shd w:val="clear" w:color="auto" w:fill="auto"/>
            <w:tcMar>
              <w:top w:w="13" w:type="dxa"/>
              <w:left w:w="93" w:type="dxa"/>
              <w:bottom w:w="0" w:type="dxa"/>
              <w:right w:w="93" w:type="dxa"/>
            </w:tcMar>
            <w:vAlign w:val="center"/>
          </w:tcPr>
          <w:p w:rsidR="0065130B" w:rsidRPr="00CA0AE3" w:rsidRDefault="0065130B" w:rsidP="0065130B">
            <w:pPr>
              <w:spacing w:after="0" w:line="240" w:lineRule="auto"/>
              <w:jc w:val="center"/>
              <w:rPr>
                <w:b/>
                <w:sz w:val="16"/>
                <w:szCs w:val="16"/>
              </w:rPr>
            </w:pPr>
            <w:r w:rsidRPr="00CA0AE3">
              <w:rPr>
                <w:b/>
                <w:sz w:val="16"/>
                <w:szCs w:val="16"/>
              </w:rPr>
              <w:t>O</w:t>
            </w:r>
          </w:p>
        </w:tc>
        <w:tc>
          <w:tcPr>
            <w:tcW w:w="1266" w:type="dxa"/>
            <w:vAlign w:val="center"/>
          </w:tcPr>
          <w:p w:rsidR="0065130B" w:rsidRPr="00CA0AE3" w:rsidRDefault="0065130B" w:rsidP="00B3615C">
            <w:pPr>
              <w:spacing w:after="0" w:line="240" w:lineRule="auto"/>
              <w:rPr>
                <w:rFonts w:eastAsia="Times New Roman"/>
                <w:sz w:val="16"/>
                <w:szCs w:val="16"/>
              </w:rPr>
            </w:pPr>
          </w:p>
        </w:tc>
      </w:tr>
      <w:tr w:rsidR="0065130B" w:rsidRPr="00CA0AE3" w:rsidTr="00C947DF">
        <w:trPr>
          <w:cantSplit/>
        </w:trPr>
        <w:tc>
          <w:tcPr>
            <w:tcW w:w="358" w:type="dxa"/>
            <w:vAlign w:val="center"/>
          </w:tcPr>
          <w:p w:rsidR="0065130B" w:rsidRPr="00CA0AE3" w:rsidRDefault="0065130B" w:rsidP="009B1F36">
            <w:pPr>
              <w:spacing w:after="0" w:line="240" w:lineRule="auto"/>
              <w:jc w:val="center"/>
              <w:rPr>
                <w:sz w:val="16"/>
                <w:szCs w:val="16"/>
              </w:rPr>
            </w:pPr>
            <w:r w:rsidRPr="00CA0AE3">
              <w:rPr>
                <w:sz w:val="16"/>
                <w:szCs w:val="16"/>
              </w:rPr>
              <w:lastRenderedPageBreak/>
              <w:t>1</w:t>
            </w:r>
            <w:r w:rsidR="009B1F36" w:rsidRPr="00CA0AE3">
              <w:rPr>
                <w:sz w:val="16"/>
                <w:szCs w:val="16"/>
              </w:rPr>
              <w:t>0</w:t>
            </w:r>
          </w:p>
        </w:tc>
        <w:tc>
          <w:tcPr>
            <w:tcW w:w="1529" w:type="dxa"/>
            <w:shd w:val="clear" w:color="auto" w:fill="auto"/>
            <w:tcMar>
              <w:top w:w="13" w:type="dxa"/>
              <w:left w:w="93" w:type="dxa"/>
              <w:bottom w:w="0" w:type="dxa"/>
              <w:right w:w="93" w:type="dxa"/>
            </w:tcMar>
            <w:vAlign w:val="center"/>
          </w:tcPr>
          <w:p w:rsidR="0065130B" w:rsidRPr="00CA0AE3" w:rsidRDefault="0065130B" w:rsidP="0065130B">
            <w:pPr>
              <w:spacing w:after="0" w:line="240" w:lineRule="auto"/>
              <w:rPr>
                <w:sz w:val="16"/>
                <w:szCs w:val="16"/>
              </w:rPr>
            </w:pPr>
            <w:r w:rsidRPr="00CA0AE3">
              <w:rPr>
                <w:sz w:val="16"/>
                <w:szCs w:val="16"/>
              </w:rPr>
              <w:t>Improvement in inpatient discharge referral rate to in-network skilled nursing facilities for Medical/Surgical inpatients discharged from the public hospital system</w:t>
            </w:r>
          </w:p>
        </w:tc>
        <w:tc>
          <w:tcPr>
            <w:tcW w:w="1170" w:type="dxa"/>
            <w:shd w:val="clear" w:color="auto" w:fill="auto"/>
            <w:tcMar>
              <w:top w:w="13" w:type="dxa"/>
              <w:left w:w="93" w:type="dxa"/>
              <w:bottom w:w="0" w:type="dxa"/>
              <w:right w:w="93" w:type="dxa"/>
            </w:tcMar>
            <w:vAlign w:val="center"/>
          </w:tcPr>
          <w:p w:rsidR="0065130B" w:rsidRPr="00CA0AE3" w:rsidRDefault="0065130B" w:rsidP="0065130B">
            <w:pPr>
              <w:spacing w:after="0" w:line="240" w:lineRule="auto"/>
              <w:jc w:val="center"/>
              <w:rPr>
                <w:rFonts w:eastAsia="Times New Roman"/>
                <w:sz w:val="16"/>
                <w:szCs w:val="16"/>
              </w:rPr>
            </w:pPr>
            <w:r w:rsidRPr="00CA0AE3">
              <w:rPr>
                <w:rFonts w:eastAsia="Times New Roman"/>
                <w:sz w:val="16"/>
                <w:szCs w:val="16"/>
              </w:rPr>
              <w:t>Numerator: Discharges to In- Network SNFs</w:t>
            </w:r>
          </w:p>
          <w:p w:rsidR="0065130B" w:rsidRPr="00CA0AE3" w:rsidRDefault="0065130B" w:rsidP="0065130B">
            <w:pPr>
              <w:spacing w:after="0" w:line="240" w:lineRule="auto"/>
              <w:jc w:val="center"/>
              <w:rPr>
                <w:rFonts w:eastAsia="Times New Roman"/>
                <w:sz w:val="16"/>
                <w:szCs w:val="16"/>
              </w:rPr>
            </w:pPr>
            <w:r w:rsidRPr="00CA0AE3">
              <w:rPr>
                <w:rFonts w:eastAsia="Times New Roman"/>
                <w:sz w:val="16"/>
                <w:szCs w:val="16"/>
              </w:rPr>
              <w:t>Denominator: Medical/</w:t>
            </w:r>
          </w:p>
          <w:p w:rsidR="0065130B" w:rsidRPr="00CA0AE3" w:rsidRDefault="0065130B" w:rsidP="0065130B">
            <w:pPr>
              <w:spacing w:after="0" w:line="240" w:lineRule="auto"/>
              <w:jc w:val="center"/>
              <w:rPr>
                <w:sz w:val="16"/>
                <w:szCs w:val="16"/>
              </w:rPr>
            </w:pPr>
            <w:r w:rsidRPr="00CA0AE3">
              <w:rPr>
                <w:rFonts w:eastAsia="Times New Roman"/>
                <w:sz w:val="16"/>
                <w:szCs w:val="16"/>
              </w:rPr>
              <w:t>Surgical Inpatient Discharges from the Public Hospital System to all SNFs</w:t>
            </w:r>
            <w:r w:rsidRPr="00CA0AE3">
              <w:rPr>
                <w:rStyle w:val="FootnoteReference"/>
                <w:rFonts w:eastAsia="Times New Roman"/>
                <w:sz w:val="16"/>
                <w:szCs w:val="16"/>
              </w:rPr>
              <w:footnoteReference w:id="90"/>
            </w:r>
          </w:p>
        </w:tc>
        <w:tc>
          <w:tcPr>
            <w:tcW w:w="1260" w:type="dxa"/>
            <w:shd w:val="clear" w:color="auto" w:fill="auto"/>
            <w:tcMar>
              <w:top w:w="13" w:type="dxa"/>
              <w:left w:w="93" w:type="dxa"/>
              <w:bottom w:w="0" w:type="dxa"/>
              <w:right w:w="93" w:type="dxa"/>
            </w:tcMar>
            <w:vAlign w:val="center"/>
          </w:tcPr>
          <w:p w:rsidR="0065130B" w:rsidRPr="00CA0AE3" w:rsidRDefault="0065130B" w:rsidP="0065130B">
            <w:pPr>
              <w:spacing w:after="0" w:line="240" w:lineRule="auto"/>
              <w:jc w:val="center"/>
              <w:rPr>
                <w:sz w:val="16"/>
                <w:szCs w:val="16"/>
              </w:rPr>
            </w:pPr>
            <w:r w:rsidRPr="00CA0AE3">
              <w:rPr>
                <w:sz w:val="16"/>
                <w:szCs w:val="16"/>
              </w:rPr>
              <w:t>No external benchmark;</w:t>
            </w:r>
          </w:p>
          <w:p w:rsidR="0065130B" w:rsidRPr="00CA0AE3" w:rsidRDefault="0065130B" w:rsidP="0065130B">
            <w:pPr>
              <w:spacing w:after="0" w:line="240" w:lineRule="auto"/>
              <w:jc w:val="center"/>
              <w:rPr>
                <w:sz w:val="16"/>
                <w:szCs w:val="16"/>
              </w:rPr>
            </w:pPr>
            <w:r w:rsidRPr="00CA0AE3">
              <w:rPr>
                <w:sz w:val="16"/>
                <w:szCs w:val="16"/>
              </w:rPr>
              <w:t>hospital specific improvement</w:t>
            </w:r>
          </w:p>
          <w:p w:rsidR="0065130B" w:rsidRPr="00CA0AE3" w:rsidRDefault="0065130B" w:rsidP="0065130B">
            <w:pPr>
              <w:spacing w:after="0" w:line="240" w:lineRule="auto"/>
              <w:jc w:val="center"/>
              <w:rPr>
                <w:sz w:val="16"/>
                <w:szCs w:val="16"/>
              </w:rPr>
            </w:pPr>
            <w:r w:rsidRPr="00CA0AE3">
              <w:rPr>
                <w:bCs/>
                <w:sz w:val="16"/>
                <w:szCs w:val="16"/>
              </w:rPr>
              <w:t>target= 75%</w:t>
            </w:r>
          </w:p>
        </w:tc>
        <w:tc>
          <w:tcPr>
            <w:tcW w:w="1440" w:type="dxa"/>
            <w:shd w:val="clear" w:color="auto" w:fill="auto"/>
            <w:tcMar>
              <w:top w:w="13" w:type="dxa"/>
              <w:left w:w="93" w:type="dxa"/>
              <w:bottom w:w="0" w:type="dxa"/>
              <w:right w:w="93" w:type="dxa"/>
            </w:tcMar>
            <w:vAlign w:val="center"/>
          </w:tcPr>
          <w:p w:rsidR="0065130B" w:rsidRPr="00CA0AE3" w:rsidRDefault="0065130B" w:rsidP="0065130B">
            <w:pPr>
              <w:spacing w:after="0" w:line="240" w:lineRule="auto"/>
              <w:jc w:val="center"/>
              <w:rPr>
                <w:bCs/>
                <w:sz w:val="16"/>
                <w:szCs w:val="16"/>
              </w:rPr>
            </w:pPr>
            <w:r w:rsidRPr="00CA0AE3">
              <w:rPr>
                <w:bCs/>
                <w:sz w:val="16"/>
                <w:szCs w:val="16"/>
              </w:rPr>
              <w:t>Gap to Goal (10%) or attainment at target</w:t>
            </w:r>
          </w:p>
          <w:p w:rsidR="0065130B" w:rsidRPr="00CA0AE3" w:rsidRDefault="0065130B" w:rsidP="0065130B">
            <w:pPr>
              <w:spacing w:after="0" w:line="240" w:lineRule="auto"/>
              <w:jc w:val="center"/>
              <w:rPr>
                <w:bCs/>
                <w:sz w:val="16"/>
                <w:szCs w:val="16"/>
              </w:rPr>
            </w:pPr>
          </w:p>
        </w:tc>
        <w:tc>
          <w:tcPr>
            <w:tcW w:w="1170" w:type="dxa"/>
            <w:shd w:val="clear" w:color="auto" w:fill="auto"/>
            <w:tcMar>
              <w:top w:w="13" w:type="dxa"/>
              <w:left w:w="93" w:type="dxa"/>
              <w:bottom w:w="0" w:type="dxa"/>
              <w:right w:w="93" w:type="dxa"/>
            </w:tcMar>
            <w:vAlign w:val="center"/>
          </w:tcPr>
          <w:p w:rsidR="0065130B" w:rsidRPr="00CA0AE3" w:rsidRDefault="0065130B" w:rsidP="0065130B">
            <w:pPr>
              <w:spacing w:after="0" w:line="240" w:lineRule="auto"/>
              <w:jc w:val="center"/>
              <w:rPr>
                <w:b/>
                <w:sz w:val="16"/>
                <w:szCs w:val="16"/>
              </w:rPr>
            </w:pPr>
            <w:r w:rsidRPr="00CA0AE3">
              <w:rPr>
                <w:b/>
                <w:sz w:val="16"/>
                <w:szCs w:val="16"/>
              </w:rPr>
              <w:t>B</w:t>
            </w:r>
          </w:p>
        </w:tc>
        <w:tc>
          <w:tcPr>
            <w:tcW w:w="1260" w:type="dxa"/>
            <w:shd w:val="clear" w:color="auto" w:fill="auto"/>
            <w:tcMar>
              <w:top w:w="13" w:type="dxa"/>
              <w:left w:w="93" w:type="dxa"/>
              <w:bottom w:w="0" w:type="dxa"/>
              <w:right w:w="93" w:type="dxa"/>
            </w:tcMar>
            <w:vAlign w:val="center"/>
          </w:tcPr>
          <w:p w:rsidR="0065130B" w:rsidRPr="00CA0AE3" w:rsidRDefault="0065130B" w:rsidP="0065130B">
            <w:pPr>
              <w:spacing w:after="0" w:line="240" w:lineRule="auto"/>
              <w:jc w:val="center"/>
              <w:rPr>
                <w:b/>
                <w:sz w:val="16"/>
                <w:szCs w:val="16"/>
              </w:rPr>
            </w:pPr>
            <w:r w:rsidRPr="00CA0AE3">
              <w:rPr>
                <w:b/>
                <w:sz w:val="16"/>
                <w:szCs w:val="16"/>
              </w:rPr>
              <w:t>O</w:t>
            </w:r>
          </w:p>
        </w:tc>
        <w:tc>
          <w:tcPr>
            <w:tcW w:w="1260" w:type="dxa"/>
            <w:shd w:val="clear" w:color="auto" w:fill="auto"/>
            <w:tcMar>
              <w:top w:w="13" w:type="dxa"/>
              <w:left w:w="93" w:type="dxa"/>
              <w:bottom w:w="0" w:type="dxa"/>
              <w:right w:w="93" w:type="dxa"/>
            </w:tcMar>
            <w:vAlign w:val="center"/>
          </w:tcPr>
          <w:p w:rsidR="0065130B" w:rsidRPr="00CA0AE3" w:rsidRDefault="0065130B" w:rsidP="0065130B">
            <w:pPr>
              <w:spacing w:after="0" w:line="240" w:lineRule="auto"/>
              <w:jc w:val="center"/>
              <w:rPr>
                <w:b/>
                <w:sz w:val="16"/>
                <w:szCs w:val="16"/>
              </w:rPr>
            </w:pPr>
            <w:r w:rsidRPr="00CA0AE3">
              <w:rPr>
                <w:b/>
                <w:sz w:val="16"/>
                <w:szCs w:val="16"/>
              </w:rPr>
              <w:t>O</w:t>
            </w:r>
          </w:p>
        </w:tc>
        <w:tc>
          <w:tcPr>
            <w:tcW w:w="1260" w:type="dxa"/>
            <w:shd w:val="clear" w:color="auto" w:fill="auto"/>
            <w:tcMar>
              <w:top w:w="13" w:type="dxa"/>
              <w:left w:w="93" w:type="dxa"/>
              <w:bottom w:w="0" w:type="dxa"/>
              <w:right w:w="93" w:type="dxa"/>
            </w:tcMar>
            <w:vAlign w:val="center"/>
          </w:tcPr>
          <w:p w:rsidR="0065130B" w:rsidRPr="00CA0AE3" w:rsidRDefault="0065130B" w:rsidP="0065130B">
            <w:pPr>
              <w:spacing w:after="0" w:line="240" w:lineRule="auto"/>
              <w:jc w:val="center"/>
              <w:rPr>
                <w:b/>
                <w:sz w:val="16"/>
                <w:szCs w:val="16"/>
              </w:rPr>
            </w:pPr>
            <w:r w:rsidRPr="00CA0AE3">
              <w:rPr>
                <w:b/>
                <w:sz w:val="16"/>
                <w:szCs w:val="16"/>
              </w:rPr>
              <w:t>O</w:t>
            </w:r>
          </w:p>
        </w:tc>
        <w:tc>
          <w:tcPr>
            <w:tcW w:w="1260" w:type="dxa"/>
            <w:shd w:val="clear" w:color="auto" w:fill="auto"/>
            <w:tcMar>
              <w:top w:w="13" w:type="dxa"/>
              <w:left w:w="93" w:type="dxa"/>
              <w:bottom w:w="0" w:type="dxa"/>
              <w:right w:w="93" w:type="dxa"/>
            </w:tcMar>
            <w:vAlign w:val="center"/>
          </w:tcPr>
          <w:p w:rsidR="0065130B" w:rsidRPr="00CA0AE3" w:rsidRDefault="0065130B" w:rsidP="0065130B">
            <w:pPr>
              <w:spacing w:after="0" w:line="240" w:lineRule="auto"/>
              <w:jc w:val="center"/>
              <w:rPr>
                <w:b/>
                <w:sz w:val="16"/>
                <w:szCs w:val="16"/>
              </w:rPr>
            </w:pPr>
            <w:r w:rsidRPr="00CA0AE3">
              <w:rPr>
                <w:b/>
                <w:sz w:val="16"/>
                <w:szCs w:val="16"/>
              </w:rPr>
              <w:t>O</w:t>
            </w:r>
          </w:p>
        </w:tc>
        <w:tc>
          <w:tcPr>
            <w:tcW w:w="1266" w:type="dxa"/>
            <w:vAlign w:val="center"/>
          </w:tcPr>
          <w:p w:rsidR="0065130B" w:rsidRPr="00CA0AE3" w:rsidRDefault="0065130B" w:rsidP="00B3615C">
            <w:pPr>
              <w:spacing w:after="0" w:line="240" w:lineRule="auto"/>
              <w:rPr>
                <w:rFonts w:eastAsia="Times New Roman"/>
                <w:sz w:val="16"/>
                <w:szCs w:val="16"/>
              </w:rPr>
            </w:pPr>
            <w:r w:rsidRPr="00CA0AE3">
              <w:rPr>
                <w:rFonts w:eastAsia="Times New Roman"/>
                <w:sz w:val="16"/>
                <w:szCs w:val="16"/>
              </w:rPr>
              <w:t>Appropriate post acute placement of patients based on clinical need</w:t>
            </w:r>
          </w:p>
        </w:tc>
      </w:tr>
      <w:tr w:rsidR="0065130B" w:rsidRPr="00CA0AE3" w:rsidTr="00C947DF">
        <w:trPr>
          <w:cantSplit/>
        </w:trPr>
        <w:tc>
          <w:tcPr>
            <w:tcW w:w="358" w:type="dxa"/>
            <w:vAlign w:val="center"/>
          </w:tcPr>
          <w:p w:rsidR="0065130B" w:rsidRPr="00CA0AE3" w:rsidRDefault="0065130B" w:rsidP="009B1F36">
            <w:pPr>
              <w:spacing w:after="0" w:line="240" w:lineRule="auto"/>
              <w:jc w:val="center"/>
              <w:rPr>
                <w:sz w:val="16"/>
                <w:szCs w:val="16"/>
              </w:rPr>
            </w:pPr>
            <w:r w:rsidRPr="00CA0AE3">
              <w:rPr>
                <w:sz w:val="16"/>
                <w:szCs w:val="16"/>
              </w:rPr>
              <w:t>1</w:t>
            </w:r>
            <w:r w:rsidR="009B1F36" w:rsidRPr="00CA0AE3">
              <w:rPr>
                <w:sz w:val="16"/>
                <w:szCs w:val="16"/>
              </w:rPr>
              <w:t>1</w:t>
            </w:r>
          </w:p>
        </w:tc>
        <w:tc>
          <w:tcPr>
            <w:tcW w:w="1529" w:type="dxa"/>
            <w:shd w:val="clear" w:color="auto" w:fill="auto"/>
            <w:tcMar>
              <w:top w:w="13" w:type="dxa"/>
              <w:left w:w="93" w:type="dxa"/>
              <w:bottom w:w="0" w:type="dxa"/>
              <w:right w:w="93" w:type="dxa"/>
            </w:tcMar>
            <w:vAlign w:val="center"/>
          </w:tcPr>
          <w:p w:rsidR="0065130B" w:rsidRPr="00CA0AE3" w:rsidRDefault="0065130B" w:rsidP="0065130B">
            <w:pPr>
              <w:spacing w:after="0" w:line="240" w:lineRule="auto"/>
              <w:rPr>
                <w:sz w:val="16"/>
                <w:szCs w:val="16"/>
              </w:rPr>
            </w:pPr>
            <w:r w:rsidRPr="00CA0AE3">
              <w:rPr>
                <w:sz w:val="16"/>
                <w:szCs w:val="16"/>
              </w:rPr>
              <w:t>Improvement in inpatient discharge referral rate to in network Visiting Nurse Association (VNAs) Medical/Surgical inpatients discharged from the public hospital system</w:t>
            </w:r>
          </w:p>
        </w:tc>
        <w:tc>
          <w:tcPr>
            <w:tcW w:w="1170" w:type="dxa"/>
            <w:shd w:val="clear" w:color="auto" w:fill="auto"/>
            <w:tcMar>
              <w:top w:w="13" w:type="dxa"/>
              <w:left w:w="93" w:type="dxa"/>
              <w:bottom w:w="0" w:type="dxa"/>
              <w:right w:w="93" w:type="dxa"/>
            </w:tcMar>
            <w:vAlign w:val="center"/>
          </w:tcPr>
          <w:p w:rsidR="0065130B" w:rsidRPr="00CA0AE3" w:rsidRDefault="0065130B" w:rsidP="0065130B">
            <w:pPr>
              <w:spacing w:after="0" w:line="240" w:lineRule="auto"/>
              <w:jc w:val="center"/>
              <w:rPr>
                <w:rFonts w:eastAsia="Times New Roman"/>
                <w:sz w:val="16"/>
                <w:szCs w:val="16"/>
              </w:rPr>
            </w:pPr>
            <w:r w:rsidRPr="00CA0AE3">
              <w:rPr>
                <w:rFonts w:eastAsia="Times New Roman"/>
                <w:sz w:val="16"/>
                <w:szCs w:val="16"/>
              </w:rPr>
              <w:t>Numerator: Discharges to In- Network VNAs</w:t>
            </w:r>
          </w:p>
          <w:p w:rsidR="0065130B" w:rsidRPr="00CA0AE3" w:rsidRDefault="0065130B" w:rsidP="0065130B">
            <w:pPr>
              <w:spacing w:after="0" w:line="240" w:lineRule="auto"/>
              <w:jc w:val="center"/>
              <w:rPr>
                <w:sz w:val="16"/>
                <w:szCs w:val="16"/>
              </w:rPr>
            </w:pPr>
            <w:r w:rsidRPr="00CA0AE3">
              <w:rPr>
                <w:rFonts w:eastAsia="Times New Roman"/>
                <w:sz w:val="16"/>
                <w:szCs w:val="16"/>
              </w:rPr>
              <w:t>Denominator: Medical/ Surgical Inpatient Discharges from the Public Hospital System to all VNAs</w:t>
            </w:r>
            <w:r w:rsidRPr="00CA0AE3">
              <w:rPr>
                <w:rStyle w:val="FootnoteReference"/>
                <w:rFonts w:eastAsia="Times New Roman"/>
                <w:sz w:val="16"/>
                <w:szCs w:val="16"/>
              </w:rPr>
              <w:footnoteReference w:id="91"/>
            </w:r>
          </w:p>
        </w:tc>
        <w:tc>
          <w:tcPr>
            <w:tcW w:w="1260" w:type="dxa"/>
            <w:shd w:val="clear" w:color="auto" w:fill="auto"/>
            <w:tcMar>
              <w:top w:w="13" w:type="dxa"/>
              <w:left w:w="93" w:type="dxa"/>
              <w:bottom w:w="0" w:type="dxa"/>
              <w:right w:w="93" w:type="dxa"/>
            </w:tcMar>
            <w:vAlign w:val="center"/>
          </w:tcPr>
          <w:p w:rsidR="0065130B" w:rsidRPr="00CA0AE3" w:rsidRDefault="0065130B" w:rsidP="0065130B">
            <w:pPr>
              <w:spacing w:after="0" w:line="240" w:lineRule="auto"/>
              <w:jc w:val="center"/>
              <w:rPr>
                <w:sz w:val="16"/>
                <w:szCs w:val="16"/>
              </w:rPr>
            </w:pPr>
            <w:r w:rsidRPr="00CA0AE3">
              <w:rPr>
                <w:sz w:val="16"/>
                <w:szCs w:val="16"/>
              </w:rPr>
              <w:t>No external benchmark;</w:t>
            </w:r>
          </w:p>
          <w:p w:rsidR="0065130B" w:rsidRPr="00CA0AE3" w:rsidRDefault="0065130B" w:rsidP="0065130B">
            <w:pPr>
              <w:spacing w:after="0" w:line="240" w:lineRule="auto"/>
              <w:jc w:val="center"/>
              <w:rPr>
                <w:sz w:val="16"/>
                <w:szCs w:val="16"/>
              </w:rPr>
            </w:pPr>
            <w:r w:rsidRPr="00CA0AE3">
              <w:rPr>
                <w:sz w:val="16"/>
                <w:szCs w:val="16"/>
              </w:rPr>
              <w:t>hospital specific improvement</w:t>
            </w:r>
            <w:r w:rsidRPr="00CA0AE3">
              <w:rPr>
                <w:bCs/>
                <w:sz w:val="16"/>
                <w:szCs w:val="16"/>
              </w:rPr>
              <w:t xml:space="preserve"> target = 80%</w:t>
            </w:r>
          </w:p>
        </w:tc>
        <w:tc>
          <w:tcPr>
            <w:tcW w:w="1440" w:type="dxa"/>
            <w:shd w:val="clear" w:color="auto" w:fill="auto"/>
            <w:tcMar>
              <w:top w:w="13" w:type="dxa"/>
              <w:left w:w="93" w:type="dxa"/>
              <w:bottom w:w="0" w:type="dxa"/>
              <w:right w:w="93" w:type="dxa"/>
            </w:tcMar>
            <w:vAlign w:val="center"/>
          </w:tcPr>
          <w:p w:rsidR="0065130B" w:rsidRPr="00CA0AE3" w:rsidRDefault="0065130B" w:rsidP="0065130B">
            <w:pPr>
              <w:spacing w:after="0" w:line="240" w:lineRule="auto"/>
              <w:jc w:val="center"/>
              <w:rPr>
                <w:bCs/>
                <w:sz w:val="16"/>
                <w:szCs w:val="16"/>
              </w:rPr>
            </w:pPr>
            <w:r w:rsidRPr="00CA0AE3">
              <w:rPr>
                <w:bCs/>
                <w:sz w:val="16"/>
                <w:szCs w:val="16"/>
              </w:rPr>
              <w:t>Gap to Goal (10%) or attainment at target</w:t>
            </w:r>
          </w:p>
          <w:p w:rsidR="0065130B" w:rsidRPr="00CA0AE3" w:rsidRDefault="0065130B" w:rsidP="0065130B">
            <w:pPr>
              <w:spacing w:after="0" w:line="240" w:lineRule="auto"/>
              <w:jc w:val="center"/>
              <w:rPr>
                <w:bCs/>
                <w:sz w:val="16"/>
                <w:szCs w:val="16"/>
              </w:rPr>
            </w:pPr>
          </w:p>
        </w:tc>
        <w:tc>
          <w:tcPr>
            <w:tcW w:w="1170" w:type="dxa"/>
            <w:shd w:val="clear" w:color="auto" w:fill="auto"/>
            <w:tcMar>
              <w:top w:w="13" w:type="dxa"/>
              <w:left w:w="93" w:type="dxa"/>
              <w:bottom w:w="0" w:type="dxa"/>
              <w:right w:w="93" w:type="dxa"/>
            </w:tcMar>
            <w:vAlign w:val="center"/>
          </w:tcPr>
          <w:p w:rsidR="0065130B" w:rsidRPr="00CA0AE3" w:rsidRDefault="0065130B" w:rsidP="0065130B">
            <w:pPr>
              <w:spacing w:after="0" w:line="240" w:lineRule="auto"/>
              <w:jc w:val="center"/>
              <w:rPr>
                <w:b/>
                <w:sz w:val="16"/>
                <w:szCs w:val="16"/>
              </w:rPr>
            </w:pPr>
            <w:r w:rsidRPr="00CA0AE3">
              <w:rPr>
                <w:b/>
                <w:sz w:val="16"/>
                <w:szCs w:val="16"/>
              </w:rPr>
              <w:t>B</w:t>
            </w:r>
          </w:p>
        </w:tc>
        <w:tc>
          <w:tcPr>
            <w:tcW w:w="1260" w:type="dxa"/>
            <w:shd w:val="clear" w:color="auto" w:fill="auto"/>
            <w:tcMar>
              <w:top w:w="13" w:type="dxa"/>
              <w:left w:w="93" w:type="dxa"/>
              <w:bottom w:w="0" w:type="dxa"/>
              <w:right w:w="93" w:type="dxa"/>
            </w:tcMar>
            <w:vAlign w:val="center"/>
          </w:tcPr>
          <w:p w:rsidR="0065130B" w:rsidRPr="00CA0AE3" w:rsidRDefault="0065130B" w:rsidP="0065130B">
            <w:pPr>
              <w:spacing w:after="0" w:line="240" w:lineRule="auto"/>
              <w:jc w:val="center"/>
              <w:rPr>
                <w:b/>
                <w:sz w:val="16"/>
                <w:szCs w:val="16"/>
              </w:rPr>
            </w:pPr>
            <w:r w:rsidRPr="00CA0AE3">
              <w:rPr>
                <w:b/>
                <w:sz w:val="16"/>
                <w:szCs w:val="16"/>
              </w:rPr>
              <w:t>O</w:t>
            </w:r>
          </w:p>
        </w:tc>
        <w:tc>
          <w:tcPr>
            <w:tcW w:w="1260" w:type="dxa"/>
            <w:shd w:val="clear" w:color="auto" w:fill="auto"/>
            <w:tcMar>
              <w:top w:w="13" w:type="dxa"/>
              <w:left w:w="93" w:type="dxa"/>
              <w:bottom w:w="0" w:type="dxa"/>
              <w:right w:w="93" w:type="dxa"/>
            </w:tcMar>
            <w:vAlign w:val="center"/>
          </w:tcPr>
          <w:p w:rsidR="0065130B" w:rsidRPr="00CA0AE3" w:rsidRDefault="0065130B" w:rsidP="0065130B">
            <w:pPr>
              <w:spacing w:after="0" w:line="240" w:lineRule="auto"/>
              <w:jc w:val="center"/>
              <w:rPr>
                <w:b/>
                <w:sz w:val="16"/>
                <w:szCs w:val="16"/>
              </w:rPr>
            </w:pPr>
            <w:r w:rsidRPr="00CA0AE3">
              <w:rPr>
                <w:b/>
                <w:sz w:val="16"/>
                <w:szCs w:val="16"/>
              </w:rPr>
              <w:t>O</w:t>
            </w:r>
          </w:p>
        </w:tc>
        <w:tc>
          <w:tcPr>
            <w:tcW w:w="1260" w:type="dxa"/>
            <w:shd w:val="clear" w:color="auto" w:fill="auto"/>
            <w:tcMar>
              <w:top w:w="13" w:type="dxa"/>
              <w:left w:w="93" w:type="dxa"/>
              <w:bottom w:w="0" w:type="dxa"/>
              <w:right w:w="93" w:type="dxa"/>
            </w:tcMar>
            <w:vAlign w:val="center"/>
          </w:tcPr>
          <w:p w:rsidR="0065130B" w:rsidRPr="00CA0AE3" w:rsidRDefault="0065130B" w:rsidP="0065130B">
            <w:pPr>
              <w:spacing w:after="0" w:line="240" w:lineRule="auto"/>
              <w:jc w:val="center"/>
              <w:rPr>
                <w:b/>
                <w:sz w:val="16"/>
                <w:szCs w:val="16"/>
              </w:rPr>
            </w:pPr>
            <w:r w:rsidRPr="00CA0AE3">
              <w:rPr>
                <w:b/>
                <w:sz w:val="16"/>
                <w:szCs w:val="16"/>
              </w:rPr>
              <w:t>O</w:t>
            </w:r>
          </w:p>
        </w:tc>
        <w:tc>
          <w:tcPr>
            <w:tcW w:w="1260" w:type="dxa"/>
            <w:shd w:val="clear" w:color="auto" w:fill="auto"/>
            <w:tcMar>
              <w:top w:w="13" w:type="dxa"/>
              <w:left w:w="93" w:type="dxa"/>
              <w:bottom w:w="0" w:type="dxa"/>
              <w:right w:w="93" w:type="dxa"/>
            </w:tcMar>
            <w:vAlign w:val="center"/>
          </w:tcPr>
          <w:p w:rsidR="0065130B" w:rsidRPr="00CA0AE3" w:rsidRDefault="0065130B" w:rsidP="0065130B">
            <w:pPr>
              <w:spacing w:after="0" w:line="240" w:lineRule="auto"/>
              <w:jc w:val="center"/>
              <w:rPr>
                <w:b/>
                <w:sz w:val="16"/>
                <w:szCs w:val="16"/>
              </w:rPr>
            </w:pPr>
            <w:r w:rsidRPr="00CA0AE3">
              <w:rPr>
                <w:b/>
                <w:sz w:val="16"/>
                <w:szCs w:val="16"/>
              </w:rPr>
              <w:t>O</w:t>
            </w:r>
          </w:p>
        </w:tc>
        <w:tc>
          <w:tcPr>
            <w:tcW w:w="1266" w:type="dxa"/>
            <w:vAlign w:val="center"/>
          </w:tcPr>
          <w:p w:rsidR="0065130B" w:rsidRPr="00CA0AE3" w:rsidRDefault="0065130B" w:rsidP="00B3615C">
            <w:pPr>
              <w:spacing w:after="0" w:line="240" w:lineRule="auto"/>
              <w:rPr>
                <w:rFonts w:eastAsia="Times New Roman"/>
                <w:sz w:val="16"/>
                <w:szCs w:val="16"/>
              </w:rPr>
            </w:pPr>
            <w:r w:rsidRPr="00CA0AE3">
              <w:rPr>
                <w:rFonts w:eastAsia="Times New Roman"/>
                <w:sz w:val="16"/>
                <w:szCs w:val="16"/>
              </w:rPr>
              <w:t>Appropriate post acute community-based care for patients based on clinical need</w:t>
            </w:r>
          </w:p>
        </w:tc>
      </w:tr>
      <w:tr w:rsidR="0065130B" w:rsidRPr="00CA0AE3" w:rsidTr="00C947DF">
        <w:trPr>
          <w:cantSplit/>
        </w:trPr>
        <w:tc>
          <w:tcPr>
            <w:tcW w:w="358" w:type="dxa"/>
            <w:vAlign w:val="center"/>
          </w:tcPr>
          <w:p w:rsidR="0065130B" w:rsidRPr="00CA0AE3" w:rsidRDefault="0065130B" w:rsidP="009B1F36">
            <w:pPr>
              <w:spacing w:after="0" w:line="240" w:lineRule="auto"/>
              <w:jc w:val="center"/>
              <w:rPr>
                <w:sz w:val="16"/>
                <w:szCs w:val="16"/>
              </w:rPr>
            </w:pPr>
            <w:r w:rsidRPr="00CA0AE3">
              <w:rPr>
                <w:sz w:val="16"/>
                <w:szCs w:val="16"/>
              </w:rPr>
              <w:lastRenderedPageBreak/>
              <w:t>1</w:t>
            </w:r>
            <w:r w:rsidR="009B1F36" w:rsidRPr="00CA0AE3">
              <w:rPr>
                <w:sz w:val="16"/>
                <w:szCs w:val="16"/>
              </w:rPr>
              <w:t>2</w:t>
            </w:r>
          </w:p>
        </w:tc>
        <w:tc>
          <w:tcPr>
            <w:tcW w:w="1529" w:type="dxa"/>
            <w:shd w:val="clear" w:color="auto" w:fill="auto"/>
            <w:tcMar>
              <w:top w:w="13" w:type="dxa"/>
              <w:left w:w="93" w:type="dxa"/>
              <w:bottom w:w="0" w:type="dxa"/>
              <w:right w:w="93" w:type="dxa"/>
            </w:tcMar>
            <w:vAlign w:val="center"/>
          </w:tcPr>
          <w:p w:rsidR="0065130B" w:rsidRPr="00CA0AE3" w:rsidRDefault="0065130B" w:rsidP="0065130B">
            <w:pPr>
              <w:spacing w:after="0" w:line="240" w:lineRule="auto"/>
              <w:rPr>
                <w:sz w:val="16"/>
                <w:szCs w:val="16"/>
              </w:rPr>
            </w:pPr>
            <w:r w:rsidRPr="00CA0AE3">
              <w:rPr>
                <w:sz w:val="16"/>
                <w:szCs w:val="16"/>
              </w:rPr>
              <w:t>% of patient appointments at which the AVS was printed for the patient at the conclusion of their medical specialty appointment at the public hospital system</w:t>
            </w:r>
          </w:p>
        </w:tc>
        <w:tc>
          <w:tcPr>
            <w:tcW w:w="1170" w:type="dxa"/>
            <w:shd w:val="clear" w:color="auto" w:fill="auto"/>
            <w:tcMar>
              <w:top w:w="13" w:type="dxa"/>
              <w:left w:w="93" w:type="dxa"/>
              <w:bottom w:w="0" w:type="dxa"/>
              <w:right w:w="93" w:type="dxa"/>
            </w:tcMar>
            <w:vAlign w:val="center"/>
          </w:tcPr>
          <w:p w:rsidR="0065130B" w:rsidRPr="00CA0AE3" w:rsidRDefault="0065130B" w:rsidP="0065130B">
            <w:pPr>
              <w:pStyle w:val="Default"/>
              <w:jc w:val="center"/>
              <w:rPr>
                <w:color w:val="auto"/>
                <w:sz w:val="16"/>
                <w:szCs w:val="16"/>
              </w:rPr>
            </w:pPr>
            <w:r w:rsidRPr="00CA0AE3">
              <w:rPr>
                <w:color w:val="auto"/>
                <w:sz w:val="16"/>
                <w:szCs w:val="16"/>
              </w:rPr>
              <w:t xml:space="preserve">MU </w:t>
            </w:r>
          </w:p>
          <w:p w:rsidR="0065130B" w:rsidRPr="00CA0AE3" w:rsidRDefault="0065130B" w:rsidP="0065130B">
            <w:pPr>
              <w:spacing w:after="0" w:line="240" w:lineRule="auto"/>
              <w:jc w:val="center"/>
              <w:rPr>
                <w:rFonts w:eastAsia="Times New Roman"/>
                <w:sz w:val="16"/>
                <w:szCs w:val="16"/>
              </w:rPr>
            </w:pPr>
            <w:r w:rsidRPr="00CA0AE3">
              <w:rPr>
                <w:sz w:val="16"/>
                <w:szCs w:val="16"/>
              </w:rPr>
              <w:t xml:space="preserve">P220 </w:t>
            </w:r>
          </w:p>
        </w:tc>
        <w:tc>
          <w:tcPr>
            <w:tcW w:w="1260" w:type="dxa"/>
            <w:shd w:val="clear" w:color="auto" w:fill="auto"/>
            <w:tcMar>
              <w:top w:w="13" w:type="dxa"/>
              <w:left w:w="93" w:type="dxa"/>
              <w:bottom w:w="0" w:type="dxa"/>
              <w:right w:w="93" w:type="dxa"/>
            </w:tcMar>
            <w:vAlign w:val="center"/>
          </w:tcPr>
          <w:p w:rsidR="0065130B" w:rsidRPr="00CA0AE3" w:rsidRDefault="0065130B" w:rsidP="0065130B">
            <w:pPr>
              <w:pStyle w:val="Default"/>
              <w:jc w:val="center"/>
              <w:rPr>
                <w:color w:val="auto"/>
                <w:sz w:val="16"/>
                <w:szCs w:val="16"/>
              </w:rPr>
            </w:pPr>
            <w:r w:rsidRPr="00CA0AE3">
              <w:rPr>
                <w:color w:val="auto"/>
                <w:sz w:val="16"/>
                <w:szCs w:val="16"/>
              </w:rPr>
              <w:t xml:space="preserve">No external benchmark; </w:t>
            </w:r>
          </w:p>
          <w:p w:rsidR="0065130B" w:rsidRPr="00CA0AE3" w:rsidRDefault="0065130B" w:rsidP="0065130B">
            <w:pPr>
              <w:spacing w:after="0" w:line="240" w:lineRule="auto"/>
              <w:jc w:val="center"/>
              <w:rPr>
                <w:sz w:val="16"/>
                <w:szCs w:val="16"/>
              </w:rPr>
            </w:pPr>
            <w:r w:rsidRPr="00CA0AE3">
              <w:rPr>
                <w:sz w:val="16"/>
                <w:szCs w:val="16"/>
              </w:rPr>
              <w:t xml:space="preserve">hospital specific improvement </w:t>
            </w:r>
          </w:p>
        </w:tc>
        <w:tc>
          <w:tcPr>
            <w:tcW w:w="1440" w:type="dxa"/>
            <w:shd w:val="clear" w:color="auto" w:fill="auto"/>
            <w:tcMar>
              <w:top w:w="13" w:type="dxa"/>
              <w:left w:w="93" w:type="dxa"/>
              <w:bottom w:w="0" w:type="dxa"/>
              <w:right w:w="93" w:type="dxa"/>
            </w:tcMar>
            <w:vAlign w:val="center"/>
          </w:tcPr>
          <w:p w:rsidR="0065130B" w:rsidRPr="00CA0AE3" w:rsidRDefault="0065130B" w:rsidP="0065130B">
            <w:pPr>
              <w:spacing w:after="0" w:line="240" w:lineRule="auto"/>
              <w:jc w:val="center"/>
              <w:rPr>
                <w:bCs/>
                <w:sz w:val="16"/>
                <w:szCs w:val="16"/>
              </w:rPr>
            </w:pPr>
            <w:r w:rsidRPr="00CA0AE3">
              <w:rPr>
                <w:bCs/>
                <w:sz w:val="16"/>
                <w:szCs w:val="16"/>
              </w:rPr>
              <w:t>Gap to Goal (10%) or attainment at target:</w:t>
            </w:r>
          </w:p>
          <w:p w:rsidR="0065130B" w:rsidRPr="00CA0AE3" w:rsidRDefault="0065130B" w:rsidP="0065130B">
            <w:pPr>
              <w:spacing w:after="0" w:line="240" w:lineRule="auto"/>
              <w:jc w:val="center"/>
              <w:rPr>
                <w:bCs/>
                <w:sz w:val="16"/>
                <w:szCs w:val="16"/>
              </w:rPr>
            </w:pPr>
            <w:r w:rsidRPr="00CA0AE3">
              <w:rPr>
                <w:bCs/>
                <w:sz w:val="16"/>
                <w:szCs w:val="16"/>
              </w:rPr>
              <w:t>Target 90%</w:t>
            </w:r>
          </w:p>
        </w:tc>
        <w:tc>
          <w:tcPr>
            <w:tcW w:w="1170" w:type="dxa"/>
            <w:shd w:val="clear" w:color="auto" w:fill="auto"/>
            <w:tcMar>
              <w:top w:w="13" w:type="dxa"/>
              <w:left w:w="93" w:type="dxa"/>
              <w:bottom w:w="0" w:type="dxa"/>
              <w:right w:w="93" w:type="dxa"/>
            </w:tcMar>
            <w:vAlign w:val="center"/>
          </w:tcPr>
          <w:p w:rsidR="0065130B" w:rsidRPr="00CA0AE3" w:rsidRDefault="0065130B" w:rsidP="0065130B">
            <w:pPr>
              <w:spacing w:after="0" w:line="240" w:lineRule="auto"/>
              <w:jc w:val="center"/>
              <w:rPr>
                <w:b/>
                <w:sz w:val="16"/>
                <w:szCs w:val="16"/>
              </w:rPr>
            </w:pPr>
            <w:r w:rsidRPr="00CA0AE3">
              <w:rPr>
                <w:b/>
                <w:sz w:val="16"/>
                <w:szCs w:val="16"/>
              </w:rPr>
              <w:t>B</w:t>
            </w:r>
          </w:p>
          <w:p w:rsidR="0065130B" w:rsidRPr="00CA0AE3" w:rsidRDefault="008D3CB4" w:rsidP="0065130B">
            <w:pPr>
              <w:spacing w:after="0" w:line="240" w:lineRule="auto"/>
              <w:jc w:val="center"/>
              <w:rPr>
                <w:sz w:val="16"/>
                <w:szCs w:val="16"/>
              </w:rPr>
            </w:pPr>
            <w:r w:rsidRPr="00CA0AE3">
              <w:rPr>
                <w:sz w:val="16"/>
                <w:szCs w:val="16"/>
              </w:rPr>
              <w:t>(4/1/17 -3/31/18)</w:t>
            </w:r>
          </w:p>
        </w:tc>
        <w:tc>
          <w:tcPr>
            <w:tcW w:w="1260" w:type="dxa"/>
            <w:shd w:val="clear" w:color="auto" w:fill="auto"/>
            <w:tcMar>
              <w:top w:w="13" w:type="dxa"/>
              <w:left w:w="93" w:type="dxa"/>
              <w:bottom w:w="0" w:type="dxa"/>
              <w:right w:w="93" w:type="dxa"/>
            </w:tcMar>
            <w:vAlign w:val="center"/>
          </w:tcPr>
          <w:p w:rsidR="0065130B" w:rsidRPr="00CA0AE3" w:rsidRDefault="0065130B" w:rsidP="0065130B">
            <w:pPr>
              <w:spacing w:after="0" w:line="240" w:lineRule="auto"/>
              <w:jc w:val="center"/>
              <w:rPr>
                <w:b/>
                <w:sz w:val="16"/>
                <w:szCs w:val="16"/>
              </w:rPr>
            </w:pPr>
            <w:r w:rsidRPr="00CA0AE3">
              <w:rPr>
                <w:b/>
                <w:sz w:val="16"/>
                <w:szCs w:val="16"/>
              </w:rPr>
              <w:t>O</w:t>
            </w:r>
          </w:p>
          <w:p w:rsidR="0065130B" w:rsidRPr="00CA0AE3" w:rsidRDefault="008D3CB4" w:rsidP="0065130B">
            <w:pPr>
              <w:spacing w:after="0" w:line="240" w:lineRule="auto"/>
              <w:jc w:val="center"/>
              <w:rPr>
                <w:sz w:val="16"/>
                <w:szCs w:val="16"/>
              </w:rPr>
            </w:pPr>
            <w:r w:rsidRPr="00CA0AE3">
              <w:rPr>
                <w:sz w:val="16"/>
                <w:szCs w:val="16"/>
              </w:rPr>
              <w:t>(4/1/18 -3/31/19)</w:t>
            </w:r>
          </w:p>
        </w:tc>
        <w:tc>
          <w:tcPr>
            <w:tcW w:w="1260" w:type="dxa"/>
            <w:shd w:val="clear" w:color="auto" w:fill="auto"/>
            <w:tcMar>
              <w:top w:w="13" w:type="dxa"/>
              <w:left w:w="93" w:type="dxa"/>
              <w:bottom w:w="0" w:type="dxa"/>
              <w:right w:w="93" w:type="dxa"/>
            </w:tcMar>
            <w:vAlign w:val="center"/>
          </w:tcPr>
          <w:p w:rsidR="0065130B" w:rsidRPr="00CA0AE3" w:rsidRDefault="0065130B" w:rsidP="0065130B">
            <w:pPr>
              <w:spacing w:after="0" w:line="240" w:lineRule="auto"/>
              <w:jc w:val="center"/>
              <w:rPr>
                <w:b/>
                <w:sz w:val="16"/>
                <w:szCs w:val="16"/>
              </w:rPr>
            </w:pPr>
            <w:r w:rsidRPr="00CA0AE3">
              <w:rPr>
                <w:b/>
                <w:sz w:val="16"/>
                <w:szCs w:val="16"/>
              </w:rPr>
              <w:t>O</w:t>
            </w:r>
          </w:p>
          <w:p w:rsidR="0065130B" w:rsidRPr="00CA0AE3" w:rsidRDefault="008D3CB4" w:rsidP="0065130B">
            <w:pPr>
              <w:spacing w:after="0" w:line="240" w:lineRule="auto"/>
              <w:jc w:val="center"/>
              <w:rPr>
                <w:sz w:val="16"/>
                <w:szCs w:val="16"/>
              </w:rPr>
            </w:pPr>
            <w:r w:rsidRPr="00CA0AE3">
              <w:rPr>
                <w:sz w:val="16"/>
                <w:szCs w:val="16"/>
              </w:rPr>
              <w:t>(4/1/19 -3/31/20)</w:t>
            </w:r>
          </w:p>
        </w:tc>
        <w:tc>
          <w:tcPr>
            <w:tcW w:w="1260" w:type="dxa"/>
            <w:shd w:val="clear" w:color="auto" w:fill="auto"/>
            <w:tcMar>
              <w:top w:w="13" w:type="dxa"/>
              <w:left w:w="93" w:type="dxa"/>
              <w:bottom w:w="0" w:type="dxa"/>
              <w:right w:w="93" w:type="dxa"/>
            </w:tcMar>
            <w:vAlign w:val="center"/>
          </w:tcPr>
          <w:p w:rsidR="0065130B" w:rsidRPr="00CA0AE3" w:rsidRDefault="0065130B" w:rsidP="0065130B">
            <w:pPr>
              <w:spacing w:after="0" w:line="240" w:lineRule="auto"/>
              <w:jc w:val="center"/>
              <w:rPr>
                <w:b/>
                <w:sz w:val="16"/>
                <w:szCs w:val="16"/>
              </w:rPr>
            </w:pPr>
            <w:r w:rsidRPr="00CA0AE3">
              <w:rPr>
                <w:b/>
                <w:sz w:val="16"/>
                <w:szCs w:val="16"/>
              </w:rPr>
              <w:t>O</w:t>
            </w:r>
          </w:p>
          <w:p w:rsidR="0065130B" w:rsidRPr="00CA0AE3" w:rsidRDefault="008D3CB4" w:rsidP="0065130B">
            <w:pPr>
              <w:spacing w:after="0" w:line="240" w:lineRule="auto"/>
              <w:jc w:val="center"/>
              <w:rPr>
                <w:sz w:val="16"/>
                <w:szCs w:val="16"/>
              </w:rPr>
            </w:pPr>
            <w:r w:rsidRPr="00CA0AE3">
              <w:rPr>
                <w:sz w:val="16"/>
                <w:szCs w:val="16"/>
              </w:rPr>
              <w:t>(4/1/20 -3/31/21)</w:t>
            </w:r>
          </w:p>
        </w:tc>
        <w:tc>
          <w:tcPr>
            <w:tcW w:w="1260" w:type="dxa"/>
            <w:shd w:val="clear" w:color="auto" w:fill="auto"/>
            <w:tcMar>
              <w:top w:w="13" w:type="dxa"/>
              <w:left w:w="93" w:type="dxa"/>
              <w:bottom w:w="0" w:type="dxa"/>
              <w:right w:w="93" w:type="dxa"/>
            </w:tcMar>
            <w:vAlign w:val="center"/>
          </w:tcPr>
          <w:p w:rsidR="0065130B" w:rsidRPr="00CA0AE3" w:rsidRDefault="0065130B" w:rsidP="0065130B">
            <w:pPr>
              <w:spacing w:after="0" w:line="240" w:lineRule="auto"/>
              <w:jc w:val="center"/>
              <w:rPr>
                <w:b/>
                <w:sz w:val="16"/>
                <w:szCs w:val="16"/>
              </w:rPr>
            </w:pPr>
            <w:r w:rsidRPr="00CA0AE3">
              <w:rPr>
                <w:b/>
                <w:sz w:val="16"/>
                <w:szCs w:val="16"/>
              </w:rPr>
              <w:t>O</w:t>
            </w:r>
          </w:p>
          <w:p w:rsidR="0065130B" w:rsidRPr="00CA0AE3" w:rsidRDefault="008D3CB4" w:rsidP="0065130B">
            <w:pPr>
              <w:spacing w:after="0" w:line="240" w:lineRule="auto"/>
              <w:jc w:val="center"/>
              <w:rPr>
                <w:sz w:val="16"/>
                <w:szCs w:val="16"/>
              </w:rPr>
            </w:pPr>
            <w:r w:rsidRPr="00CA0AE3">
              <w:rPr>
                <w:sz w:val="16"/>
                <w:szCs w:val="16"/>
              </w:rPr>
              <w:t>(4/1/21 - 3/31/22)</w:t>
            </w:r>
          </w:p>
        </w:tc>
        <w:tc>
          <w:tcPr>
            <w:tcW w:w="1266" w:type="dxa"/>
            <w:vAlign w:val="center"/>
          </w:tcPr>
          <w:p w:rsidR="0065130B" w:rsidRPr="00CA0AE3" w:rsidRDefault="0065130B" w:rsidP="00B3615C">
            <w:pPr>
              <w:spacing w:after="0" w:line="240" w:lineRule="auto"/>
              <w:rPr>
                <w:rFonts w:eastAsia="Times New Roman"/>
                <w:sz w:val="16"/>
                <w:szCs w:val="16"/>
              </w:rPr>
            </w:pPr>
            <w:r w:rsidRPr="00CA0AE3">
              <w:rPr>
                <w:rFonts w:eastAsia="Times New Roman"/>
                <w:sz w:val="16"/>
                <w:szCs w:val="16"/>
              </w:rPr>
              <w:t>Target of 90% established based on clinical operations standards, taking into account the spectrum of patient routine and urgent visit types</w:t>
            </w:r>
          </w:p>
        </w:tc>
      </w:tr>
      <w:tr w:rsidR="0065130B" w:rsidRPr="00CA0AE3" w:rsidTr="00C947DF">
        <w:trPr>
          <w:cantSplit/>
        </w:trPr>
        <w:tc>
          <w:tcPr>
            <w:tcW w:w="358" w:type="dxa"/>
            <w:vAlign w:val="center"/>
          </w:tcPr>
          <w:p w:rsidR="0065130B" w:rsidRPr="00CA0AE3" w:rsidRDefault="0065130B" w:rsidP="009B1F36">
            <w:pPr>
              <w:spacing w:after="0" w:line="240" w:lineRule="auto"/>
              <w:jc w:val="center"/>
              <w:rPr>
                <w:sz w:val="16"/>
                <w:szCs w:val="16"/>
              </w:rPr>
            </w:pPr>
            <w:r w:rsidRPr="00CA0AE3">
              <w:rPr>
                <w:sz w:val="16"/>
                <w:szCs w:val="16"/>
              </w:rPr>
              <w:t>1</w:t>
            </w:r>
            <w:r w:rsidR="009B1F36" w:rsidRPr="00CA0AE3">
              <w:rPr>
                <w:sz w:val="16"/>
                <w:szCs w:val="16"/>
              </w:rPr>
              <w:t>3</w:t>
            </w:r>
          </w:p>
        </w:tc>
        <w:tc>
          <w:tcPr>
            <w:tcW w:w="1529" w:type="dxa"/>
            <w:shd w:val="clear" w:color="auto" w:fill="auto"/>
            <w:tcMar>
              <w:top w:w="13" w:type="dxa"/>
              <w:left w:w="93" w:type="dxa"/>
              <w:bottom w:w="0" w:type="dxa"/>
              <w:right w:w="93" w:type="dxa"/>
            </w:tcMar>
            <w:vAlign w:val="center"/>
          </w:tcPr>
          <w:p w:rsidR="0065130B" w:rsidRPr="00CA0AE3" w:rsidRDefault="0065130B" w:rsidP="0065130B">
            <w:pPr>
              <w:spacing w:after="0" w:line="240" w:lineRule="auto"/>
              <w:rPr>
                <w:sz w:val="16"/>
                <w:szCs w:val="16"/>
              </w:rPr>
            </w:pPr>
            <w:r w:rsidRPr="00CA0AE3">
              <w:rPr>
                <w:sz w:val="16"/>
                <w:szCs w:val="16"/>
              </w:rPr>
              <w:t>% of patient appointments at which the AVS was printed for the patient at the conclusion of their surgical  appointment at the public hospital system</w:t>
            </w:r>
          </w:p>
        </w:tc>
        <w:tc>
          <w:tcPr>
            <w:tcW w:w="1170" w:type="dxa"/>
            <w:shd w:val="clear" w:color="auto" w:fill="auto"/>
            <w:tcMar>
              <w:top w:w="13" w:type="dxa"/>
              <w:left w:w="93" w:type="dxa"/>
              <w:bottom w:w="0" w:type="dxa"/>
              <w:right w:w="93" w:type="dxa"/>
            </w:tcMar>
            <w:vAlign w:val="center"/>
          </w:tcPr>
          <w:p w:rsidR="0065130B" w:rsidRPr="00CA0AE3" w:rsidRDefault="0065130B" w:rsidP="0065130B">
            <w:pPr>
              <w:pStyle w:val="Default"/>
              <w:jc w:val="center"/>
              <w:rPr>
                <w:color w:val="auto"/>
                <w:sz w:val="16"/>
                <w:szCs w:val="16"/>
              </w:rPr>
            </w:pPr>
            <w:r w:rsidRPr="00CA0AE3">
              <w:rPr>
                <w:color w:val="auto"/>
                <w:sz w:val="16"/>
                <w:szCs w:val="16"/>
              </w:rPr>
              <w:t xml:space="preserve">MU </w:t>
            </w:r>
          </w:p>
          <w:p w:rsidR="0065130B" w:rsidRPr="00CA0AE3" w:rsidRDefault="0065130B" w:rsidP="0065130B">
            <w:pPr>
              <w:spacing w:after="0" w:line="240" w:lineRule="auto"/>
              <w:jc w:val="center"/>
              <w:rPr>
                <w:rFonts w:eastAsia="Times New Roman"/>
                <w:sz w:val="16"/>
                <w:szCs w:val="16"/>
              </w:rPr>
            </w:pPr>
            <w:r w:rsidRPr="00CA0AE3">
              <w:rPr>
                <w:sz w:val="16"/>
                <w:szCs w:val="16"/>
              </w:rPr>
              <w:t>P220</w:t>
            </w:r>
          </w:p>
        </w:tc>
        <w:tc>
          <w:tcPr>
            <w:tcW w:w="1260" w:type="dxa"/>
            <w:shd w:val="clear" w:color="auto" w:fill="auto"/>
            <w:tcMar>
              <w:top w:w="13" w:type="dxa"/>
              <w:left w:w="93" w:type="dxa"/>
              <w:bottom w:w="0" w:type="dxa"/>
              <w:right w:w="93" w:type="dxa"/>
            </w:tcMar>
            <w:vAlign w:val="center"/>
          </w:tcPr>
          <w:p w:rsidR="0065130B" w:rsidRPr="00CA0AE3" w:rsidRDefault="0065130B" w:rsidP="0065130B">
            <w:pPr>
              <w:pStyle w:val="Default"/>
              <w:jc w:val="center"/>
              <w:rPr>
                <w:color w:val="auto"/>
                <w:sz w:val="16"/>
                <w:szCs w:val="16"/>
              </w:rPr>
            </w:pPr>
            <w:r w:rsidRPr="00CA0AE3">
              <w:rPr>
                <w:color w:val="auto"/>
                <w:sz w:val="16"/>
                <w:szCs w:val="16"/>
              </w:rPr>
              <w:t xml:space="preserve">No external benchmark; </w:t>
            </w:r>
          </w:p>
          <w:p w:rsidR="0065130B" w:rsidRPr="00CA0AE3" w:rsidRDefault="0065130B" w:rsidP="0065130B">
            <w:pPr>
              <w:spacing w:after="0" w:line="240" w:lineRule="auto"/>
              <w:jc w:val="center"/>
              <w:rPr>
                <w:sz w:val="16"/>
                <w:szCs w:val="16"/>
              </w:rPr>
            </w:pPr>
            <w:r w:rsidRPr="00CA0AE3">
              <w:rPr>
                <w:sz w:val="16"/>
                <w:szCs w:val="16"/>
              </w:rPr>
              <w:t>hospital specific improvement</w:t>
            </w:r>
          </w:p>
        </w:tc>
        <w:tc>
          <w:tcPr>
            <w:tcW w:w="1440" w:type="dxa"/>
            <w:shd w:val="clear" w:color="auto" w:fill="auto"/>
            <w:tcMar>
              <w:top w:w="13" w:type="dxa"/>
              <w:left w:w="93" w:type="dxa"/>
              <w:bottom w:w="0" w:type="dxa"/>
              <w:right w:w="93" w:type="dxa"/>
            </w:tcMar>
            <w:vAlign w:val="center"/>
          </w:tcPr>
          <w:p w:rsidR="0065130B" w:rsidRPr="00CA0AE3" w:rsidRDefault="0065130B" w:rsidP="0065130B">
            <w:pPr>
              <w:spacing w:after="0" w:line="240" w:lineRule="auto"/>
              <w:jc w:val="center"/>
              <w:rPr>
                <w:bCs/>
                <w:sz w:val="16"/>
                <w:szCs w:val="16"/>
              </w:rPr>
            </w:pPr>
            <w:r w:rsidRPr="00CA0AE3">
              <w:rPr>
                <w:bCs/>
                <w:sz w:val="16"/>
                <w:szCs w:val="16"/>
              </w:rPr>
              <w:t>Gap to Goal (10%) or attainment at target:</w:t>
            </w:r>
          </w:p>
          <w:p w:rsidR="0065130B" w:rsidRPr="00CA0AE3" w:rsidRDefault="0065130B" w:rsidP="0065130B">
            <w:pPr>
              <w:spacing w:after="0" w:line="240" w:lineRule="auto"/>
              <w:jc w:val="center"/>
              <w:rPr>
                <w:bCs/>
                <w:sz w:val="16"/>
                <w:szCs w:val="16"/>
              </w:rPr>
            </w:pPr>
            <w:r w:rsidRPr="00CA0AE3">
              <w:rPr>
                <w:bCs/>
                <w:sz w:val="16"/>
                <w:szCs w:val="16"/>
              </w:rPr>
              <w:t>Target 90%</w:t>
            </w:r>
          </w:p>
        </w:tc>
        <w:tc>
          <w:tcPr>
            <w:tcW w:w="1170" w:type="dxa"/>
            <w:shd w:val="clear" w:color="auto" w:fill="auto"/>
            <w:tcMar>
              <w:top w:w="13" w:type="dxa"/>
              <w:left w:w="93" w:type="dxa"/>
              <w:bottom w:w="0" w:type="dxa"/>
              <w:right w:w="93" w:type="dxa"/>
            </w:tcMar>
            <w:vAlign w:val="center"/>
          </w:tcPr>
          <w:p w:rsidR="0065130B" w:rsidRPr="00CA0AE3" w:rsidRDefault="0065130B" w:rsidP="0065130B">
            <w:pPr>
              <w:spacing w:after="0" w:line="240" w:lineRule="auto"/>
              <w:jc w:val="center"/>
              <w:rPr>
                <w:b/>
                <w:sz w:val="16"/>
                <w:szCs w:val="16"/>
              </w:rPr>
            </w:pPr>
            <w:r w:rsidRPr="00CA0AE3">
              <w:rPr>
                <w:b/>
                <w:sz w:val="16"/>
                <w:szCs w:val="16"/>
              </w:rPr>
              <w:t>B</w:t>
            </w:r>
          </w:p>
          <w:p w:rsidR="0065130B" w:rsidRPr="00CA0AE3" w:rsidRDefault="008D3CB4" w:rsidP="0065130B">
            <w:pPr>
              <w:spacing w:after="0" w:line="240" w:lineRule="auto"/>
              <w:jc w:val="center"/>
              <w:rPr>
                <w:sz w:val="16"/>
                <w:szCs w:val="16"/>
              </w:rPr>
            </w:pPr>
            <w:r w:rsidRPr="00CA0AE3">
              <w:rPr>
                <w:sz w:val="16"/>
                <w:szCs w:val="16"/>
              </w:rPr>
              <w:t>(4/1/17 -3/31/18)</w:t>
            </w:r>
          </w:p>
        </w:tc>
        <w:tc>
          <w:tcPr>
            <w:tcW w:w="1260" w:type="dxa"/>
            <w:shd w:val="clear" w:color="auto" w:fill="auto"/>
            <w:tcMar>
              <w:top w:w="13" w:type="dxa"/>
              <w:left w:w="93" w:type="dxa"/>
              <w:bottom w:w="0" w:type="dxa"/>
              <w:right w:w="93" w:type="dxa"/>
            </w:tcMar>
            <w:vAlign w:val="center"/>
          </w:tcPr>
          <w:p w:rsidR="0065130B" w:rsidRPr="00CA0AE3" w:rsidRDefault="0065130B" w:rsidP="0065130B">
            <w:pPr>
              <w:spacing w:after="0" w:line="240" w:lineRule="auto"/>
              <w:jc w:val="center"/>
              <w:rPr>
                <w:b/>
                <w:sz w:val="16"/>
                <w:szCs w:val="16"/>
              </w:rPr>
            </w:pPr>
            <w:r w:rsidRPr="00CA0AE3">
              <w:rPr>
                <w:b/>
                <w:sz w:val="16"/>
                <w:szCs w:val="16"/>
              </w:rPr>
              <w:t>O</w:t>
            </w:r>
          </w:p>
          <w:p w:rsidR="0065130B" w:rsidRPr="00CA0AE3" w:rsidRDefault="008D3CB4" w:rsidP="0065130B">
            <w:pPr>
              <w:spacing w:after="0" w:line="240" w:lineRule="auto"/>
              <w:jc w:val="center"/>
              <w:rPr>
                <w:sz w:val="16"/>
                <w:szCs w:val="16"/>
              </w:rPr>
            </w:pPr>
            <w:r w:rsidRPr="00CA0AE3">
              <w:rPr>
                <w:sz w:val="16"/>
                <w:szCs w:val="16"/>
              </w:rPr>
              <w:t>(4/1/18 -3/31/19)</w:t>
            </w:r>
          </w:p>
        </w:tc>
        <w:tc>
          <w:tcPr>
            <w:tcW w:w="1260" w:type="dxa"/>
            <w:shd w:val="clear" w:color="auto" w:fill="auto"/>
            <w:tcMar>
              <w:top w:w="13" w:type="dxa"/>
              <w:left w:w="93" w:type="dxa"/>
              <w:bottom w:w="0" w:type="dxa"/>
              <w:right w:w="93" w:type="dxa"/>
            </w:tcMar>
            <w:vAlign w:val="center"/>
          </w:tcPr>
          <w:p w:rsidR="0065130B" w:rsidRPr="00CA0AE3" w:rsidRDefault="0065130B" w:rsidP="0065130B">
            <w:pPr>
              <w:spacing w:after="0" w:line="240" w:lineRule="auto"/>
              <w:jc w:val="center"/>
              <w:rPr>
                <w:b/>
                <w:sz w:val="16"/>
                <w:szCs w:val="16"/>
              </w:rPr>
            </w:pPr>
            <w:r w:rsidRPr="00CA0AE3">
              <w:rPr>
                <w:b/>
                <w:sz w:val="16"/>
                <w:szCs w:val="16"/>
              </w:rPr>
              <w:t>O</w:t>
            </w:r>
          </w:p>
          <w:p w:rsidR="0065130B" w:rsidRPr="00CA0AE3" w:rsidRDefault="008D3CB4" w:rsidP="0065130B">
            <w:pPr>
              <w:spacing w:after="0" w:line="240" w:lineRule="auto"/>
              <w:jc w:val="center"/>
              <w:rPr>
                <w:sz w:val="16"/>
                <w:szCs w:val="16"/>
              </w:rPr>
            </w:pPr>
            <w:r w:rsidRPr="00CA0AE3">
              <w:rPr>
                <w:sz w:val="16"/>
                <w:szCs w:val="16"/>
              </w:rPr>
              <w:t>(4/1/19 -3/31/20)</w:t>
            </w:r>
          </w:p>
        </w:tc>
        <w:tc>
          <w:tcPr>
            <w:tcW w:w="1260" w:type="dxa"/>
            <w:shd w:val="clear" w:color="auto" w:fill="auto"/>
            <w:tcMar>
              <w:top w:w="13" w:type="dxa"/>
              <w:left w:w="93" w:type="dxa"/>
              <w:bottom w:w="0" w:type="dxa"/>
              <w:right w:w="93" w:type="dxa"/>
            </w:tcMar>
            <w:vAlign w:val="center"/>
          </w:tcPr>
          <w:p w:rsidR="0065130B" w:rsidRPr="00CA0AE3" w:rsidRDefault="0065130B" w:rsidP="0065130B">
            <w:pPr>
              <w:spacing w:after="0" w:line="240" w:lineRule="auto"/>
              <w:jc w:val="center"/>
              <w:rPr>
                <w:b/>
                <w:sz w:val="16"/>
                <w:szCs w:val="16"/>
              </w:rPr>
            </w:pPr>
            <w:r w:rsidRPr="00CA0AE3">
              <w:rPr>
                <w:b/>
                <w:sz w:val="16"/>
                <w:szCs w:val="16"/>
              </w:rPr>
              <w:t>O</w:t>
            </w:r>
          </w:p>
          <w:p w:rsidR="0065130B" w:rsidRPr="00CA0AE3" w:rsidRDefault="008D3CB4" w:rsidP="0065130B">
            <w:pPr>
              <w:spacing w:after="0" w:line="240" w:lineRule="auto"/>
              <w:jc w:val="center"/>
              <w:rPr>
                <w:sz w:val="16"/>
                <w:szCs w:val="16"/>
              </w:rPr>
            </w:pPr>
            <w:r w:rsidRPr="00CA0AE3">
              <w:rPr>
                <w:sz w:val="16"/>
                <w:szCs w:val="16"/>
              </w:rPr>
              <w:t>(4/1/20 -3/31/21)</w:t>
            </w:r>
          </w:p>
        </w:tc>
        <w:tc>
          <w:tcPr>
            <w:tcW w:w="1260" w:type="dxa"/>
            <w:shd w:val="clear" w:color="auto" w:fill="auto"/>
            <w:tcMar>
              <w:top w:w="13" w:type="dxa"/>
              <w:left w:w="93" w:type="dxa"/>
              <w:bottom w:w="0" w:type="dxa"/>
              <w:right w:w="93" w:type="dxa"/>
            </w:tcMar>
            <w:vAlign w:val="center"/>
          </w:tcPr>
          <w:p w:rsidR="0065130B" w:rsidRPr="00CA0AE3" w:rsidRDefault="0065130B" w:rsidP="0065130B">
            <w:pPr>
              <w:spacing w:after="0" w:line="240" w:lineRule="auto"/>
              <w:jc w:val="center"/>
              <w:rPr>
                <w:b/>
                <w:sz w:val="16"/>
                <w:szCs w:val="16"/>
              </w:rPr>
            </w:pPr>
            <w:r w:rsidRPr="00CA0AE3">
              <w:rPr>
                <w:b/>
                <w:sz w:val="16"/>
                <w:szCs w:val="16"/>
              </w:rPr>
              <w:t>O</w:t>
            </w:r>
          </w:p>
          <w:p w:rsidR="0065130B" w:rsidRPr="00CA0AE3" w:rsidRDefault="008D3CB4" w:rsidP="0065130B">
            <w:pPr>
              <w:spacing w:after="0" w:line="240" w:lineRule="auto"/>
              <w:jc w:val="center"/>
              <w:rPr>
                <w:sz w:val="16"/>
                <w:szCs w:val="16"/>
              </w:rPr>
            </w:pPr>
            <w:r w:rsidRPr="00CA0AE3">
              <w:rPr>
                <w:sz w:val="16"/>
                <w:szCs w:val="16"/>
              </w:rPr>
              <w:t>(4/1/21 - 3/31/22)</w:t>
            </w:r>
          </w:p>
        </w:tc>
        <w:tc>
          <w:tcPr>
            <w:tcW w:w="1266" w:type="dxa"/>
            <w:vAlign w:val="center"/>
          </w:tcPr>
          <w:p w:rsidR="0065130B" w:rsidRPr="00CA0AE3" w:rsidRDefault="0065130B" w:rsidP="00B3615C">
            <w:pPr>
              <w:spacing w:after="0" w:line="240" w:lineRule="auto"/>
              <w:rPr>
                <w:rFonts w:eastAsia="Times New Roman"/>
                <w:sz w:val="16"/>
                <w:szCs w:val="16"/>
              </w:rPr>
            </w:pPr>
            <w:r w:rsidRPr="00CA0AE3">
              <w:rPr>
                <w:rFonts w:eastAsia="Times New Roman"/>
                <w:sz w:val="16"/>
                <w:szCs w:val="16"/>
              </w:rPr>
              <w:t>Target of 90% established based on clinical operations standards, taking into account the spectrum of patient routine and urgent visit types</w:t>
            </w:r>
          </w:p>
        </w:tc>
      </w:tr>
    </w:tbl>
    <w:p w:rsidR="00ED4745" w:rsidRPr="00CA0AE3" w:rsidRDefault="00E37119">
      <w:pPr>
        <w:spacing w:after="0" w:line="240" w:lineRule="auto"/>
        <w:sectPr w:rsidR="00ED4745" w:rsidRPr="00CA0AE3" w:rsidSect="00147DA7">
          <w:footerReference w:type="default" r:id="rId18"/>
          <w:pgSz w:w="15840" w:h="12240" w:orient="landscape"/>
          <w:pgMar w:top="1440" w:right="1260" w:bottom="1260" w:left="1260" w:header="720" w:footer="720" w:gutter="0"/>
          <w:cols w:space="720"/>
          <w:docGrid w:linePitch="360"/>
        </w:sectPr>
      </w:pPr>
      <w:r w:rsidRPr="00CA0AE3">
        <w:br w:type="page"/>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1728"/>
        <w:gridCol w:w="7073"/>
      </w:tblGrid>
      <w:tr w:rsidR="004A2922" w:rsidRPr="00CA0AE3" w:rsidTr="004A2922">
        <w:trPr>
          <w:trHeight w:val="159"/>
          <w:tblHeader/>
        </w:trPr>
        <w:tc>
          <w:tcPr>
            <w:tcW w:w="1728" w:type="dxa"/>
            <w:tcBorders>
              <w:top w:val="single" w:sz="4" w:space="0" w:color="auto"/>
              <w:bottom w:val="single" w:sz="6" w:space="0" w:color="auto"/>
            </w:tcBorders>
            <w:shd w:val="clear" w:color="auto" w:fill="C6D9F1" w:themeFill="text2" w:themeFillTint="33"/>
          </w:tcPr>
          <w:p w:rsidR="004A2922" w:rsidRPr="00CA0AE3" w:rsidRDefault="004A2922" w:rsidP="004A2922">
            <w:pPr>
              <w:pStyle w:val="Default"/>
              <w:rPr>
                <w:sz w:val="22"/>
                <w:szCs w:val="22"/>
              </w:rPr>
            </w:pPr>
            <w:r w:rsidRPr="00CA0AE3">
              <w:rPr>
                <w:b/>
                <w:bCs/>
                <w:sz w:val="22"/>
                <w:szCs w:val="22"/>
                <w:shd w:val="clear" w:color="auto" w:fill="C6D9F1" w:themeFill="text2" w:themeFillTint="33"/>
              </w:rPr>
              <w:lastRenderedPageBreak/>
              <w:t>Initiative Title</w:t>
            </w:r>
            <w:r w:rsidRPr="00CA0AE3">
              <w:rPr>
                <w:b/>
                <w:bCs/>
                <w:sz w:val="22"/>
                <w:szCs w:val="22"/>
              </w:rPr>
              <w:t xml:space="preserve"> </w:t>
            </w:r>
          </w:p>
        </w:tc>
        <w:tc>
          <w:tcPr>
            <w:tcW w:w="7073" w:type="dxa"/>
          </w:tcPr>
          <w:p w:rsidR="004A2922" w:rsidRPr="00CA0AE3" w:rsidRDefault="00E70136" w:rsidP="004A2922">
            <w:pPr>
              <w:pStyle w:val="Default"/>
              <w:rPr>
                <w:sz w:val="22"/>
                <w:szCs w:val="22"/>
              </w:rPr>
            </w:pPr>
            <w:r w:rsidRPr="00CA0AE3">
              <w:rPr>
                <w:sz w:val="22"/>
                <w:szCs w:val="22"/>
              </w:rPr>
              <w:t xml:space="preserve">4. </w:t>
            </w:r>
            <w:r w:rsidR="004A2922" w:rsidRPr="00CA0AE3">
              <w:rPr>
                <w:sz w:val="22"/>
                <w:szCs w:val="22"/>
              </w:rPr>
              <w:t>Evidence-Based Practices for Medical Management of Chronic Conditions</w:t>
            </w:r>
          </w:p>
        </w:tc>
      </w:tr>
      <w:tr w:rsidR="004A2922" w:rsidRPr="00CA0AE3" w:rsidTr="001336A1">
        <w:trPr>
          <w:trHeight w:val="159"/>
        </w:trPr>
        <w:tc>
          <w:tcPr>
            <w:tcW w:w="8801" w:type="dxa"/>
            <w:gridSpan w:val="2"/>
            <w:shd w:val="clear" w:color="auto" w:fill="C6D9F1" w:themeFill="text2" w:themeFillTint="33"/>
          </w:tcPr>
          <w:p w:rsidR="004A2922" w:rsidRPr="00CA0AE3" w:rsidRDefault="004A2922" w:rsidP="004A2922">
            <w:pPr>
              <w:pStyle w:val="Default"/>
              <w:rPr>
                <w:sz w:val="22"/>
                <w:szCs w:val="22"/>
              </w:rPr>
            </w:pPr>
            <w:r w:rsidRPr="00CA0AE3">
              <w:rPr>
                <w:b/>
                <w:bCs/>
                <w:sz w:val="22"/>
                <w:szCs w:val="22"/>
              </w:rPr>
              <w:t xml:space="preserve">Description/Rationale </w:t>
            </w:r>
          </w:p>
        </w:tc>
      </w:tr>
      <w:tr w:rsidR="004A2922" w:rsidRPr="00CA0AE3" w:rsidTr="001336A1">
        <w:trPr>
          <w:trHeight w:val="6663"/>
        </w:trPr>
        <w:tc>
          <w:tcPr>
            <w:tcW w:w="8801" w:type="dxa"/>
            <w:gridSpan w:val="2"/>
          </w:tcPr>
          <w:p w:rsidR="004A2922" w:rsidRPr="00CA0AE3" w:rsidRDefault="004A2922" w:rsidP="004A2922">
            <w:pPr>
              <w:pStyle w:val="Default"/>
              <w:rPr>
                <w:iCs/>
                <w:sz w:val="22"/>
                <w:szCs w:val="22"/>
              </w:rPr>
            </w:pPr>
            <w:r w:rsidRPr="00CA0AE3">
              <w:rPr>
                <w:color w:val="auto"/>
                <w:sz w:val="22"/>
                <w:szCs w:val="22"/>
              </w:rPr>
              <w:t>Evidence Based Medicine (EBM) is the conscientious, explicit, and judicious use of current best evidence in making decisions about the care of individual patients.</w:t>
            </w:r>
            <w:r w:rsidRPr="00CA0AE3">
              <w:rPr>
                <w:rStyle w:val="FootnoteReference"/>
                <w:color w:val="auto"/>
                <w:sz w:val="22"/>
                <w:szCs w:val="22"/>
              </w:rPr>
              <w:footnoteReference w:id="92"/>
            </w:r>
            <w:r w:rsidRPr="00CA0AE3">
              <w:rPr>
                <w:color w:val="auto"/>
                <w:sz w:val="22"/>
                <w:szCs w:val="22"/>
              </w:rPr>
              <w:t xml:space="preserve"> </w:t>
            </w:r>
            <w:r w:rsidRPr="00CA0AE3">
              <w:rPr>
                <w:sz w:val="22"/>
                <w:szCs w:val="22"/>
              </w:rPr>
              <w:t>The goal is to improve outcomes, quality, and cost by reducing the variation of care for key conditions and integrate EBM into the health care delivery system across the continuum. The concept of variation of care was outlined in the 2010 Dartmouth Institute’s reflections on geographic variations</w:t>
            </w:r>
            <w:r w:rsidRPr="00CA0AE3">
              <w:rPr>
                <w:rStyle w:val="FootnoteReference"/>
                <w:sz w:val="22"/>
                <w:szCs w:val="22"/>
              </w:rPr>
              <w:footnoteReference w:id="93"/>
            </w:r>
            <w:r w:rsidRPr="00CA0AE3">
              <w:rPr>
                <w:sz w:val="22"/>
                <w:szCs w:val="22"/>
              </w:rPr>
              <w:t xml:space="preserve">; however, a similar deviation from EBM and variations in care may also be observed </w:t>
            </w:r>
            <w:r w:rsidRPr="00CA0AE3">
              <w:rPr>
                <w:i/>
                <w:sz w:val="22"/>
                <w:szCs w:val="22"/>
              </w:rPr>
              <w:t>within</w:t>
            </w:r>
            <w:r w:rsidRPr="00CA0AE3">
              <w:rPr>
                <w:sz w:val="22"/>
                <w:szCs w:val="22"/>
              </w:rPr>
              <w:t xml:space="preserve"> health care systems and practices, acknowledging natural difference</w:t>
            </w:r>
            <w:r w:rsidR="005A3337" w:rsidRPr="00CA0AE3">
              <w:rPr>
                <w:sz w:val="22"/>
                <w:szCs w:val="22"/>
              </w:rPr>
              <w:t>s</w:t>
            </w:r>
            <w:r w:rsidRPr="00CA0AE3">
              <w:rPr>
                <w:sz w:val="22"/>
                <w:szCs w:val="22"/>
              </w:rPr>
              <w:t xml:space="preserve"> between patients. Toward</w:t>
            </w:r>
            <w:r w:rsidRPr="00CA0AE3">
              <w:rPr>
                <w:iCs/>
                <w:sz w:val="22"/>
                <w:szCs w:val="22"/>
              </w:rPr>
              <w:t xml:space="preserve"> safer, higher-quality care, redesigned systems of care, including the use of information technology, can best support clinical and administrative processes to adopt EBM and improve patient outcomes.</w:t>
            </w:r>
            <w:r w:rsidRPr="00CA0AE3">
              <w:rPr>
                <w:rStyle w:val="FootnoteReference"/>
                <w:iCs/>
                <w:sz w:val="22"/>
                <w:szCs w:val="22"/>
              </w:rPr>
              <w:footnoteReference w:id="94"/>
            </w:r>
            <w:r w:rsidRPr="00CA0AE3">
              <w:rPr>
                <w:iCs/>
                <w:sz w:val="22"/>
                <w:szCs w:val="22"/>
              </w:rPr>
              <w:t xml:space="preserve"> </w:t>
            </w:r>
          </w:p>
          <w:p w:rsidR="004A2922" w:rsidRPr="00CA0AE3" w:rsidRDefault="004A2922" w:rsidP="004A2922">
            <w:pPr>
              <w:pStyle w:val="Default"/>
              <w:rPr>
                <w:iCs/>
                <w:sz w:val="22"/>
                <w:szCs w:val="22"/>
              </w:rPr>
            </w:pPr>
          </w:p>
          <w:p w:rsidR="004A2922" w:rsidRPr="00CA0AE3" w:rsidRDefault="004A2922" w:rsidP="004A2922">
            <w:pPr>
              <w:pStyle w:val="Default"/>
              <w:rPr>
                <w:color w:val="auto"/>
                <w:sz w:val="22"/>
                <w:szCs w:val="22"/>
              </w:rPr>
            </w:pPr>
            <w:r w:rsidRPr="00CA0AE3">
              <w:rPr>
                <w:color w:val="auto"/>
                <w:sz w:val="22"/>
                <w:szCs w:val="22"/>
              </w:rPr>
              <w:t>Efforts to change the culture of medical practice to adopt EBM include education on recommendations from peer-reviewed groups such as Cochrane or the U.S. Preventive Services Task Force (USPTF), integration of EBM into clinical activities via clinical decision support (CDS), and the application of population health data to prioritize and subsequently develop systems to close quality gaps.</w:t>
            </w:r>
            <w:r w:rsidRPr="00CA0AE3">
              <w:rPr>
                <w:rStyle w:val="FootnoteReference"/>
                <w:color w:val="auto"/>
                <w:sz w:val="22"/>
                <w:szCs w:val="22"/>
              </w:rPr>
              <w:footnoteReference w:id="95"/>
            </w:r>
            <w:r w:rsidRPr="00CA0AE3">
              <w:rPr>
                <w:color w:val="auto"/>
                <w:sz w:val="22"/>
                <w:szCs w:val="22"/>
              </w:rPr>
              <w:t xml:space="preserve">   </w:t>
            </w:r>
          </w:p>
          <w:p w:rsidR="004A2922" w:rsidRPr="00CA0AE3" w:rsidRDefault="004A2922" w:rsidP="004A2922">
            <w:pPr>
              <w:pStyle w:val="Default"/>
              <w:rPr>
                <w:color w:val="auto"/>
                <w:sz w:val="22"/>
                <w:szCs w:val="22"/>
              </w:rPr>
            </w:pPr>
          </w:p>
          <w:p w:rsidR="004A2922" w:rsidRPr="00CA0AE3" w:rsidRDefault="004A2922" w:rsidP="004A2922">
            <w:pPr>
              <w:pStyle w:val="Default"/>
              <w:rPr>
                <w:sz w:val="22"/>
                <w:szCs w:val="22"/>
              </w:rPr>
            </w:pPr>
            <w:r w:rsidRPr="00CA0AE3">
              <w:rPr>
                <w:color w:val="auto"/>
                <w:sz w:val="22"/>
                <w:szCs w:val="22"/>
              </w:rPr>
              <w:t xml:space="preserve">Building on </w:t>
            </w:r>
            <w:r w:rsidRPr="00CA0AE3">
              <w:rPr>
                <w:sz w:val="22"/>
                <w:szCs w:val="22"/>
              </w:rPr>
              <w:t>systematic efforts in medical management such as those sponsored by the Institute for Health Care Improvement learning collaborative known as “Pursuing Perfection”</w:t>
            </w:r>
            <w:r w:rsidRPr="00CA0AE3">
              <w:rPr>
                <w:rStyle w:val="FootnoteReference"/>
                <w:sz w:val="22"/>
                <w:szCs w:val="22"/>
              </w:rPr>
              <w:footnoteReference w:id="96"/>
            </w:r>
            <w:r w:rsidRPr="00CA0AE3">
              <w:rPr>
                <w:sz w:val="22"/>
                <w:szCs w:val="22"/>
              </w:rPr>
              <w:t xml:space="preserve"> and foundational transformation work under the current Waiver, planned future initiatives build on capabilities to develop and use population health databases, risk stratify patients, and help connect </w:t>
            </w:r>
            <w:r w:rsidR="005A3337" w:rsidRPr="00CA0AE3">
              <w:rPr>
                <w:sz w:val="22"/>
                <w:szCs w:val="22"/>
              </w:rPr>
              <w:t>the</w:t>
            </w:r>
            <w:r w:rsidRPr="00CA0AE3">
              <w:rPr>
                <w:sz w:val="22"/>
                <w:szCs w:val="22"/>
              </w:rPr>
              <w:t xml:space="preserve"> most costly and vulnerable patients with complex care management, transitional facilitators, and palliative care services. </w:t>
            </w:r>
          </w:p>
          <w:p w:rsidR="004A2922" w:rsidRPr="00CA0AE3" w:rsidRDefault="004A2922" w:rsidP="004A2922">
            <w:pPr>
              <w:pStyle w:val="Default"/>
              <w:rPr>
                <w:sz w:val="22"/>
                <w:szCs w:val="22"/>
              </w:rPr>
            </w:pPr>
          </w:p>
          <w:p w:rsidR="004A2922" w:rsidRPr="00CA0AE3" w:rsidRDefault="004A2922" w:rsidP="004A2922">
            <w:pPr>
              <w:pStyle w:val="Default"/>
              <w:rPr>
                <w:color w:val="auto"/>
                <w:sz w:val="22"/>
                <w:szCs w:val="22"/>
              </w:rPr>
            </w:pPr>
            <w:r w:rsidRPr="00CA0AE3">
              <w:rPr>
                <w:sz w:val="22"/>
                <w:szCs w:val="22"/>
              </w:rPr>
              <w:t xml:space="preserve">Evidence-based patient engagement strategies may include those such as motivational interviewing in chronic health conditions and for substance use disorders, electronic medical record clinical decision support for chronic conditions and prevention, expansion of nursing, pharmacist, and other care team member roles in chronic disease management, and mental health team integration within primary care. </w:t>
            </w:r>
            <w:r w:rsidRPr="00CA0AE3">
              <w:rPr>
                <w:color w:val="auto"/>
                <w:sz w:val="22"/>
                <w:szCs w:val="22"/>
              </w:rPr>
              <w:t xml:space="preserve"> </w:t>
            </w:r>
            <w:r w:rsidRPr="00CA0AE3">
              <w:rPr>
                <w:sz w:val="22"/>
                <w:szCs w:val="22"/>
              </w:rPr>
              <w:t>Initiatives may include refining tools, frameworks, analytics, and clinical workforce development in the use of evidence-based guidelines across the care continuum to care for specific populations of patients.   A goal is to “hard wire” enhanced quality by utilizing evidence-based practices to support providers and patients in making informed decisions about treatments, medications, risks, costs, and benefits.</w:t>
            </w:r>
            <w:r w:rsidRPr="00CA0AE3">
              <w:rPr>
                <w:rStyle w:val="FootnoteReference"/>
                <w:sz w:val="22"/>
                <w:szCs w:val="22"/>
              </w:rPr>
              <w:footnoteReference w:id="97"/>
            </w:r>
          </w:p>
        </w:tc>
      </w:tr>
      <w:tr w:rsidR="004A2922" w:rsidRPr="00CA0AE3" w:rsidTr="00175454">
        <w:trPr>
          <w:trHeight w:val="297"/>
        </w:trPr>
        <w:tc>
          <w:tcPr>
            <w:tcW w:w="8801" w:type="dxa"/>
            <w:gridSpan w:val="2"/>
            <w:shd w:val="clear" w:color="auto" w:fill="C6D9F1" w:themeFill="text2" w:themeFillTint="33"/>
            <w:vAlign w:val="center"/>
          </w:tcPr>
          <w:p w:rsidR="004A2922" w:rsidRPr="00CA0AE3" w:rsidRDefault="004A2922" w:rsidP="00175454">
            <w:pPr>
              <w:pStyle w:val="Default"/>
              <w:pageBreakBefore/>
              <w:rPr>
                <w:b/>
                <w:sz w:val="22"/>
                <w:szCs w:val="22"/>
              </w:rPr>
            </w:pPr>
            <w:r w:rsidRPr="00CA0AE3">
              <w:rPr>
                <w:b/>
                <w:sz w:val="22"/>
                <w:szCs w:val="22"/>
              </w:rPr>
              <w:lastRenderedPageBreak/>
              <w:t>Goals/Objectives</w:t>
            </w:r>
          </w:p>
        </w:tc>
      </w:tr>
      <w:tr w:rsidR="004A2922" w:rsidRPr="00CA0AE3" w:rsidTr="004A2922">
        <w:trPr>
          <w:trHeight w:val="2469"/>
        </w:trPr>
        <w:tc>
          <w:tcPr>
            <w:tcW w:w="8801" w:type="dxa"/>
            <w:gridSpan w:val="2"/>
            <w:tcBorders>
              <w:bottom w:val="single" w:sz="6" w:space="0" w:color="auto"/>
            </w:tcBorders>
            <w:shd w:val="clear" w:color="auto" w:fill="auto"/>
          </w:tcPr>
          <w:p w:rsidR="004A2922" w:rsidRPr="00CA0AE3" w:rsidRDefault="004A2922" w:rsidP="00175454">
            <w:pPr>
              <w:pStyle w:val="Default"/>
              <w:rPr>
                <w:sz w:val="22"/>
                <w:szCs w:val="22"/>
              </w:rPr>
            </w:pPr>
            <w:r w:rsidRPr="00CA0AE3">
              <w:rPr>
                <w:sz w:val="22"/>
                <w:szCs w:val="22"/>
              </w:rPr>
              <w:t xml:space="preserve">A medical management program is one of the pillars of health care reorganization to function effectively as an Accountable Care Organization (ACO) to improve population health outcomes. Medical management programs aim to develop and implement evidence-based clinical guidelines for populations of patients with particular conditions to ensure the right care at the right time in the right context and produce optimal outcomes for quality, safety, cost, and experience.  Efforts will focus on improving care and reducing cost for populations of patients with five conditions: chronic obstructive pulmonary disease; congestive heart failure; hypertension; diabetes; and pediatric asthma.  </w:t>
            </w:r>
          </w:p>
          <w:p w:rsidR="004A2922" w:rsidRPr="00CA0AE3" w:rsidRDefault="004A2922" w:rsidP="004A2922">
            <w:pPr>
              <w:pStyle w:val="Default"/>
              <w:rPr>
                <w:sz w:val="22"/>
                <w:szCs w:val="22"/>
              </w:rPr>
            </w:pPr>
            <w:r w:rsidRPr="00CA0AE3">
              <w:rPr>
                <w:sz w:val="22"/>
                <w:szCs w:val="22"/>
              </w:rPr>
              <w:t xml:space="preserve">Specific objectives may include: </w:t>
            </w:r>
          </w:p>
          <w:p w:rsidR="00892289" w:rsidRPr="00CA0AE3" w:rsidRDefault="00892289" w:rsidP="004A2922">
            <w:pPr>
              <w:pStyle w:val="Default"/>
              <w:rPr>
                <w:sz w:val="22"/>
                <w:szCs w:val="22"/>
              </w:rPr>
            </w:pPr>
          </w:p>
          <w:p w:rsidR="004A2922" w:rsidRPr="00CA0AE3" w:rsidRDefault="004A2922" w:rsidP="004A2922">
            <w:pPr>
              <w:pStyle w:val="Default"/>
              <w:numPr>
                <w:ilvl w:val="0"/>
                <w:numId w:val="50"/>
              </w:numPr>
              <w:rPr>
                <w:sz w:val="22"/>
                <w:szCs w:val="22"/>
              </w:rPr>
            </w:pPr>
            <w:r w:rsidRPr="00CA0AE3">
              <w:rPr>
                <w:sz w:val="22"/>
                <w:szCs w:val="22"/>
              </w:rPr>
              <w:t xml:space="preserve">Improve health indicators for primary care panel patients with selected chronic health conditions (which may include </w:t>
            </w:r>
            <w:r w:rsidRPr="00CA0AE3">
              <w:rPr>
                <w:bCs/>
                <w:sz w:val="22"/>
                <w:szCs w:val="22"/>
              </w:rPr>
              <w:t>chronic obstructive pulmonary disease (COPD), congestive heart failure (CHF), hypertension, diabetes, and pediatric asthma)</w:t>
            </w:r>
            <w:r w:rsidRPr="00CA0AE3">
              <w:rPr>
                <w:sz w:val="22"/>
                <w:szCs w:val="22"/>
              </w:rPr>
              <w:t>, including those with co-occurring mental health conditions and substance use disorders;</w:t>
            </w:r>
          </w:p>
          <w:p w:rsidR="004A2922" w:rsidRPr="00CA0AE3" w:rsidRDefault="004A2922" w:rsidP="004A2922">
            <w:pPr>
              <w:pStyle w:val="Default"/>
              <w:numPr>
                <w:ilvl w:val="0"/>
                <w:numId w:val="50"/>
              </w:numPr>
              <w:rPr>
                <w:sz w:val="22"/>
                <w:szCs w:val="22"/>
              </w:rPr>
            </w:pPr>
            <w:r w:rsidRPr="00CA0AE3">
              <w:rPr>
                <w:sz w:val="22"/>
                <w:szCs w:val="22"/>
              </w:rPr>
              <w:t>Improve transitions in care and reduce avoidable hospital readmission for patients with targeted chronic health conditions;</w:t>
            </w:r>
          </w:p>
          <w:p w:rsidR="004A2922" w:rsidRPr="00CA0AE3" w:rsidRDefault="004A2922" w:rsidP="004A2922">
            <w:pPr>
              <w:pStyle w:val="Default"/>
              <w:numPr>
                <w:ilvl w:val="0"/>
                <w:numId w:val="50"/>
              </w:numPr>
              <w:rPr>
                <w:sz w:val="22"/>
                <w:szCs w:val="22"/>
              </w:rPr>
            </w:pPr>
            <w:r w:rsidRPr="00CA0AE3">
              <w:rPr>
                <w:sz w:val="22"/>
                <w:szCs w:val="22"/>
              </w:rPr>
              <w:t>Foster advance care planning and use of palliative care services for patients with advanced stage illness related to the targeted chronic health conditions;</w:t>
            </w:r>
          </w:p>
          <w:p w:rsidR="004A2922" w:rsidRPr="00CA0AE3" w:rsidRDefault="004A2922" w:rsidP="004A2922">
            <w:pPr>
              <w:pStyle w:val="Default"/>
              <w:numPr>
                <w:ilvl w:val="0"/>
                <w:numId w:val="50"/>
              </w:numPr>
              <w:rPr>
                <w:sz w:val="22"/>
                <w:szCs w:val="22"/>
              </w:rPr>
            </w:pPr>
            <w:r w:rsidRPr="00CA0AE3">
              <w:rPr>
                <w:sz w:val="22"/>
                <w:szCs w:val="22"/>
              </w:rPr>
              <w:t>Articulate institutional evidence-based guidelines for selected chronic health conditions for care across the continuum (self care, primary care, specialty care, emergency department and hospital care) that recognize the importance of attention to co-occurring mental health needs and the social determinants of health;</w:t>
            </w:r>
          </w:p>
          <w:p w:rsidR="004A2922" w:rsidRPr="00CA0AE3" w:rsidRDefault="004A2922" w:rsidP="004A2922">
            <w:pPr>
              <w:pStyle w:val="Default"/>
              <w:numPr>
                <w:ilvl w:val="0"/>
                <w:numId w:val="50"/>
              </w:numPr>
              <w:rPr>
                <w:sz w:val="22"/>
                <w:szCs w:val="22"/>
              </w:rPr>
            </w:pPr>
            <w:r w:rsidRPr="00CA0AE3">
              <w:rPr>
                <w:sz w:val="22"/>
                <w:szCs w:val="22"/>
              </w:rPr>
              <w:t xml:space="preserve">Embed evidence-based guidelines into standard workflows and the electronic medical record; </w:t>
            </w:r>
          </w:p>
          <w:p w:rsidR="004A2922" w:rsidRPr="00CA0AE3" w:rsidRDefault="004A2922" w:rsidP="004A2922">
            <w:pPr>
              <w:pStyle w:val="Default"/>
              <w:numPr>
                <w:ilvl w:val="0"/>
                <w:numId w:val="50"/>
              </w:numPr>
              <w:rPr>
                <w:sz w:val="22"/>
                <w:szCs w:val="22"/>
              </w:rPr>
            </w:pPr>
            <w:r w:rsidRPr="00CA0AE3">
              <w:rPr>
                <w:sz w:val="22"/>
                <w:szCs w:val="22"/>
              </w:rPr>
              <w:t>Train key staff and providers in population health management skills and improving multidisciplinary collaboration and team-based across the care continuum including thoughtful engagement of pharmacists, nurses, and other allied health professionals.</w:t>
            </w:r>
          </w:p>
          <w:p w:rsidR="004A2922" w:rsidRPr="00CA0AE3" w:rsidRDefault="004A2922" w:rsidP="004A2922">
            <w:pPr>
              <w:pStyle w:val="Default"/>
              <w:numPr>
                <w:ilvl w:val="0"/>
                <w:numId w:val="50"/>
              </w:numPr>
              <w:rPr>
                <w:sz w:val="22"/>
                <w:szCs w:val="22"/>
              </w:rPr>
            </w:pPr>
            <w:r w:rsidRPr="00CA0AE3">
              <w:rPr>
                <w:sz w:val="22"/>
                <w:szCs w:val="22"/>
              </w:rPr>
              <w:t xml:space="preserve">Engage patients and families as design partners and in effective self management of their health condition(s) through multidisciplinary health education and coaching;  </w:t>
            </w:r>
          </w:p>
          <w:p w:rsidR="004A2922" w:rsidRPr="00CA0AE3" w:rsidRDefault="004A2922" w:rsidP="004A2922">
            <w:pPr>
              <w:pStyle w:val="Default"/>
              <w:numPr>
                <w:ilvl w:val="0"/>
                <w:numId w:val="50"/>
              </w:numPr>
              <w:rPr>
                <w:b/>
                <w:bCs/>
                <w:sz w:val="22"/>
                <w:szCs w:val="22"/>
              </w:rPr>
            </w:pPr>
            <w:r w:rsidRPr="00CA0AE3">
              <w:rPr>
                <w:sz w:val="22"/>
                <w:szCs w:val="22"/>
              </w:rPr>
              <w:t>Develop a registry that permits risk stratification and monitoring of adherence to care guidelines</w:t>
            </w:r>
            <w:r w:rsidRPr="00CA0AE3">
              <w:rPr>
                <w:b/>
                <w:bCs/>
                <w:sz w:val="22"/>
                <w:szCs w:val="22"/>
              </w:rPr>
              <w:t xml:space="preserve">; </w:t>
            </w:r>
          </w:p>
          <w:p w:rsidR="004A2922" w:rsidRPr="00CA0AE3" w:rsidRDefault="004A2922" w:rsidP="004A2922">
            <w:pPr>
              <w:pStyle w:val="Default"/>
              <w:numPr>
                <w:ilvl w:val="0"/>
                <w:numId w:val="50"/>
              </w:numPr>
              <w:rPr>
                <w:bCs/>
                <w:sz w:val="22"/>
                <w:szCs w:val="22"/>
              </w:rPr>
            </w:pPr>
            <w:r w:rsidRPr="00CA0AE3">
              <w:rPr>
                <w:sz w:val="22"/>
                <w:szCs w:val="22"/>
              </w:rPr>
              <w:t>Evaluate</w:t>
            </w:r>
            <w:r w:rsidRPr="00CA0AE3">
              <w:rPr>
                <w:bCs/>
                <w:sz w:val="22"/>
                <w:szCs w:val="22"/>
              </w:rPr>
              <w:t xml:space="preserve"> medical management programs for chronic conditions to determine successful management for decreases in the rate of hospitalization, re-hospitalization, emergency department (ED utilization), and total medical expense, based on the availability of claims data for payer populations; </w:t>
            </w:r>
          </w:p>
          <w:p w:rsidR="004A2922" w:rsidRPr="00CA0AE3" w:rsidRDefault="004A2922" w:rsidP="004A2922">
            <w:pPr>
              <w:pStyle w:val="Default"/>
              <w:numPr>
                <w:ilvl w:val="0"/>
                <w:numId w:val="50"/>
              </w:numPr>
              <w:rPr>
                <w:bCs/>
                <w:sz w:val="22"/>
                <w:szCs w:val="22"/>
              </w:rPr>
            </w:pPr>
            <w:r w:rsidRPr="00CA0AE3">
              <w:rPr>
                <w:bCs/>
                <w:sz w:val="22"/>
                <w:szCs w:val="22"/>
              </w:rPr>
              <w:t>Adhere to evidence-based guidelines in selected targeted conditions (COPD, CHF, hypertension, and/or diabetes) that include adherence to nationally validated measures for clinical care processes and treatments; and</w:t>
            </w:r>
          </w:p>
          <w:p w:rsidR="004A2922" w:rsidRPr="00CA0AE3" w:rsidRDefault="004A2922" w:rsidP="004A2922">
            <w:pPr>
              <w:pStyle w:val="Default"/>
              <w:numPr>
                <w:ilvl w:val="0"/>
                <w:numId w:val="50"/>
              </w:numPr>
              <w:rPr>
                <w:bCs/>
                <w:sz w:val="22"/>
                <w:szCs w:val="22"/>
              </w:rPr>
            </w:pPr>
            <w:r w:rsidRPr="00CA0AE3">
              <w:rPr>
                <w:bCs/>
                <w:sz w:val="22"/>
                <w:szCs w:val="22"/>
              </w:rPr>
              <w:t xml:space="preserve">Advance team-based care within a patient centered medical home model with a distinctive approach to medical management that recognizes the importance of integrated mental health care and attention to the social determinants of health. </w:t>
            </w:r>
          </w:p>
        </w:tc>
      </w:tr>
      <w:tr w:rsidR="004A2922" w:rsidRPr="00CA0AE3" w:rsidTr="004A2922">
        <w:trPr>
          <w:trHeight w:val="264"/>
        </w:trPr>
        <w:tc>
          <w:tcPr>
            <w:tcW w:w="8801" w:type="dxa"/>
            <w:gridSpan w:val="2"/>
            <w:tcBorders>
              <w:top w:val="single" w:sz="6" w:space="0" w:color="auto"/>
              <w:bottom w:val="single" w:sz="6" w:space="0" w:color="auto"/>
            </w:tcBorders>
            <w:shd w:val="clear" w:color="auto" w:fill="C6D9F1" w:themeFill="text2" w:themeFillTint="33"/>
          </w:tcPr>
          <w:p w:rsidR="004A2922" w:rsidRPr="00CA0AE3" w:rsidRDefault="004A2922" w:rsidP="004A2922">
            <w:pPr>
              <w:pStyle w:val="Default"/>
              <w:rPr>
                <w:b/>
                <w:sz w:val="22"/>
                <w:szCs w:val="22"/>
              </w:rPr>
            </w:pPr>
            <w:r w:rsidRPr="00CA0AE3">
              <w:rPr>
                <w:b/>
                <w:sz w:val="22"/>
                <w:szCs w:val="22"/>
              </w:rPr>
              <w:t>Core Components</w:t>
            </w:r>
          </w:p>
        </w:tc>
      </w:tr>
      <w:tr w:rsidR="004A2922" w:rsidRPr="00CA0AE3" w:rsidTr="004A2922">
        <w:trPr>
          <w:trHeight w:val="297"/>
        </w:trPr>
        <w:tc>
          <w:tcPr>
            <w:tcW w:w="8801" w:type="dxa"/>
            <w:gridSpan w:val="2"/>
            <w:tcBorders>
              <w:top w:val="single" w:sz="6" w:space="0" w:color="auto"/>
              <w:bottom w:val="single" w:sz="6" w:space="0" w:color="auto"/>
            </w:tcBorders>
            <w:shd w:val="clear" w:color="auto" w:fill="auto"/>
          </w:tcPr>
          <w:p w:rsidR="004A2922" w:rsidRPr="00CA0AE3" w:rsidRDefault="004A2922" w:rsidP="004A2922">
            <w:pPr>
              <w:pStyle w:val="Default"/>
              <w:rPr>
                <w:i/>
                <w:sz w:val="22"/>
                <w:szCs w:val="22"/>
              </w:rPr>
            </w:pPr>
            <w:r w:rsidRPr="00CA0AE3">
              <w:rPr>
                <w:i/>
                <w:sz w:val="22"/>
                <w:szCs w:val="22"/>
              </w:rPr>
              <w:t>This initiative, if undertaken, may include the following components:</w:t>
            </w:r>
          </w:p>
          <w:p w:rsidR="004A2922" w:rsidRPr="00CA0AE3" w:rsidRDefault="004A2922" w:rsidP="004A2922">
            <w:pPr>
              <w:pStyle w:val="Default"/>
              <w:rPr>
                <w:sz w:val="22"/>
                <w:szCs w:val="22"/>
              </w:rPr>
            </w:pPr>
            <w:r w:rsidRPr="00CA0AE3">
              <w:rPr>
                <w:sz w:val="22"/>
                <w:szCs w:val="22"/>
              </w:rPr>
              <w:t xml:space="preserve">We plan to develop and implement medical management programs for targeted conditions in a staggered fashion over a 5-year period.  </w:t>
            </w:r>
          </w:p>
          <w:p w:rsidR="004A2922" w:rsidRPr="00CA0AE3" w:rsidRDefault="004A2922" w:rsidP="004A2922">
            <w:pPr>
              <w:pStyle w:val="Default"/>
              <w:rPr>
                <w:sz w:val="22"/>
                <w:szCs w:val="22"/>
              </w:rPr>
            </w:pPr>
          </w:p>
          <w:p w:rsidR="004A2922" w:rsidRPr="00CA0AE3" w:rsidRDefault="004A2922" w:rsidP="004A2922">
            <w:pPr>
              <w:pStyle w:val="Default"/>
              <w:rPr>
                <w:sz w:val="22"/>
                <w:szCs w:val="22"/>
              </w:rPr>
            </w:pPr>
            <w:r w:rsidRPr="00CA0AE3">
              <w:rPr>
                <w:sz w:val="22"/>
                <w:szCs w:val="22"/>
              </w:rPr>
              <w:t>1. Essential elements for evidence-based disease management program (s), based on a review of the literature and from experience may include the following:</w:t>
            </w:r>
          </w:p>
          <w:p w:rsidR="005F46C3" w:rsidRPr="00CA0AE3" w:rsidRDefault="004A2922">
            <w:pPr>
              <w:pStyle w:val="Default"/>
              <w:numPr>
                <w:ilvl w:val="0"/>
                <w:numId w:val="69"/>
              </w:numPr>
              <w:rPr>
                <w:sz w:val="22"/>
                <w:szCs w:val="22"/>
              </w:rPr>
            </w:pPr>
            <w:r w:rsidRPr="00CA0AE3">
              <w:rPr>
                <w:sz w:val="22"/>
                <w:szCs w:val="22"/>
              </w:rPr>
              <w:lastRenderedPageBreak/>
              <w:t>Engage an appropriate leadership team including multidisciplinary clinical stakeholders as well as patients and families;</w:t>
            </w:r>
          </w:p>
          <w:p w:rsidR="005F46C3" w:rsidRPr="00CA0AE3" w:rsidRDefault="004A2922">
            <w:pPr>
              <w:pStyle w:val="Default"/>
              <w:numPr>
                <w:ilvl w:val="0"/>
                <w:numId w:val="69"/>
              </w:numPr>
              <w:rPr>
                <w:sz w:val="22"/>
                <w:szCs w:val="22"/>
              </w:rPr>
            </w:pPr>
            <w:r w:rsidRPr="00CA0AE3">
              <w:rPr>
                <w:sz w:val="22"/>
                <w:szCs w:val="22"/>
              </w:rPr>
              <w:t>Identify key evidence-based practices from review of literature;</w:t>
            </w:r>
          </w:p>
          <w:p w:rsidR="005F46C3" w:rsidRPr="00CA0AE3" w:rsidRDefault="004A2922">
            <w:pPr>
              <w:pStyle w:val="Default"/>
              <w:numPr>
                <w:ilvl w:val="1"/>
                <w:numId w:val="69"/>
              </w:numPr>
              <w:rPr>
                <w:sz w:val="22"/>
                <w:szCs w:val="22"/>
              </w:rPr>
            </w:pPr>
            <w:r w:rsidRPr="00CA0AE3">
              <w:rPr>
                <w:sz w:val="22"/>
                <w:szCs w:val="22"/>
              </w:rPr>
              <w:t>Build an understanding of the population of patients with the target condition through review of both quantitative and qualitative data;</w:t>
            </w:r>
          </w:p>
          <w:p w:rsidR="005F46C3" w:rsidRPr="00CA0AE3" w:rsidRDefault="004A2922">
            <w:pPr>
              <w:pStyle w:val="Default"/>
              <w:numPr>
                <w:ilvl w:val="1"/>
                <w:numId w:val="69"/>
              </w:numPr>
              <w:rPr>
                <w:sz w:val="22"/>
                <w:szCs w:val="22"/>
              </w:rPr>
            </w:pPr>
            <w:r w:rsidRPr="00CA0AE3">
              <w:rPr>
                <w:sz w:val="22"/>
                <w:szCs w:val="22"/>
              </w:rPr>
              <w:t xml:space="preserve">Design strategies for embedding best practices into clinical workflows across the care continuum and build appropriate decision support strategies within the electronic medical record integrating innovative technology platforms whenever possible; </w:t>
            </w:r>
          </w:p>
          <w:p w:rsidR="005F46C3" w:rsidRPr="00CA0AE3" w:rsidRDefault="004A2922">
            <w:pPr>
              <w:pStyle w:val="Default"/>
              <w:numPr>
                <w:ilvl w:val="1"/>
                <w:numId w:val="69"/>
              </w:numPr>
              <w:rPr>
                <w:sz w:val="22"/>
                <w:szCs w:val="22"/>
              </w:rPr>
            </w:pPr>
            <w:r w:rsidRPr="00CA0AE3">
              <w:rPr>
                <w:sz w:val="22"/>
                <w:szCs w:val="22"/>
              </w:rPr>
              <w:t xml:space="preserve">Develop materials and forums for enhancing patient and family understanding of the condition and capacity for self care, including the use of care planning with patients and families for selected conditions; </w:t>
            </w:r>
          </w:p>
          <w:p w:rsidR="005F46C3" w:rsidRPr="00CA0AE3" w:rsidRDefault="004A2922">
            <w:pPr>
              <w:pStyle w:val="Default"/>
              <w:numPr>
                <w:ilvl w:val="0"/>
                <w:numId w:val="69"/>
              </w:numPr>
              <w:rPr>
                <w:sz w:val="22"/>
                <w:szCs w:val="22"/>
              </w:rPr>
            </w:pPr>
            <w:r w:rsidRPr="00CA0AE3">
              <w:rPr>
                <w:sz w:val="22"/>
                <w:szCs w:val="22"/>
              </w:rPr>
              <w:t>Develop and use a registry database for risk stratification, for use in identifying and closing gaps in care, and for use in monitoring adherence to best practices;</w:t>
            </w:r>
          </w:p>
          <w:p w:rsidR="005F46C3" w:rsidRPr="00CA0AE3" w:rsidRDefault="004A2922">
            <w:pPr>
              <w:pStyle w:val="Default"/>
              <w:numPr>
                <w:ilvl w:val="0"/>
                <w:numId w:val="69"/>
              </w:numPr>
              <w:rPr>
                <w:sz w:val="22"/>
                <w:szCs w:val="22"/>
              </w:rPr>
            </w:pPr>
            <w:r w:rsidRPr="00CA0AE3">
              <w:rPr>
                <w:sz w:val="22"/>
                <w:szCs w:val="22"/>
              </w:rPr>
              <w:t>Support staff and providers to learn and use new skills in population health management, in multidisciplinary team-based care and collaboration, and in care-giving relationships with patients that enable self care through coaching and goal setting;</w:t>
            </w:r>
          </w:p>
          <w:p w:rsidR="005F46C3" w:rsidRPr="00CA0AE3" w:rsidRDefault="004A2922">
            <w:pPr>
              <w:pStyle w:val="Default"/>
              <w:numPr>
                <w:ilvl w:val="1"/>
                <w:numId w:val="69"/>
              </w:numPr>
              <w:rPr>
                <w:sz w:val="22"/>
                <w:szCs w:val="22"/>
              </w:rPr>
            </w:pPr>
            <w:r w:rsidRPr="00CA0AE3">
              <w:rPr>
                <w:sz w:val="22"/>
                <w:szCs w:val="22"/>
              </w:rPr>
              <w:t>Build referral pathways to special programs for high risk patients such as complex care management, house calls for frail homebound patients, elder services, palliative care, and emerging partnerships with home care services, skilled nursing facilities, and other community-based partnerships.</w:t>
            </w:r>
          </w:p>
          <w:p w:rsidR="004A2922" w:rsidRPr="00CA0AE3" w:rsidRDefault="004A2922" w:rsidP="004A2922">
            <w:pPr>
              <w:pStyle w:val="Default"/>
              <w:numPr>
                <w:ilvl w:val="0"/>
                <w:numId w:val="51"/>
              </w:numPr>
              <w:rPr>
                <w:sz w:val="22"/>
                <w:szCs w:val="22"/>
              </w:rPr>
            </w:pPr>
            <w:r w:rsidRPr="00CA0AE3">
              <w:rPr>
                <w:sz w:val="22"/>
                <w:szCs w:val="22"/>
              </w:rPr>
              <w:t>Improve transitions in care for patients with chronic health conditions with a focus on reducing 30 day hospital readmission through timely follow up phone calls, clinic visits, and home visits after inpatient hospitalization and emergency department visits.</w:t>
            </w:r>
          </w:p>
          <w:p w:rsidR="004A2922" w:rsidRPr="00CA0AE3" w:rsidRDefault="004A2922" w:rsidP="004A2922">
            <w:pPr>
              <w:pStyle w:val="Default"/>
              <w:numPr>
                <w:ilvl w:val="0"/>
                <w:numId w:val="51"/>
              </w:numPr>
              <w:rPr>
                <w:sz w:val="22"/>
                <w:szCs w:val="22"/>
              </w:rPr>
            </w:pPr>
            <w:r w:rsidRPr="00CA0AE3">
              <w:rPr>
                <w:sz w:val="22"/>
                <w:szCs w:val="22"/>
              </w:rPr>
              <w:t xml:space="preserve">Continue to cultivate institutional improvement work in chronic disease management in primary care and through patient-centered medical homes in primary care and expand population health management tools and team-based care into medical specialty clinics.  </w:t>
            </w:r>
          </w:p>
          <w:p w:rsidR="004A2922" w:rsidRPr="00CA0AE3" w:rsidRDefault="004A2922" w:rsidP="004A2922">
            <w:pPr>
              <w:pStyle w:val="Default"/>
              <w:numPr>
                <w:ilvl w:val="0"/>
                <w:numId w:val="51"/>
              </w:numPr>
              <w:rPr>
                <w:sz w:val="22"/>
                <w:szCs w:val="22"/>
              </w:rPr>
            </w:pPr>
            <w:r w:rsidRPr="00CA0AE3">
              <w:rPr>
                <w:sz w:val="22"/>
                <w:szCs w:val="22"/>
              </w:rPr>
              <w:t xml:space="preserve">Adopt a holistic approach to chronic disease management that includes attention to mental health and substance abuse, with expanded screening and treatment for depression and appropriate referral </w:t>
            </w:r>
            <w:r w:rsidR="00561DD5" w:rsidRPr="00CA0AE3">
              <w:rPr>
                <w:sz w:val="22"/>
                <w:szCs w:val="22"/>
              </w:rPr>
              <w:t>to</w:t>
            </w:r>
            <w:r w:rsidRPr="00CA0AE3">
              <w:rPr>
                <w:sz w:val="22"/>
                <w:szCs w:val="22"/>
              </w:rPr>
              <w:t xml:space="preserve"> special programs such as the behavioral health home, integrated mental health providers within primary care, and multi-level substance abuse treatment supports, to address the high burden of co-morbid mental health and substance abuse with the target population(s). </w:t>
            </w:r>
          </w:p>
          <w:p w:rsidR="004A2922" w:rsidRPr="00CA0AE3" w:rsidRDefault="004A2922" w:rsidP="004A2922">
            <w:pPr>
              <w:pStyle w:val="Default"/>
              <w:numPr>
                <w:ilvl w:val="0"/>
                <w:numId w:val="51"/>
              </w:numPr>
              <w:rPr>
                <w:sz w:val="22"/>
                <w:szCs w:val="22"/>
              </w:rPr>
            </w:pPr>
            <w:r w:rsidRPr="00CA0AE3">
              <w:rPr>
                <w:sz w:val="22"/>
                <w:szCs w:val="22"/>
              </w:rPr>
              <w:t>Evaluate</w:t>
            </w:r>
            <w:r w:rsidRPr="00CA0AE3">
              <w:rPr>
                <w:bCs/>
                <w:sz w:val="22"/>
                <w:szCs w:val="22"/>
              </w:rPr>
              <w:t xml:space="preserve"> medical management programs for chronic conditions to determine successful management for decreases in the rate of hospitalization, re-hospitalization, emergency department (ED utilization), and total medical expense, based on the availability of claims data for payer populations. </w:t>
            </w:r>
          </w:p>
          <w:p w:rsidR="004A2922" w:rsidRPr="00CA0AE3" w:rsidRDefault="004A2922" w:rsidP="004A2922">
            <w:pPr>
              <w:pStyle w:val="Default"/>
              <w:numPr>
                <w:ilvl w:val="0"/>
                <w:numId w:val="51"/>
              </w:numPr>
              <w:rPr>
                <w:sz w:val="22"/>
                <w:szCs w:val="22"/>
              </w:rPr>
            </w:pPr>
            <w:r w:rsidRPr="00CA0AE3">
              <w:rPr>
                <w:bCs/>
                <w:sz w:val="22"/>
                <w:szCs w:val="22"/>
              </w:rPr>
              <w:t>Improve end of life care for patients with chronic conditions including more frequent use of advanced directives and referral to specialized palliative care services.</w:t>
            </w:r>
          </w:p>
        </w:tc>
      </w:tr>
    </w:tbl>
    <w:p w:rsidR="004A2922" w:rsidRPr="00CA0AE3" w:rsidRDefault="004A2922"/>
    <w:p w:rsidR="00E37119" w:rsidRPr="00CA0AE3" w:rsidRDefault="00E37119" w:rsidP="00E37119">
      <w:pPr>
        <w:pStyle w:val="ListParagraph"/>
        <w:autoSpaceDE w:val="0"/>
        <w:autoSpaceDN w:val="0"/>
        <w:adjustRightInd w:val="0"/>
        <w:spacing w:after="0" w:line="240" w:lineRule="auto"/>
        <w:ind w:left="1080"/>
        <w:jc w:val="both"/>
      </w:pPr>
    </w:p>
    <w:p w:rsidR="00ED4745" w:rsidRPr="00CA0AE3" w:rsidRDefault="00E37119">
      <w:pPr>
        <w:spacing w:after="0" w:line="240" w:lineRule="auto"/>
        <w:sectPr w:rsidR="00ED4745" w:rsidRPr="00CA0AE3" w:rsidSect="00147DA7">
          <w:footerReference w:type="default" r:id="rId19"/>
          <w:pgSz w:w="12240" w:h="15840"/>
          <w:pgMar w:top="1260" w:right="1260" w:bottom="1260" w:left="1440" w:header="720" w:footer="720" w:gutter="0"/>
          <w:cols w:space="720"/>
          <w:docGrid w:linePitch="360"/>
        </w:sectPr>
      </w:pPr>
      <w:r w:rsidRPr="00CA0AE3">
        <w:br w:type="page"/>
      </w:r>
    </w:p>
    <w:tbl>
      <w:tblPr>
        <w:tblW w:w="5000" w:type="pct"/>
        <w:tblCellMar>
          <w:left w:w="0" w:type="dxa"/>
          <w:right w:w="0" w:type="dxa"/>
        </w:tblCellMar>
        <w:tblLook w:val="0480" w:firstRow="0" w:lastRow="0" w:firstColumn="1" w:lastColumn="0" w:noHBand="0" w:noVBand="1"/>
      </w:tblPr>
      <w:tblGrid>
        <w:gridCol w:w="287"/>
        <w:gridCol w:w="1921"/>
        <w:gridCol w:w="1146"/>
        <w:gridCol w:w="1232"/>
        <w:gridCol w:w="1490"/>
        <w:gridCol w:w="1059"/>
        <w:gridCol w:w="1232"/>
        <w:gridCol w:w="1133"/>
        <w:gridCol w:w="1146"/>
        <w:gridCol w:w="1146"/>
        <w:gridCol w:w="1508"/>
      </w:tblGrid>
      <w:tr w:rsidR="00F229A7" w:rsidRPr="00CA0AE3" w:rsidTr="00C947DF">
        <w:trPr>
          <w:cantSplit/>
          <w:tblHeader/>
        </w:trPr>
        <w:tc>
          <w:tcPr>
            <w:tcW w:w="5000" w:type="pct"/>
            <w:gridSpan w:val="11"/>
            <w:tcBorders>
              <w:top w:val="single" w:sz="8" w:space="0" w:color="000000"/>
              <w:left w:val="single" w:sz="8" w:space="0" w:color="000000"/>
              <w:bottom w:val="single" w:sz="8" w:space="0" w:color="000000"/>
              <w:right w:val="single" w:sz="8" w:space="0" w:color="000000"/>
            </w:tcBorders>
            <w:shd w:val="clear" w:color="auto" w:fill="C6D9F1" w:themeFill="text2" w:themeFillTint="33"/>
            <w:vAlign w:val="center"/>
          </w:tcPr>
          <w:p w:rsidR="00F229A7" w:rsidRPr="00CA0AE3" w:rsidRDefault="00F229A7" w:rsidP="00E17D45">
            <w:pPr>
              <w:spacing w:after="0" w:line="240" w:lineRule="auto"/>
              <w:rPr>
                <w:rFonts w:eastAsia="Times New Roman"/>
                <w:b/>
                <w:bCs/>
                <w:kern w:val="24"/>
                <w:sz w:val="20"/>
              </w:rPr>
            </w:pPr>
            <w:r w:rsidRPr="00CA0AE3">
              <w:rPr>
                <w:rFonts w:eastAsia="Times New Roman"/>
                <w:b/>
                <w:bCs/>
                <w:kern w:val="24"/>
                <w:sz w:val="20"/>
              </w:rPr>
              <w:lastRenderedPageBreak/>
              <w:t>Required Measure Slate:  Improvement and Outcomes Measures</w:t>
            </w:r>
          </w:p>
          <w:p w:rsidR="00F229A7" w:rsidRPr="00CA0AE3" w:rsidRDefault="00F229A7" w:rsidP="00956296">
            <w:pPr>
              <w:spacing w:after="0" w:line="240" w:lineRule="auto"/>
              <w:rPr>
                <w:rFonts w:eastAsia="Times New Roman"/>
                <w:b/>
                <w:bCs/>
                <w:kern w:val="24"/>
                <w:sz w:val="20"/>
              </w:rPr>
            </w:pPr>
            <w:r w:rsidRPr="00CA0AE3">
              <w:rPr>
                <w:b/>
                <w:i/>
                <w:sz w:val="20"/>
              </w:rPr>
              <w:t xml:space="preserve">(Achieve 2 of </w:t>
            </w:r>
            <w:r w:rsidR="00355FAD" w:rsidRPr="00CA0AE3">
              <w:rPr>
                <w:b/>
                <w:i/>
                <w:sz w:val="20"/>
              </w:rPr>
              <w:t>3</w:t>
            </w:r>
            <w:r w:rsidRPr="00CA0AE3">
              <w:rPr>
                <w:b/>
                <w:i/>
                <w:sz w:val="20"/>
              </w:rPr>
              <w:t xml:space="preserve"> Outcome Measures in Year 1, </w:t>
            </w:r>
            <w:r w:rsidR="00355FAD" w:rsidRPr="00CA0AE3">
              <w:rPr>
                <w:b/>
                <w:i/>
                <w:sz w:val="20"/>
              </w:rPr>
              <w:t>4</w:t>
            </w:r>
            <w:r w:rsidRPr="00CA0AE3">
              <w:rPr>
                <w:b/>
                <w:i/>
                <w:sz w:val="20"/>
              </w:rPr>
              <w:t xml:space="preserve"> out of </w:t>
            </w:r>
            <w:r w:rsidR="00355FAD" w:rsidRPr="00CA0AE3">
              <w:rPr>
                <w:b/>
                <w:i/>
                <w:sz w:val="20"/>
              </w:rPr>
              <w:t>13</w:t>
            </w:r>
            <w:r w:rsidRPr="00CA0AE3">
              <w:rPr>
                <w:b/>
                <w:i/>
                <w:sz w:val="20"/>
              </w:rPr>
              <w:t xml:space="preserve"> in Year 2, </w:t>
            </w:r>
            <w:r w:rsidR="00355FAD" w:rsidRPr="00CA0AE3">
              <w:rPr>
                <w:b/>
                <w:i/>
                <w:sz w:val="20"/>
              </w:rPr>
              <w:t>7</w:t>
            </w:r>
            <w:r w:rsidRPr="00CA0AE3">
              <w:rPr>
                <w:b/>
                <w:i/>
                <w:sz w:val="20"/>
              </w:rPr>
              <w:t xml:space="preserve"> out of </w:t>
            </w:r>
            <w:r w:rsidR="00355FAD" w:rsidRPr="00CA0AE3">
              <w:rPr>
                <w:b/>
                <w:i/>
                <w:sz w:val="20"/>
              </w:rPr>
              <w:t>13</w:t>
            </w:r>
            <w:r w:rsidRPr="00CA0AE3">
              <w:rPr>
                <w:b/>
                <w:i/>
                <w:sz w:val="20"/>
              </w:rPr>
              <w:t xml:space="preserve"> in Year 3, </w:t>
            </w:r>
            <w:r w:rsidR="00355FAD" w:rsidRPr="00CA0AE3">
              <w:rPr>
                <w:b/>
                <w:i/>
                <w:sz w:val="20"/>
              </w:rPr>
              <w:t>8</w:t>
            </w:r>
            <w:r w:rsidRPr="00CA0AE3">
              <w:rPr>
                <w:b/>
                <w:i/>
                <w:sz w:val="20"/>
              </w:rPr>
              <w:t xml:space="preserve"> out of </w:t>
            </w:r>
            <w:r w:rsidR="00355FAD" w:rsidRPr="00CA0AE3">
              <w:rPr>
                <w:b/>
                <w:i/>
                <w:sz w:val="20"/>
              </w:rPr>
              <w:t>13</w:t>
            </w:r>
            <w:r w:rsidRPr="00CA0AE3">
              <w:rPr>
                <w:b/>
                <w:i/>
                <w:sz w:val="20"/>
              </w:rPr>
              <w:t xml:space="preserve"> in Year 4, </w:t>
            </w:r>
            <w:r w:rsidR="00956296" w:rsidRPr="00CA0AE3">
              <w:rPr>
                <w:b/>
                <w:i/>
                <w:sz w:val="20"/>
              </w:rPr>
              <w:t>8</w:t>
            </w:r>
            <w:r w:rsidRPr="00CA0AE3">
              <w:rPr>
                <w:b/>
                <w:i/>
                <w:sz w:val="20"/>
              </w:rPr>
              <w:t xml:space="preserve"> out of </w:t>
            </w:r>
            <w:r w:rsidR="00031039" w:rsidRPr="00CA0AE3">
              <w:rPr>
                <w:b/>
                <w:i/>
                <w:sz w:val="20"/>
              </w:rPr>
              <w:t>13</w:t>
            </w:r>
            <w:r w:rsidRPr="00CA0AE3">
              <w:rPr>
                <w:b/>
                <w:i/>
                <w:sz w:val="20"/>
              </w:rPr>
              <w:t xml:space="preserve"> in Year 5). </w:t>
            </w:r>
          </w:p>
        </w:tc>
      </w:tr>
      <w:tr w:rsidR="00CA6A65" w:rsidRPr="00CA0AE3" w:rsidTr="00945D5E">
        <w:trPr>
          <w:cantSplit/>
          <w:tblHeader/>
        </w:trPr>
        <w:tc>
          <w:tcPr>
            <w:tcW w:w="830" w:type="pct"/>
            <w:gridSpan w:val="2"/>
            <w:tcBorders>
              <w:top w:val="single" w:sz="8" w:space="0" w:color="000000"/>
              <w:left w:val="single" w:sz="8" w:space="0" w:color="000000"/>
              <w:bottom w:val="single" w:sz="8" w:space="0" w:color="000000"/>
              <w:right w:val="single" w:sz="8" w:space="0" w:color="000000"/>
            </w:tcBorders>
            <w:shd w:val="clear" w:color="auto" w:fill="C6D9F1" w:themeFill="text2" w:themeFillTint="33"/>
            <w:vAlign w:val="center"/>
          </w:tcPr>
          <w:p w:rsidR="00F229A7" w:rsidRPr="00CA0AE3" w:rsidRDefault="00F229A7" w:rsidP="00E17D45">
            <w:pPr>
              <w:spacing w:after="0" w:line="240" w:lineRule="auto"/>
              <w:jc w:val="center"/>
              <w:rPr>
                <w:rFonts w:eastAsia="Times New Roman"/>
                <w:b/>
                <w:bCs/>
                <w:kern w:val="24"/>
                <w:sz w:val="20"/>
              </w:rPr>
            </w:pPr>
            <w:r w:rsidRPr="00CA0AE3">
              <w:rPr>
                <w:rFonts w:eastAsia="Times New Roman"/>
                <w:b/>
                <w:bCs/>
                <w:kern w:val="24"/>
                <w:sz w:val="20"/>
              </w:rPr>
              <w:t>Measure Slate 4</w:t>
            </w:r>
          </w:p>
        </w:tc>
        <w:tc>
          <w:tcPr>
            <w:tcW w:w="1454" w:type="pct"/>
            <w:gridSpan w:val="3"/>
            <w:tcBorders>
              <w:top w:val="single" w:sz="8" w:space="0" w:color="000000"/>
              <w:left w:val="single" w:sz="8" w:space="0" w:color="000000"/>
              <w:bottom w:val="single" w:sz="8" w:space="0" w:color="000000"/>
              <w:right w:val="single" w:sz="8" w:space="0" w:color="000000"/>
            </w:tcBorders>
            <w:shd w:val="clear" w:color="auto" w:fill="C6D9F1" w:themeFill="text2" w:themeFillTint="33"/>
            <w:tcMar>
              <w:top w:w="13" w:type="dxa"/>
              <w:left w:w="93" w:type="dxa"/>
              <w:bottom w:w="0" w:type="dxa"/>
              <w:right w:w="93" w:type="dxa"/>
            </w:tcMar>
            <w:vAlign w:val="center"/>
            <w:hideMark/>
          </w:tcPr>
          <w:p w:rsidR="00F229A7" w:rsidRPr="00CA0AE3" w:rsidRDefault="00F229A7" w:rsidP="00E17D45">
            <w:pPr>
              <w:spacing w:after="0" w:line="240" w:lineRule="auto"/>
              <w:jc w:val="center"/>
              <w:rPr>
                <w:rFonts w:eastAsia="Times New Roman"/>
                <w:b/>
                <w:bCs/>
                <w:kern w:val="24"/>
                <w:sz w:val="20"/>
              </w:rPr>
            </w:pPr>
            <w:r w:rsidRPr="00CA0AE3">
              <w:rPr>
                <w:rFonts w:eastAsia="Times New Roman"/>
                <w:b/>
                <w:bCs/>
                <w:kern w:val="24"/>
                <w:sz w:val="20"/>
              </w:rPr>
              <w:t xml:space="preserve">4: </w:t>
            </w:r>
            <w:r w:rsidRPr="00CA0AE3">
              <w:rPr>
                <w:b/>
                <w:sz w:val="20"/>
              </w:rPr>
              <w:t>Evidence-Based Practices for Medical Management of Chronic Conditions</w:t>
            </w:r>
          </w:p>
        </w:tc>
        <w:tc>
          <w:tcPr>
            <w:tcW w:w="398" w:type="pct"/>
            <w:tcBorders>
              <w:top w:val="single" w:sz="8" w:space="0" w:color="000000"/>
              <w:left w:val="single" w:sz="8" w:space="0" w:color="000000"/>
              <w:bottom w:val="single" w:sz="8" w:space="0" w:color="000000"/>
              <w:right w:val="single" w:sz="8" w:space="0" w:color="000000"/>
            </w:tcBorders>
            <w:shd w:val="clear" w:color="auto" w:fill="C6D9F1" w:themeFill="text2" w:themeFillTint="33"/>
            <w:vAlign w:val="center"/>
          </w:tcPr>
          <w:p w:rsidR="00F229A7" w:rsidRPr="00CA0AE3" w:rsidRDefault="00F229A7" w:rsidP="00C12099">
            <w:pPr>
              <w:spacing w:after="0" w:line="240" w:lineRule="auto"/>
              <w:jc w:val="center"/>
              <w:rPr>
                <w:rFonts w:eastAsia="Times New Roman"/>
                <w:b/>
                <w:bCs/>
                <w:kern w:val="24"/>
                <w:sz w:val="20"/>
              </w:rPr>
            </w:pPr>
            <w:r w:rsidRPr="00CA0AE3">
              <w:rPr>
                <w:rFonts w:eastAsia="Times New Roman"/>
                <w:b/>
                <w:bCs/>
                <w:kern w:val="24"/>
                <w:sz w:val="20"/>
              </w:rPr>
              <w:t xml:space="preserve">Achieve 2 of </w:t>
            </w:r>
            <w:r w:rsidR="00C12099" w:rsidRPr="00CA0AE3">
              <w:rPr>
                <w:rFonts w:eastAsia="Times New Roman"/>
                <w:b/>
                <w:bCs/>
                <w:kern w:val="24"/>
                <w:sz w:val="20"/>
              </w:rPr>
              <w:t>3</w:t>
            </w:r>
            <w:r w:rsidRPr="00CA0AE3">
              <w:rPr>
                <w:rFonts w:eastAsia="Times New Roman"/>
                <w:b/>
                <w:bCs/>
                <w:kern w:val="24"/>
                <w:sz w:val="20"/>
              </w:rPr>
              <w:t xml:space="preserve"> Measures</w:t>
            </w:r>
          </w:p>
        </w:tc>
        <w:tc>
          <w:tcPr>
            <w:tcW w:w="463" w:type="pct"/>
            <w:tcBorders>
              <w:top w:val="single" w:sz="8" w:space="0" w:color="000000"/>
              <w:left w:val="single" w:sz="8" w:space="0" w:color="000000"/>
              <w:bottom w:val="single" w:sz="8" w:space="0" w:color="000000"/>
              <w:right w:val="single" w:sz="8" w:space="0" w:color="000000"/>
            </w:tcBorders>
            <w:shd w:val="clear" w:color="auto" w:fill="C6D9F1" w:themeFill="text2" w:themeFillTint="33"/>
            <w:tcMar>
              <w:top w:w="13" w:type="dxa"/>
              <w:left w:w="93" w:type="dxa"/>
              <w:bottom w:w="0" w:type="dxa"/>
              <w:right w:w="93" w:type="dxa"/>
            </w:tcMar>
            <w:vAlign w:val="center"/>
            <w:hideMark/>
          </w:tcPr>
          <w:p w:rsidR="00F229A7" w:rsidRPr="00CA0AE3" w:rsidRDefault="00F229A7" w:rsidP="00C12099">
            <w:pPr>
              <w:spacing w:after="0" w:line="240" w:lineRule="auto"/>
              <w:jc w:val="center"/>
              <w:rPr>
                <w:rFonts w:eastAsia="Times New Roman"/>
                <w:b/>
                <w:bCs/>
                <w:kern w:val="24"/>
                <w:sz w:val="20"/>
              </w:rPr>
            </w:pPr>
            <w:r w:rsidRPr="00CA0AE3">
              <w:rPr>
                <w:rFonts w:eastAsia="Times New Roman"/>
                <w:b/>
                <w:bCs/>
                <w:kern w:val="24"/>
                <w:sz w:val="20"/>
              </w:rPr>
              <w:t xml:space="preserve">Achieve </w:t>
            </w:r>
            <w:r w:rsidR="00C12099" w:rsidRPr="00CA0AE3">
              <w:rPr>
                <w:rFonts w:eastAsia="Times New Roman"/>
                <w:b/>
                <w:bCs/>
                <w:kern w:val="24"/>
                <w:sz w:val="20"/>
              </w:rPr>
              <w:t>4</w:t>
            </w:r>
            <w:r w:rsidRPr="00CA0AE3">
              <w:rPr>
                <w:rFonts w:eastAsia="Times New Roman"/>
                <w:b/>
                <w:bCs/>
                <w:kern w:val="24"/>
                <w:sz w:val="20"/>
              </w:rPr>
              <w:t xml:space="preserve"> of </w:t>
            </w:r>
            <w:r w:rsidR="00C12099" w:rsidRPr="00CA0AE3">
              <w:rPr>
                <w:rFonts w:eastAsia="Times New Roman"/>
                <w:b/>
                <w:bCs/>
                <w:kern w:val="24"/>
                <w:sz w:val="20"/>
              </w:rPr>
              <w:t>13</w:t>
            </w:r>
            <w:r w:rsidRPr="00CA0AE3">
              <w:rPr>
                <w:rFonts w:eastAsia="Times New Roman"/>
                <w:b/>
                <w:bCs/>
                <w:kern w:val="24"/>
                <w:sz w:val="20"/>
              </w:rPr>
              <w:t xml:space="preserve"> Measures</w:t>
            </w:r>
          </w:p>
        </w:tc>
        <w:tc>
          <w:tcPr>
            <w:tcW w:w="426" w:type="pct"/>
            <w:tcBorders>
              <w:top w:val="single" w:sz="8" w:space="0" w:color="000000"/>
              <w:left w:val="single" w:sz="8" w:space="0" w:color="000000"/>
              <w:bottom w:val="single" w:sz="8" w:space="0" w:color="000000"/>
              <w:right w:val="single" w:sz="8" w:space="0" w:color="000000"/>
            </w:tcBorders>
            <w:shd w:val="clear" w:color="auto" w:fill="C6D9F1" w:themeFill="text2" w:themeFillTint="33"/>
            <w:tcMar>
              <w:top w:w="13" w:type="dxa"/>
              <w:left w:w="93" w:type="dxa"/>
              <w:bottom w:w="0" w:type="dxa"/>
              <w:right w:w="93" w:type="dxa"/>
            </w:tcMar>
            <w:vAlign w:val="center"/>
            <w:hideMark/>
          </w:tcPr>
          <w:p w:rsidR="00F229A7" w:rsidRPr="00CA0AE3" w:rsidRDefault="00F229A7" w:rsidP="00C12099">
            <w:pPr>
              <w:spacing w:after="0" w:line="240" w:lineRule="auto"/>
              <w:jc w:val="center"/>
              <w:rPr>
                <w:rFonts w:eastAsia="Times New Roman"/>
                <w:b/>
                <w:bCs/>
                <w:kern w:val="24"/>
                <w:sz w:val="20"/>
              </w:rPr>
            </w:pPr>
            <w:r w:rsidRPr="00CA0AE3">
              <w:rPr>
                <w:rFonts w:eastAsia="Times New Roman"/>
                <w:b/>
                <w:bCs/>
                <w:kern w:val="24"/>
                <w:sz w:val="20"/>
              </w:rPr>
              <w:t xml:space="preserve">Achieve </w:t>
            </w:r>
            <w:r w:rsidR="00C12099" w:rsidRPr="00CA0AE3">
              <w:rPr>
                <w:rFonts w:eastAsia="Times New Roman"/>
                <w:b/>
                <w:bCs/>
                <w:kern w:val="24"/>
                <w:sz w:val="20"/>
              </w:rPr>
              <w:t>7</w:t>
            </w:r>
            <w:r w:rsidRPr="00CA0AE3">
              <w:rPr>
                <w:rFonts w:eastAsia="Times New Roman"/>
                <w:b/>
                <w:bCs/>
                <w:kern w:val="24"/>
                <w:sz w:val="20"/>
              </w:rPr>
              <w:t xml:space="preserve"> of </w:t>
            </w:r>
            <w:r w:rsidR="00C12099" w:rsidRPr="00CA0AE3">
              <w:rPr>
                <w:rFonts w:eastAsia="Times New Roman"/>
                <w:b/>
                <w:bCs/>
                <w:kern w:val="24"/>
                <w:sz w:val="20"/>
              </w:rPr>
              <w:t>13</w:t>
            </w:r>
            <w:r w:rsidRPr="00CA0AE3">
              <w:rPr>
                <w:rFonts w:eastAsia="Times New Roman"/>
                <w:b/>
                <w:bCs/>
                <w:kern w:val="24"/>
                <w:sz w:val="20"/>
              </w:rPr>
              <w:t xml:space="preserve"> Measures</w:t>
            </w:r>
          </w:p>
        </w:tc>
        <w:tc>
          <w:tcPr>
            <w:tcW w:w="431" w:type="pct"/>
            <w:tcBorders>
              <w:top w:val="single" w:sz="8" w:space="0" w:color="000000"/>
              <w:left w:val="single" w:sz="8" w:space="0" w:color="000000"/>
              <w:bottom w:val="single" w:sz="8" w:space="0" w:color="000000"/>
              <w:right w:val="single" w:sz="8" w:space="0" w:color="000000"/>
            </w:tcBorders>
            <w:shd w:val="clear" w:color="auto" w:fill="C6D9F1" w:themeFill="text2" w:themeFillTint="33"/>
            <w:tcMar>
              <w:top w:w="13" w:type="dxa"/>
              <w:left w:w="93" w:type="dxa"/>
              <w:bottom w:w="0" w:type="dxa"/>
              <w:right w:w="93" w:type="dxa"/>
            </w:tcMar>
            <w:vAlign w:val="center"/>
            <w:hideMark/>
          </w:tcPr>
          <w:p w:rsidR="00F229A7" w:rsidRPr="00CA0AE3" w:rsidRDefault="00F229A7" w:rsidP="00C12099">
            <w:pPr>
              <w:spacing w:after="0" w:line="240" w:lineRule="auto"/>
              <w:jc w:val="center"/>
              <w:rPr>
                <w:rFonts w:eastAsia="Times New Roman"/>
                <w:b/>
                <w:bCs/>
                <w:kern w:val="24"/>
                <w:sz w:val="20"/>
              </w:rPr>
            </w:pPr>
            <w:r w:rsidRPr="00CA0AE3">
              <w:rPr>
                <w:rFonts w:eastAsia="Times New Roman"/>
                <w:b/>
                <w:bCs/>
                <w:kern w:val="24"/>
                <w:sz w:val="20"/>
              </w:rPr>
              <w:t xml:space="preserve">Achieve </w:t>
            </w:r>
            <w:r w:rsidR="00C12099" w:rsidRPr="00CA0AE3">
              <w:rPr>
                <w:rFonts w:eastAsia="Times New Roman"/>
                <w:b/>
                <w:bCs/>
                <w:kern w:val="24"/>
                <w:sz w:val="20"/>
              </w:rPr>
              <w:t>8</w:t>
            </w:r>
            <w:r w:rsidRPr="00CA0AE3">
              <w:rPr>
                <w:rFonts w:eastAsia="Times New Roman"/>
                <w:b/>
                <w:bCs/>
                <w:kern w:val="24"/>
                <w:sz w:val="20"/>
              </w:rPr>
              <w:t xml:space="preserve"> of </w:t>
            </w:r>
            <w:r w:rsidR="00C12099" w:rsidRPr="00CA0AE3">
              <w:rPr>
                <w:rFonts w:eastAsia="Times New Roman"/>
                <w:b/>
                <w:bCs/>
                <w:kern w:val="24"/>
                <w:sz w:val="20"/>
              </w:rPr>
              <w:t>13</w:t>
            </w:r>
            <w:r w:rsidRPr="00CA0AE3">
              <w:rPr>
                <w:rFonts w:eastAsia="Times New Roman"/>
                <w:b/>
                <w:bCs/>
                <w:kern w:val="24"/>
                <w:sz w:val="20"/>
              </w:rPr>
              <w:t xml:space="preserve"> Measures</w:t>
            </w:r>
          </w:p>
        </w:tc>
        <w:tc>
          <w:tcPr>
            <w:tcW w:w="431" w:type="pct"/>
            <w:tcBorders>
              <w:top w:val="single" w:sz="8" w:space="0" w:color="000000"/>
              <w:left w:val="single" w:sz="8" w:space="0" w:color="000000"/>
              <w:bottom w:val="single" w:sz="8" w:space="0" w:color="000000"/>
              <w:right w:val="single" w:sz="8" w:space="0" w:color="000000"/>
            </w:tcBorders>
            <w:shd w:val="clear" w:color="auto" w:fill="C6D9F1" w:themeFill="text2" w:themeFillTint="33"/>
            <w:tcMar>
              <w:top w:w="13" w:type="dxa"/>
              <w:left w:w="93" w:type="dxa"/>
              <w:bottom w:w="0" w:type="dxa"/>
              <w:right w:w="93" w:type="dxa"/>
            </w:tcMar>
            <w:vAlign w:val="center"/>
            <w:hideMark/>
          </w:tcPr>
          <w:p w:rsidR="00F229A7" w:rsidRPr="00CA0AE3" w:rsidRDefault="00F229A7" w:rsidP="00956296">
            <w:pPr>
              <w:spacing w:after="0" w:line="240" w:lineRule="auto"/>
              <w:jc w:val="center"/>
              <w:rPr>
                <w:rFonts w:eastAsia="Times New Roman"/>
                <w:b/>
                <w:bCs/>
                <w:kern w:val="24"/>
                <w:sz w:val="20"/>
              </w:rPr>
            </w:pPr>
            <w:r w:rsidRPr="00CA0AE3">
              <w:rPr>
                <w:rFonts w:eastAsia="Times New Roman"/>
                <w:b/>
                <w:bCs/>
                <w:kern w:val="24"/>
                <w:sz w:val="20"/>
              </w:rPr>
              <w:t xml:space="preserve">Achieve </w:t>
            </w:r>
            <w:r w:rsidR="00956296" w:rsidRPr="00CA0AE3">
              <w:rPr>
                <w:rFonts w:eastAsia="Times New Roman"/>
                <w:b/>
                <w:bCs/>
                <w:kern w:val="24"/>
                <w:sz w:val="20"/>
              </w:rPr>
              <w:t>8</w:t>
            </w:r>
            <w:r w:rsidRPr="00CA0AE3">
              <w:rPr>
                <w:rFonts w:eastAsia="Times New Roman"/>
                <w:b/>
                <w:bCs/>
                <w:kern w:val="24"/>
                <w:sz w:val="20"/>
              </w:rPr>
              <w:t xml:space="preserve"> of </w:t>
            </w:r>
            <w:r w:rsidR="00C12099" w:rsidRPr="00CA0AE3">
              <w:rPr>
                <w:rFonts w:eastAsia="Times New Roman"/>
                <w:b/>
                <w:bCs/>
                <w:kern w:val="24"/>
                <w:sz w:val="20"/>
              </w:rPr>
              <w:t>13</w:t>
            </w:r>
            <w:r w:rsidRPr="00CA0AE3">
              <w:rPr>
                <w:rFonts w:eastAsia="Times New Roman"/>
                <w:b/>
                <w:bCs/>
                <w:kern w:val="24"/>
                <w:sz w:val="20"/>
              </w:rPr>
              <w:t xml:space="preserve"> Measures</w:t>
            </w:r>
          </w:p>
        </w:tc>
        <w:tc>
          <w:tcPr>
            <w:tcW w:w="567" w:type="pct"/>
            <w:tcBorders>
              <w:top w:val="single" w:sz="8" w:space="0" w:color="000000"/>
              <w:left w:val="single" w:sz="8" w:space="0" w:color="000000"/>
              <w:bottom w:val="single" w:sz="8" w:space="0" w:color="000000"/>
              <w:right w:val="single" w:sz="8" w:space="0" w:color="000000"/>
            </w:tcBorders>
            <w:shd w:val="clear" w:color="auto" w:fill="C6D9F1" w:themeFill="text2" w:themeFillTint="33"/>
            <w:vAlign w:val="center"/>
          </w:tcPr>
          <w:p w:rsidR="00F229A7" w:rsidRPr="00CA0AE3" w:rsidRDefault="00F229A7" w:rsidP="00E17D45">
            <w:pPr>
              <w:spacing w:after="0" w:line="240" w:lineRule="auto"/>
              <w:jc w:val="center"/>
              <w:rPr>
                <w:rFonts w:eastAsia="Times New Roman"/>
                <w:b/>
                <w:bCs/>
                <w:kern w:val="24"/>
                <w:sz w:val="20"/>
              </w:rPr>
            </w:pPr>
          </w:p>
        </w:tc>
      </w:tr>
      <w:tr w:rsidR="00CA6A65" w:rsidRPr="00CA0AE3" w:rsidTr="00945D5E">
        <w:trPr>
          <w:cantSplit/>
          <w:tblHeader/>
        </w:trPr>
        <w:tc>
          <w:tcPr>
            <w:tcW w:w="108" w:type="pct"/>
            <w:tcBorders>
              <w:top w:val="single" w:sz="8" w:space="0" w:color="000000"/>
              <w:left w:val="single" w:sz="8" w:space="0" w:color="000000"/>
              <w:bottom w:val="single" w:sz="8" w:space="0" w:color="000000"/>
              <w:right w:val="single" w:sz="8" w:space="0" w:color="000000"/>
            </w:tcBorders>
            <w:shd w:val="clear" w:color="auto" w:fill="C6D9F1" w:themeFill="text2" w:themeFillTint="33"/>
            <w:vAlign w:val="center"/>
          </w:tcPr>
          <w:p w:rsidR="00F229A7" w:rsidRPr="00CA0AE3" w:rsidRDefault="00F229A7" w:rsidP="00E17D45">
            <w:pPr>
              <w:spacing w:after="0" w:line="240" w:lineRule="auto"/>
              <w:jc w:val="center"/>
              <w:rPr>
                <w:rFonts w:eastAsia="Times New Roman"/>
                <w:b/>
                <w:bCs/>
                <w:kern w:val="24"/>
                <w:sz w:val="20"/>
              </w:rPr>
            </w:pPr>
            <w:r w:rsidRPr="00CA0AE3">
              <w:rPr>
                <w:rFonts w:eastAsia="Times New Roman"/>
                <w:b/>
                <w:bCs/>
                <w:kern w:val="24"/>
                <w:sz w:val="20"/>
              </w:rPr>
              <w:t>#</w:t>
            </w:r>
          </w:p>
        </w:tc>
        <w:tc>
          <w:tcPr>
            <w:tcW w:w="722" w:type="pct"/>
            <w:tcBorders>
              <w:top w:val="single" w:sz="8" w:space="0" w:color="000000"/>
              <w:left w:val="single" w:sz="8" w:space="0" w:color="000000"/>
              <w:bottom w:val="single" w:sz="8" w:space="0" w:color="000000"/>
              <w:right w:val="single" w:sz="8" w:space="0" w:color="000000"/>
            </w:tcBorders>
            <w:shd w:val="clear" w:color="auto" w:fill="C6D9F1" w:themeFill="text2" w:themeFillTint="33"/>
            <w:tcMar>
              <w:top w:w="13" w:type="dxa"/>
              <w:left w:w="93" w:type="dxa"/>
              <w:bottom w:w="0" w:type="dxa"/>
              <w:right w:w="93" w:type="dxa"/>
            </w:tcMar>
            <w:vAlign w:val="center"/>
            <w:hideMark/>
          </w:tcPr>
          <w:p w:rsidR="00F229A7" w:rsidRPr="00CA0AE3" w:rsidRDefault="00F229A7" w:rsidP="00E17D45">
            <w:pPr>
              <w:spacing w:after="0" w:line="240" w:lineRule="auto"/>
              <w:jc w:val="center"/>
              <w:rPr>
                <w:rFonts w:eastAsia="Times New Roman"/>
                <w:sz w:val="20"/>
              </w:rPr>
            </w:pPr>
            <w:r w:rsidRPr="00CA0AE3">
              <w:rPr>
                <w:rFonts w:eastAsia="Times New Roman"/>
                <w:b/>
                <w:bCs/>
                <w:kern w:val="24"/>
                <w:sz w:val="20"/>
              </w:rPr>
              <w:t>Measure Description</w:t>
            </w:r>
          </w:p>
        </w:tc>
        <w:tc>
          <w:tcPr>
            <w:tcW w:w="431" w:type="pct"/>
            <w:tcBorders>
              <w:top w:val="single" w:sz="8" w:space="0" w:color="000000"/>
              <w:left w:val="single" w:sz="8" w:space="0" w:color="000000"/>
              <w:bottom w:val="single" w:sz="8" w:space="0" w:color="000000"/>
              <w:right w:val="single" w:sz="8" w:space="0" w:color="000000"/>
            </w:tcBorders>
            <w:shd w:val="clear" w:color="auto" w:fill="C6D9F1" w:themeFill="text2" w:themeFillTint="33"/>
            <w:tcMar>
              <w:top w:w="13" w:type="dxa"/>
              <w:left w:w="93" w:type="dxa"/>
              <w:bottom w:w="0" w:type="dxa"/>
              <w:right w:w="93" w:type="dxa"/>
            </w:tcMar>
            <w:vAlign w:val="center"/>
            <w:hideMark/>
          </w:tcPr>
          <w:p w:rsidR="00F229A7" w:rsidRPr="00CA0AE3" w:rsidRDefault="00F229A7" w:rsidP="00E17D45">
            <w:pPr>
              <w:spacing w:after="0" w:line="240" w:lineRule="auto"/>
              <w:jc w:val="center"/>
              <w:rPr>
                <w:rFonts w:eastAsia="Times New Roman"/>
                <w:kern w:val="24"/>
                <w:sz w:val="20"/>
              </w:rPr>
            </w:pPr>
            <w:r w:rsidRPr="00CA0AE3">
              <w:rPr>
                <w:rFonts w:eastAsia="Times New Roman"/>
                <w:b/>
                <w:bCs/>
                <w:kern w:val="24"/>
                <w:sz w:val="20"/>
              </w:rPr>
              <w:t>Measure Steward</w:t>
            </w:r>
          </w:p>
          <w:p w:rsidR="00F229A7" w:rsidRPr="00CA0AE3" w:rsidRDefault="00F229A7" w:rsidP="00E17D45">
            <w:pPr>
              <w:spacing w:after="0" w:line="240" w:lineRule="auto"/>
              <w:jc w:val="center"/>
              <w:rPr>
                <w:rFonts w:eastAsia="Times New Roman"/>
                <w:b/>
                <w:sz w:val="20"/>
              </w:rPr>
            </w:pPr>
            <w:r w:rsidRPr="00CA0AE3">
              <w:rPr>
                <w:rFonts w:eastAsia="Times New Roman"/>
                <w:b/>
                <w:kern w:val="24"/>
                <w:sz w:val="20"/>
              </w:rPr>
              <w:t>NQF#</w:t>
            </w:r>
          </w:p>
        </w:tc>
        <w:tc>
          <w:tcPr>
            <w:tcW w:w="463" w:type="pct"/>
            <w:tcBorders>
              <w:top w:val="single" w:sz="8" w:space="0" w:color="000000"/>
              <w:left w:val="single" w:sz="8" w:space="0" w:color="000000"/>
              <w:bottom w:val="single" w:sz="8" w:space="0" w:color="000000"/>
              <w:right w:val="single" w:sz="8" w:space="0" w:color="000000"/>
            </w:tcBorders>
            <w:shd w:val="clear" w:color="auto" w:fill="C6D9F1" w:themeFill="text2" w:themeFillTint="33"/>
            <w:tcMar>
              <w:top w:w="13" w:type="dxa"/>
              <w:left w:w="93" w:type="dxa"/>
              <w:bottom w:w="0" w:type="dxa"/>
              <w:right w:w="93" w:type="dxa"/>
            </w:tcMar>
            <w:vAlign w:val="center"/>
            <w:hideMark/>
          </w:tcPr>
          <w:p w:rsidR="00F229A7" w:rsidRPr="00CA0AE3" w:rsidRDefault="00F229A7" w:rsidP="00E17D45">
            <w:pPr>
              <w:spacing w:after="0" w:line="240" w:lineRule="auto"/>
              <w:jc w:val="center"/>
              <w:rPr>
                <w:rFonts w:eastAsia="Times New Roman"/>
                <w:sz w:val="20"/>
              </w:rPr>
            </w:pPr>
            <w:r w:rsidRPr="00CA0AE3">
              <w:rPr>
                <w:rFonts w:eastAsia="Times New Roman"/>
                <w:b/>
                <w:bCs/>
                <w:kern w:val="24"/>
                <w:sz w:val="20"/>
              </w:rPr>
              <w:t>Benchmark</w:t>
            </w:r>
          </w:p>
        </w:tc>
        <w:tc>
          <w:tcPr>
            <w:tcW w:w="560" w:type="pct"/>
            <w:tcBorders>
              <w:top w:val="single" w:sz="8" w:space="0" w:color="000000"/>
              <w:left w:val="single" w:sz="8" w:space="0" w:color="000000"/>
              <w:bottom w:val="single" w:sz="8" w:space="0" w:color="000000"/>
              <w:right w:val="single" w:sz="8" w:space="0" w:color="000000"/>
            </w:tcBorders>
            <w:shd w:val="clear" w:color="auto" w:fill="C6D9F1" w:themeFill="text2" w:themeFillTint="33"/>
            <w:tcMar>
              <w:top w:w="13" w:type="dxa"/>
              <w:left w:w="93" w:type="dxa"/>
              <w:bottom w:w="0" w:type="dxa"/>
              <w:right w:w="93" w:type="dxa"/>
            </w:tcMar>
            <w:vAlign w:val="center"/>
            <w:hideMark/>
          </w:tcPr>
          <w:p w:rsidR="00F229A7" w:rsidRPr="00CA0AE3" w:rsidRDefault="00F229A7" w:rsidP="00E17D45">
            <w:pPr>
              <w:spacing w:after="0" w:line="240" w:lineRule="auto"/>
              <w:jc w:val="center"/>
              <w:rPr>
                <w:rFonts w:eastAsia="Times New Roman"/>
                <w:sz w:val="20"/>
              </w:rPr>
            </w:pPr>
            <w:r w:rsidRPr="00CA0AE3">
              <w:rPr>
                <w:rFonts w:eastAsia="Times New Roman"/>
                <w:b/>
                <w:bCs/>
                <w:kern w:val="24"/>
                <w:sz w:val="20"/>
              </w:rPr>
              <w:t>Improvement Methodology</w:t>
            </w:r>
          </w:p>
        </w:tc>
        <w:tc>
          <w:tcPr>
            <w:tcW w:w="398" w:type="pct"/>
            <w:tcBorders>
              <w:top w:val="single" w:sz="8" w:space="0" w:color="000000"/>
              <w:left w:val="single" w:sz="8" w:space="0" w:color="000000"/>
              <w:bottom w:val="single" w:sz="8" w:space="0" w:color="000000"/>
              <w:right w:val="single" w:sz="8" w:space="0" w:color="000000"/>
            </w:tcBorders>
            <w:shd w:val="clear" w:color="auto" w:fill="C6D9F1" w:themeFill="text2" w:themeFillTint="33"/>
            <w:tcMar>
              <w:top w:w="13" w:type="dxa"/>
              <w:left w:w="93" w:type="dxa"/>
              <w:bottom w:w="0" w:type="dxa"/>
              <w:right w:w="93" w:type="dxa"/>
            </w:tcMar>
            <w:vAlign w:val="center"/>
            <w:hideMark/>
          </w:tcPr>
          <w:p w:rsidR="00F229A7" w:rsidRPr="00CA0AE3" w:rsidRDefault="00F229A7" w:rsidP="00E17D45">
            <w:pPr>
              <w:spacing w:after="0" w:line="240" w:lineRule="auto"/>
              <w:jc w:val="center"/>
              <w:rPr>
                <w:rFonts w:eastAsia="Times New Roman"/>
                <w:kern w:val="24"/>
                <w:sz w:val="20"/>
              </w:rPr>
            </w:pPr>
            <w:r w:rsidRPr="00CA0AE3">
              <w:rPr>
                <w:rFonts w:eastAsia="Times New Roman"/>
                <w:b/>
                <w:bCs/>
                <w:kern w:val="24"/>
                <w:sz w:val="20"/>
              </w:rPr>
              <w:t>Year 1</w:t>
            </w:r>
          </w:p>
          <w:p w:rsidR="00F229A7" w:rsidRPr="00CA0AE3" w:rsidRDefault="00F229A7" w:rsidP="00E17D45">
            <w:pPr>
              <w:spacing w:after="0" w:line="240" w:lineRule="auto"/>
              <w:jc w:val="center"/>
              <w:rPr>
                <w:rFonts w:eastAsia="Times New Roman"/>
                <w:kern w:val="24"/>
                <w:sz w:val="20"/>
              </w:rPr>
            </w:pPr>
            <w:r w:rsidRPr="00CA0AE3">
              <w:rPr>
                <w:rFonts w:eastAsia="Times New Roman"/>
                <w:kern w:val="24"/>
                <w:sz w:val="20"/>
              </w:rPr>
              <w:t xml:space="preserve">SFY </w:t>
            </w:r>
          </w:p>
          <w:p w:rsidR="00F229A7" w:rsidRPr="00CA0AE3" w:rsidRDefault="00F229A7" w:rsidP="00E17D45">
            <w:pPr>
              <w:spacing w:after="0" w:line="240" w:lineRule="auto"/>
              <w:jc w:val="center"/>
              <w:rPr>
                <w:rFonts w:eastAsia="Times New Roman"/>
                <w:sz w:val="20"/>
              </w:rPr>
            </w:pPr>
            <w:r w:rsidRPr="00CA0AE3">
              <w:rPr>
                <w:rFonts w:eastAsia="Times New Roman"/>
                <w:kern w:val="24"/>
                <w:sz w:val="20"/>
              </w:rPr>
              <w:t>2018</w:t>
            </w:r>
          </w:p>
        </w:tc>
        <w:tc>
          <w:tcPr>
            <w:tcW w:w="463" w:type="pct"/>
            <w:tcBorders>
              <w:top w:val="single" w:sz="8" w:space="0" w:color="000000"/>
              <w:left w:val="single" w:sz="8" w:space="0" w:color="000000"/>
              <w:bottom w:val="single" w:sz="8" w:space="0" w:color="000000"/>
              <w:right w:val="single" w:sz="8" w:space="0" w:color="000000"/>
            </w:tcBorders>
            <w:shd w:val="clear" w:color="auto" w:fill="C6D9F1" w:themeFill="text2" w:themeFillTint="33"/>
            <w:tcMar>
              <w:top w:w="13" w:type="dxa"/>
              <w:left w:w="93" w:type="dxa"/>
              <w:bottom w:w="0" w:type="dxa"/>
              <w:right w:w="93" w:type="dxa"/>
            </w:tcMar>
            <w:vAlign w:val="center"/>
            <w:hideMark/>
          </w:tcPr>
          <w:p w:rsidR="00F229A7" w:rsidRPr="00CA0AE3" w:rsidRDefault="00F229A7" w:rsidP="00E17D45">
            <w:pPr>
              <w:spacing w:after="0" w:line="240" w:lineRule="auto"/>
              <w:jc w:val="center"/>
              <w:rPr>
                <w:rFonts w:eastAsia="Times New Roman"/>
                <w:kern w:val="24"/>
                <w:sz w:val="20"/>
              </w:rPr>
            </w:pPr>
            <w:r w:rsidRPr="00CA0AE3">
              <w:rPr>
                <w:rFonts w:eastAsia="Times New Roman"/>
                <w:b/>
                <w:bCs/>
                <w:kern w:val="24"/>
                <w:sz w:val="20"/>
              </w:rPr>
              <w:t>Year 2</w:t>
            </w:r>
          </w:p>
          <w:p w:rsidR="00F229A7" w:rsidRPr="00CA0AE3" w:rsidRDefault="00F229A7" w:rsidP="00E17D45">
            <w:pPr>
              <w:spacing w:after="0" w:line="240" w:lineRule="auto"/>
              <w:jc w:val="center"/>
              <w:rPr>
                <w:rFonts w:eastAsia="Times New Roman"/>
                <w:kern w:val="24"/>
                <w:sz w:val="20"/>
              </w:rPr>
            </w:pPr>
            <w:r w:rsidRPr="00CA0AE3">
              <w:rPr>
                <w:rFonts w:eastAsia="Times New Roman"/>
                <w:kern w:val="24"/>
                <w:sz w:val="20"/>
              </w:rPr>
              <w:t xml:space="preserve">SFY </w:t>
            </w:r>
          </w:p>
          <w:p w:rsidR="00F229A7" w:rsidRPr="00CA0AE3" w:rsidRDefault="00F229A7" w:rsidP="00E17D45">
            <w:pPr>
              <w:spacing w:after="0" w:line="240" w:lineRule="auto"/>
              <w:jc w:val="center"/>
              <w:rPr>
                <w:rFonts w:eastAsia="Times New Roman"/>
                <w:sz w:val="20"/>
              </w:rPr>
            </w:pPr>
            <w:r w:rsidRPr="00CA0AE3">
              <w:rPr>
                <w:rFonts w:eastAsia="Times New Roman"/>
                <w:kern w:val="24"/>
                <w:sz w:val="20"/>
              </w:rPr>
              <w:t>2019</w:t>
            </w:r>
          </w:p>
        </w:tc>
        <w:tc>
          <w:tcPr>
            <w:tcW w:w="426" w:type="pct"/>
            <w:tcBorders>
              <w:top w:val="single" w:sz="8" w:space="0" w:color="000000"/>
              <w:left w:val="single" w:sz="8" w:space="0" w:color="000000"/>
              <w:bottom w:val="single" w:sz="8" w:space="0" w:color="000000"/>
              <w:right w:val="single" w:sz="8" w:space="0" w:color="000000"/>
            </w:tcBorders>
            <w:shd w:val="clear" w:color="auto" w:fill="C6D9F1" w:themeFill="text2" w:themeFillTint="33"/>
            <w:tcMar>
              <w:top w:w="13" w:type="dxa"/>
              <w:left w:w="93" w:type="dxa"/>
              <w:bottom w:w="0" w:type="dxa"/>
              <w:right w:w="93" w:type="dxa"/>
            </w:tcMar>
            <w:vAlign w:val="center"/>
            <w:hideMark/>
          </w:tcPr>
          <w:p w:rsidR="00F229A7" w:rsidRPr="00CA0AE3" w:rsidRDefault="00F229A7" w:rsidP="00E17D45">
            <w:pPr>
              <w:spacing w:after="0" w:line="240" w:lineRule="auto"/>
              <w:jc w:val="center"/>
              <w:rPr>
                <w:rFonts w:eastAsia="Times New Roman"/>
                <w:kern w:val="24"/>
                <w:sz w:val="20"/>
              </w:rPr>
            </w:pPr>
            <w:r w:rsidRPr="00CA0AE3">
              <w:rPr>
                <w:rFonts w:eastAsia="Times New Roman"/>
                <w:b/>
                <w:bCs/>
                <w:kern w:val="24"/>
                <w:sz w:val="20"/>
              </w:rPr>
              <w:t>Year 3</w:t>
            </w:r>
          </w:p>
          <w:p w:rsidR="00F229A7" w:rsidRPr="00CA0AE3" w:rsidRDefault="00F229A7" w:rsidP="00E17D45">
            <w:pPr>
              <w:spacing w:after="0" w:line="240" w:lineRule="auto"/>
              <w:jc w:val="center"/>
              <w:rPr>
                <w:rFonts w:eastAsia="Times New Roman"/>
                <w:kern w:val="24"/>
                <w:sz w:val="20"/>
              </w:rPr>
            </w:pPr>
            <w:r w:rsidRPr="00CA0AE3">
              <w:rPr>
                <w:rFonts w:eastAsia="Times New Roman"/>
                <w:kern w:val="24"/>
                <w:sz w:val="20"/>
              </w:rPr>
              <w:t xml:space="preserve">SFY </w:t>
            </w:r>
          </w:p>
          <w:p w:rsidR="00F229A7" w:rsidRPr="00CA0AE3" w:rsidRDefault="00F229A7" w:rsidP="00E17D45">
            <w:pPr>
              <w:spacing w:after="0" w:line="240" w:lineRule="auto"/>
              <w:jc w:val="center"/>
              <w:rPr>
                <w:rFonts w:eastAsia="Times New Roman"/>
                <w:sz w:val="20"/>
              </w:rPr>
            </w:pPr>
            <w:r w:rsidRPr="00CA0AE3">
              <w:rPr>
                <w:rFonts w:eastAsia="Times New Roman"/>
                <w:kern w:val="24"/>
                <w:sz w:val="20"/>
              </w:rPr>
              <w:t>2020</w:t>
            </w:r>
          </w:p>
        </w:tc>
        <w:tc>
          <w:tcPr>
            <w:tcW w:w="431" w:type="pct"/>
            <w:tcBorders>
              <w:top w:val="single" w:sz="8" w:space="0" w:color="000000"/>
              <w:left w:val="single" w:sz="8" w:space="0" w:color="000000"/>
              <w:bottom w:val="single" w:sz="8" w:space="0" w:color="000000"/>
              <w:right w:val="single" w:sz="8" w:space="0" w:color="000000"/>
            </w:tcBorders>
            <w:shd w:val="clear" w:color="auto" w:fill="C6D9F1" w:themeFill="text2" w:themeFillTint="33"/>
            <w:tcMar>
              <w:top w:w="13" w:type="dxa"/>
              <w:left w:w="93" w:type="dxa"/>
              <w:bottom w:w="0" w:type="dxa"/>
              <w:right w:w="93" w:type="dxa"/>
            </w:tcMar>
            <w:vAlign w:val="center"/>
            <w:hideMark/>
          </w:tcPr>
          <w:p w:rsidR="00F229A7" w:rsidRPr="00CA0AE3" w:rsidRDefault="00F229A7" w:rsidP="00E17D45">
            <w:pPr>
              <w:spacing w:after="0" w:line="240" w:lineRule="auto"/>
              <w:jc w:val="center"/>
              <w:rPr>
                <w:rFonts w:eastAsia="Times New Roman"/>
                <w:kern w:val="24"/>
                <w:sz w:val="20"/>
              </w:rPr>
            </w:pPr>
            <w:r w:rsidRPr="00CA0AE3">
              <w:rPr>
                <w:rFonts w:eastAsia="Times New Roman"/>
                <w:b/>
                <w:bCs/>
                <w:kern w:val="24"/>
                <w:sz w:val="20"/>
              </w:rPr>
              <w:t>Year 4</w:t>
            </w:r>
          </w:p>
          <w:p w:rsidR="00F229A7" w:rsidRPr="00CA0AE3" w:rsidRDefault="00F229A7" w:rsidP="00E17D45">
            <w:pPr>
              <w:spacing w:after="0" w:line="240" w:lineRule="auto"/>
              <w:jc w:val="center"/>
              <w:rPr>
                <w:rFonts w:eastAsia="Times New Roman"/>
                <w:kern w:val="24"/>
                <w:sz w:val="20"/>
              </w:rPr>
            </w:pPr>
            <w:r w:rsidRPr="00CA0AE3">
              <w:rPr>
                <w:rFonts w:eastAsia="Times New Roman"/>
                <w:kern w:val="24"/>
                <w:sz w:val="20"/>
              </w:rPr>
              <w:t xml:space="preserve">SFY </w:t>
            </w:r>
          </w:p>
          <w:p w:rsidR="00F229A7" w:rsidRPr="00CA0AE3" w:rsidRDefault="00F229A7" w:rsidP="00E17D45">
            <w:pPr>
              <w:spacing w:after="0" w:line="240" w:lineRule="auto"/>
              <w:jc w:val="center"/>
              <w:rPr>
                <w:rFonts w:eastAsia="Times New Roman"/>
                <w:sz w:val="20"/>
              </w:rPr>
            </w:pPr>
            <w:r w:rsidRPr="00CA0AE3">
              <w:rPr>
                <w:rFonts w:eastAsia="Times New Roman"/>
                <w:kern w:val="24"/>
                <w:sz w:val="20"/>
              </w:rPr>
              <w:t>2021</w:t>
            </w:r>
          </w:p>
        </w:tc>
        <w:tc>
          <w:tcPr>
            <w:tcW w:w="431" w:type="pct"/>
            <w:tcBorders>
              <w:top w:val="single" w:sz="8" w:space="0" w:color="000000"/>
              <w:left w:val="single" w:sz="8" w:space="0" w:color="000000"/>
              <w:bottom w:val="single" w:sz="8" w:space="0" w:color="000000"/>
              <w:right w:val="single" w:sz="8" w:space="0" w:color="000000"/>
            </w:tcBorders>
            <w:shd w:val="clear" w:color="auto" w:fill="C6D9F1" w:themeFill="text2" w:themeFillTint="33"/>
            <w:tcMar>
              <w:top w:w="13" w:type="dxa"/>
              <w:left w:w="93" w:type="dxa"/>
              <w:bottom w:w="0" w:type="dxa"/>
              <w:right w:w="93" w:type="dxa"/>
            </w:tcMar>
            <w:vAlign w:val="center"/>
            <w:hideMark/>
          </w:tcPr>
          <w:p w:rsidR="00F229A7" w:rsidRPr="00CA0AE3" w:rsidRDefault="00F229A7" w:rsidP="00E17D45">
            <w:pPr>
              <w:spacing w:after="0" w:line="240" w:lineRule="auto"/>
              <w:jc w:val="center"/>
              <w:rPr>
                <w:rFonts w:eastAsia="Times New Roman"/>
                <w:kern w:val="24"/>
                <w:sz w:val="20"/>
              </w:rPr>
            </w:pPr>
            <w:r w:rsidRPr="00CA0AE3">
              <w:rPr>
                <w:rFonts w:eastAsia="Times New Roman"/>
                <w:b/>
                <w:bCs/>
                <w:kern w:val="24"/>
                <w:sz w:val="20"/>
              </w:rPr>
              <w:t>Year 5</w:t>
            </w:r>
          </w:p>
          <w:p w:rsidR="00F229A7" w:rsidRPr="00CA0AE3" w:rsidRDefault="00F229A7" w:rsidP="00E17D45">
            <w:pPr>
              <w:spacing w:after="0" w:line="240" w:lineRule="auto"/>
              <w:jc w:val="center"/>
              <w:rPr>
                <w:rFonts w:eastAsia="Times New Roman"/>
                <w:kern w:val="24"/>
                <w:sz w:val="20"/>
              </w:rPr>
            </w:pPr>
            <w:r w:rsidRPr="00CA0AE3">
              <w:rPr>
                <w:rFonts w:eastAsia="Times New Roman"/>
                <w:kern w:val="24"/>
                <w:sz w:val="20"/>
              </w:rPr>
              <w:t xml:space="preserve">SFY </w:t>
            </w:r>
          </w:p>
          <w:p w:rsidR="00F229A7" w:rsidRPr="00CA0AE3" w:rsidRDefault="00F229A7" w:rsidP="00E17D45">
            <w:pPr>
              <w:spacing w:after="0" w:line="240" w:lineRule="auto"/>
              <w:jc w:val="center"/>
              <w:rPr>
                <w:rFonts w:eastAsia="Times New Roman"/>
                <w:sz w:val="20"/>
              </w:rPr>
            </w:pPr>
            <w:r w:rsidRPr="00CA0AE3">
              <w:rPr>
                <w:rFonts w:eastAsia="Times New Roman"/>
                <w:kern w:val="24"/>
                <w:sz w:val="20"/>
              </w:rPr>
              <w:t>2022</w:t>
            </w:r>
          </w:p>
        </w:tc>
        <w:tc>
          <w:tcPr>
            <w:tcW w:w="567" w:type="pct"/>
            <w:tcBorders>
              <w:top w:val="single" w:sz="8" w:space="0" w:color="000000"/>
              <w:left w:val="single" w:sz="8" w:space="0" w:color="000000"/>
              <w:bottom w:val="single" w:sz="8" w:space="0" w:color="000000"/>
              <w:right w:val="single" w:sz="8" w:space="0" w:color="000000"/>
            </w:tcBorders>
            <w:shd w:val="clear" w:color="auto" w:fill="C6D9F1" w:themeFill="text2" w:themeFillTint="33"/>
            <w:vAlign w:val="center"/>
          </w:tcPr>
          <w:p w:rsidR="00F229A7" w:rsidRPr="00CA0AE3" w:rsidRDefault="00F229A7" w:rsidP="00E17D45">
            <w:pPr>
              <w:spacing w:after="0" w:line="240" w:lineRule="auto"/>
              <w:jc w:val="center"/>
              <w:rPr>
                <w:rFonts w:eastAsia="Times New Roman"/>
                <w:b/>
                <w:bCs/>
                <w:kern w:val="24"/>
                <w:sz w:val="20"/>
              </w:rPr>
            </w:pPr>
            <w:r w:rsidRPr="00CA0AE3">
              <w:rPr>
                <w:rFonts w:eastAsia="Times New Roman"/>
                <w:b/>
                <w:bCs/>
                <w:kern w:val="24"/>
                <w:sz w:val="20"/>
              </w:rPr>
              <w:t>Rationale for Improvement Target</w:t>
            </w:r>
          </w:p>
        </w:tc>
      </w:tr>
      <w:tr w:rsidR="00CA6A65" w:rsidRPr="00CA0AE3" w:rsidTr="00945D5E">
        <w:trPr>
          <w:cantSplit/>
        </w:trPr>
        <w:tc>
          <w:tcPr>
            <w:tcW w:w="108" w:type="pct"/>
            <w:tcBorders>
              <w:top w:val="single" w:sz="8" w:space="0" w:color="000000"/>
              <w:left w:val="single" w:sz="8" w:space="0" w:color="000000"/>
              <w:bottom w:val="single" w:sz="8" w:space="0" w:color="000000"/>
              <w:right w:val="single" w:sz="8" w:space="0" w:color="000000"/>
            </w:tcBorders>
            <w:vAlign w:val="center"/>
          </w:tcPr>
          <w:p w:rsidR="00BD1E7F" w:rsidRPr="00CA0AE3" w:rsidRDefault="00BD1E7F" w:rsidP="00E17D45">
            <w:pPr>
              <w:spacing w:after="0" w:line="240" w:lineRule="auto"/>
              <w:rPr>
                <w:rFonts w:eastAsia="Times New Roman"/>
                <w:b/>
                <w:sz w:val="16"/>
                <w:szCs w:val="16"/>
              </w:rPr>
            </w:pPr>
          </w:p>
        </w:tc>
        <w:tc>
          <w:tcPr>
            <w:tcW w:w="722" w:type="pct"/>
            <w:tcBorders>
              <w:top w:val="single" w:sz="8" w:space="0" w:color="000000"/>
              <w:left w:val="single" w:sz="8" w:space="0" w:color="000000"/>
              <w:bottom w:val="single" w:sz="8" w:space="0" w:color="000000"/>
              <w:right w:val="single" w:sz="8" w:space="0" w:color="000000"/>
            </w:tcBorders>
            <w:vAlign w:val="center"/>
          </w:tcPr>
          <w:p w:rsidR="00BD1E7F" w:rsidRPr="00CA0AE3" w:rsidRDefault="00BD1E7F" w:rsidP="00E17D45">
            <w:pPr>
              <w:spacing w:after="0" w:line="240" w:lineRule="auto"/>
              <w:rPr>
                <w:rFonts w:eastAsia="Times New Roman"/>
                <w:b/>
                <w:sz w:val="16"/>
                <w:szCs w:val="16"/>
              </w:rPr>
            </w:pPr>
            <w:r w:rsidRPr="00CA0AE3">
              <w:rPr>
                <w:rFonts w:eastAsia="Times New Roman"/>
                <w:b/>
                <w:sz w:val="16"/>
                <w:szCs w:val="16"/>
              </w:rPr>
              <w:t>Chronic Obstructive Pulmonary Disease (COPD)</w:t>
            </w:r>
          </w:p>
        </w:tc>
        <w:tc>
          <w:tcPr>
            <w:tcW w:w="431" w:type="pct"/>
            <w:tcBorders>
              <w:top w:val="single" w:sz="8" w:space="0" w:color="000000"/>
              <w:left w:val="single" w:sz="8" w:space="0" w:color="000000"/>
              <w:bottom w:val="single" w:sz="8" w:space="0" w:color="000000"/>
              <w:right w:val="single" w:sz="8" w:space="0" w:color="000000"/>
            </w:tcBorders>
            <w:vAlign w:val="center"/>
          </w:tcPr>
          <w:p w:rsidR="00BD1E7F" w:rsidRPr="00CA0AE3" w:rsidRDefault="00BD1E7F" w:rsidP="00E17D45">
            <w:pPr>
              <w:spacing w:after="0" w:line="240" w:lineRule="auto"/>
              <w:rPr>
                <w:rFonts w:eastAsia="Times New Roman"/>
                <w:b/>
                <w:sz w:val="16"/>
                <w:szCs w:val="16"/>
              </w:rPr>
            </w:pPr>
          </w:p>
        </w:tc>
        <w:tc>
          <w:tcPr>
            <w:tcW w:w="463" w:type="pct"/>
            <w:tcBorders>
              <w:top w:val="single" w:sz="8" w:space="0" w:color="000000"/>
              <w:left w:val="single" w:sz="8" w:space="0" w:color="000000"/>
              <w:bottom w:val="single" w:sz="8" w:space="0" w:color="000000"/>
              <w:right w:val="single" w:sz="8" w:space="0" w:color="000000"/>
            </w:tcBorders>
            <w:vAlign w:val="center"/>
          </w:tcPr>
          <w:p w:rsidR="00BD1E7F" w:rsidRPr="00CA0AE3" w:rsidRDefault="00BD1E7F" w:rsidP="00E17D45">
            <w:pPr>
              <w:spacing w:after="0" w:line="240" w:lineRule="auto"/>
              <w:rPr>
                <w:rFonts w:eastAsia="Times New Roman"/>
                <w:b/>
                <w:sz w:val="16"/>
                <w:szCs w:val="16"/>
              </w:rPr>
            </w:pPr>
          </w:p>
        </w:tc>
        <w:tc>
          <w:tcPr>
            <w:tcW w:w="560" w:type="pct"/>
            <w:tcBorders>
              <w:top w:val="single" w:sz="8" w:space="0" w:color="000000"/>
              <w:left w:val="single" w:sz="8" w:space="0" w:color="000000"/>
              <w:bottom w:val="single" w:sz="8" w:space="0" w:color="000000"/>
              <w:right w:val="single" w:sz="8" w:space="0" w:color="000000"/>
            </w:tcBorders>
            <w:vAlign w:val="center"/>
          </w:tcPr>
          <w:p w:rsidR="00BD1E7F" w:rsidRPr="00CA0AE3" w:rsidRDefault="00BD1E7F" w:rsidP="00E17D45">
            <w:pPr>
              <w:spacing w:after="0" w:line="240" w:lineRule="auto"/>
              <w:rPr>
                <w:rFonts w:eastAsia="Times New Roman"/>
                <w:b/>
                <w:sz w:val="16"/>
                <w:szCs w:val="16"/>
              </w:rPr>
            </w:pPr>
          </w:p>
        </w:tc>
        <w:tc>
          <w:tcPr>
            <w:tcW w:w="398" w:type="pct"/>
            <w:tcBorders>
              <w:top w:val="single" w:sz="8" w:space="0" w:color="000000"/>
              <w:left w:val="single" w:sz="8" w:space="0" w:color="000000"/>
              <w:bottom w:val="single" w:sz="8" w:space="0" w:color="000000"/>
              <w:right w:val="single" w:sz="8" w:space="0" w:color="000000"/>
            </w:tcBorders>
            <w:vAlign w:val="center"/>
          </w:tcPr>
          <w:p w:rsidR="00BD1E7F" w:rsidRPr="00CA0AE3" w:rsidRDefault="00BD1E7F" w:rsidP="00E17D45">
            <w:pPr>
              <w:spacing w:after="0" w:line="240" w:lineRule="auto"/>
              <w:rPr>
                <w:rFonts w:eastAsia="Times New Roman"/>
                <w:b/>
                <w:sz w:val="16"/>
                <w:szCs w:val="16"/>
              </w:rPr>
            </w:pPr>
          </w:p>
        </w:tc>
        <w:tc>
          <w:tcPr>
            <w:tcW w:w="463" w:type="pct"/>
            <w:tcBorders>
              <w:top w:val="single" w:sz="8" w:space="0" w:color="000000"/>
              <w:left w:val="single" w:sz="8" w:space="0" w:color="000000"/>
              <w:bottom w:val="single" w:sz="8" w:space="0" w:color="000000"/>
              <w:right w:val="single" w:sz="8" w:space="0" w:color="000000"/>
            </w:tcBorders>
            <w:vAlign w:val="center"/>
          </w:tcPr>
          <w:p w:rsidR="00BD1E7F" w:rsidRPr="00CA0AE3" w:rsidRDefault="00BD1E7F" w:rsidP="00E17D45">
            <w:pPr>
              <w:spacing w:after="0" w:line="240" w:lineRule="auto"/>
              <w:rPr>
                <w:rFonts w:eastAsia="Times New Roman"/>
                <w:b/>
                <w:sz w:val="16"/>
                <w:szCs w:val="16"/>
              </w:rPr>
            </w:pPr>
          </w:p>
        </w:tc>
        <w:tc>
          <w:tcPr>
            <w:tcW w:w="426" w:type="pct"/>
            <w:tcBorders>
              <w:top w:val="single" w:sz="8" w:space="0" w:color="000000"/>
              <w:left w:val="single" w:sz="8" w:space="0" w:color="000000"/>
              <w:bottom w:val="single" w:sz="8" w:space="0" w:color="000000"/>
              <w:right w:val="single" w:sz="8" w:space="0" w:color="000000"/>
            </w:tcBorders>
            <w:vAlign w:val="center"/>
          </w:tcPr>
          <w:p w:rsidR="00BD1E7F" w:rsidRPr="00CA0AE3" w:rsidRDefault="00BD1E7F" w:rsidP="00E17D45">
            <w:pPr>
              <w:spacing w:after="0" w:line="240" w:lineRule="auto"/>
              <w:rPr>
                <w:rFonts w:eastAsia="Times New Roman"/>
                <w:b/>
                <w:sz w:val="16"/>
                <w:szCs w:val="16"/>
              </w:rPr>
            </w:pPr>
          </w:p>
        </w:tc>
        <w:tc>
          <w:tcPr>
            <w:tcW w:w="431" w:type="pct"/>
            <w:tcBorders>
              <w:top w:val="single" w:sz="8" w:space="0" w:color="000000"/>
              <w:left w:val="single" w:sz="8" w:space="0" w:color="000000"/>
              <w:bottom w:val="single" w:sz="8" w:space="0" w:color="000000"/>
              <w:right w:val="single" w:sz="8" w:space="0" w:color="000000"/>
            </w:tcBorders>
            <w:vAlign w:val="center"/>
          </w:tcPr>
          <w:p w:rsidR="00BD1E7F" w:rsidRPr="00CA0AE3" w:rsidRDefault="00BD1E7F" w:rsidP="00E17D45">
            <w:pPr>
              <w:spacing w:after="0" w:line="240" w:lineRule="auto"/>
              <w:rPr>
                <w:rFonts w:eastAsia="Times New Roman"/>
                <w:b/>
                <w:sz w:val="16"/>
                <w:szCs w:val="16"/>
              </w:rPr>
            </w:pPr>
          </w:p>
        </w:tc>
        <w:tc>
          <w:tcPr>
            <w:tcW w:w="431" w:type="pct"/>
            <w:tcBorders>
              <w:top w:val="single" w:sz="8" w:space="0" w:color="000000"/>
              <w:left w:val="single" w:sz="8" w:space="0" w:color="000000"/>
              <w:bottom w:val="single" w:sz="8" w:space="0" w:color="000000"/>
              <w:right w:val="single" w:sz="8" w:space="0" w:color="000000"/>
            </w:tcBorders>
            <w:vAlign w:val="center"/>
          </w:tcPr>
          <w:p w:rsidR="00BD1E7F" w:rsidRPr="00CA0AE3" w:rsidRDefault="00BD1E7F" w:rsidP="00E17D45">
            <w:pPr>
              <w:spacing w:after="0" w:line="240" w:lineRule="auto"/>
              <w:rPr>
                <w:rFonts w:eastAsia="Times New Roman"/>
                <w:b/>
                <w:sz w:val="16"/>
                <w:szCs w:val="16"/>
              </w:rPr>
            </w:pPr>
          </w:p>
        </w:tc>
        <w:tc>
          <w:tcPr>
            <w:tcW w:w="567" w:type="pct"/>
            <w:tcBorders>
              <w:top w:val="single" w:sz="8" w:space="0" w:color="000000"/>
              <w:left w:val="single" w:sz="8" w:space="0" w:color="000000"/>
              <w:bottom w:val="single" w:sz="8" w:space="0" w:color="000000"/>
              <w:right w:val="single" w:sz="8" w:space="0" w:color="000000"/>
            </w:tcBorders>
            <w:vAlign w:val="center"/>
          </w:tcPr>
          <w:p w:rsidR="00BD1E7F" w:rsidRPr="00CA0AE3" w:rsidRDefault="00BD1E7F" w:rsidP="00B3615C">
            <w:pPr>
              <w:spacing w:after="0" w:line="240" w:lineRule="auto"/>
              <w:rPr>
                <w:rFonts w:eastAsia="Times New Roman"/>
                <w:b/>
                <w:sz w:val="16"/>
                <w:szCs w:val="16"/>
              </w:rPr>
            </w:pPr>
          </w:p>
        </w:tc>
      </w:tr>
      <w:tr w:rsidR="00CA6A65" w:rsidRPr="00CA0AE3" w:rsidTr="00945D5E">
        <w:trPr>
          <w:cantSplit/>
        </w:trPr>
        <w:tc>
          <w:tcPr>
            <w:tcW w:w="108" w:type="pct"/>
            <w:tcBorders>
              <w:top w:val="single" w:sz="8" w:space="0" w:color="000000"/>
              <w:left w:val="single" w:sz="8" w:space="0" w:color="000000"/>
              <w:bottom w:val="single" w:sz="8" w:space="0" w:color="000000"/>
              <w:right w:val="single" w:sz="8" w:space="0" w:color="000000"/>
            </w:tcBorders>
            <w:vAlign w:val="center"/>
          </w:tcPr>
          <w:p w:rsidR="00F229A7" w:rsidRPr="00CA0AE3" w:rsidRDefault="00F229A7" w:rsidP="00E17D45">
            <w:pPr>
              <w:spacing w:after="0" w:line="240" w:lineRule="auto"/>
              <w:jc w:val="center"/>
              <w:rPr>
                <w:sz w:val="16"/>
                <w:szCs w:val="16"/>
              </w:rPr>
            </w:pPr>
            <w:r w:rsidRPr="00CA0AE3">
              <w:rPr>
                <w:sz w:val="16"/>
                <w:szCs w:val="16"/>
              </w:rPr>
              <w:t>1</w:t>
            </w:r>
          </w:p>
        </w:tc>
        <w:tc>
          <w:tcPr>
            <w:tcW w:w="722"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hideMark/>
          </w:tcPr>
          <w:p w:rsidR="00F229A7" w:rsidRPr="00CA0AE3" w:rsidRDefault="00F229A7" w:rsidP="00E17D45">
            <w:pPr>
              <w:spacing w:after="0" w:line="240" w:lineRule="auto"/>
              <w:rPr>
                <w:sz w:val="16"/>
                <w:szCs w:val="16"/>
              </w:rPr>
            </w:pPr>
            <w:r w:rsidRPr="00CA0AE3">
              <w:rPr>
                <w:sz w:val="16"/>
                <w:szCs w:val="16"/>
              </w:rPr>
              <w:t>The percentage of active primary care patients 40 years of age and older with a new diagnosis of COPD or newly active COPD, who received appropriate spirometry testing to confirm the diagnosis.</w:t>
            </w:r>
          </w:p>
        </w:tc>
        <w:tc>
          <w:tcPr>
            <w:tcW w:w="431"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F229A7" w:rsidRPr="00CA0AE3" w:rsidRDefault="00F229A7" w:rsidP="00E17D45">
            <w:pPr>
              <w:spacing w:after="0" w:line="240" w:lineRule="auto"/>
              <w:jc w:val="center"/>
              <w:rPr>
                <w:sz w:val="16"/>
                <w:szCs w:val="16"/>
              </w:rPr>
            </w:pPr>
            <w:r w:rsidRPr="00CA0AE3">
              <w:rPr>
                <w:sz w:val="16"/>
                <w:szCs w:val="16"/>
              </w:rPr>
              <w:t>NQF 0577</w:t>
            </w:r>
          </w:p>
        </w:tc>
        <w:tc>
          <w:tcPr>
            <w:tcW w:w="463"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F229A7" w:rsidRPr="00CA0AE3" w:rsidRDefault="00F229A7" w:rsidP="00E17D45">
            <w:pPr>
              <w:spacing w:after="0" w:line="240" w:lineRule="auto"/>
              <w:jc w:val="center"/>
              <w:rPr>
                <w:sz w:val="16"/>
                <w:szCs w:val="16"/>
              </w:rPr>
            </w:pPr>
            <w:r w:rsidRPr="00CA0AE3">
              <w:rPr>
                <w:sz w:val="16"/>
                <w:szCs w:val="16"/>
              </w:rPr>
              <w:t>2015 90</w:t>
            </w:r>
            <w:r w:rsidRPr="00CA0AE3">
              <w:rPr>
                <w:sz w:val="16"/>
                <w:szCs w:val="16"/>
                <w:vertAlign w:val="superscript"/>
              </w:rPr>
              <w:t>th</w:t>
            </w:r>
            <w:r w:rsidR="00CA6A65" w:rsidRPr="00CA0AE3">
              <w:rPr>
                <w:sz w:val="16"/>
                <w:szCs w:val="16"/>
              </w:rPr>
              <w:t xml:space="preserve"> percentile National Medicaid =</w:t>
            </w:r>
            <w:r w:rsidRPr="00CA0AE3">
              <w:rPr>
                <w:sz w:val="16"/>
                <w:szCs w:val="16"/>
              </w:rPr>
              <w:t xml:space="preserve"> 47.0%</w:t>
            </w:r>
          </w:p>
        </w:tc>
        <w:tc>
          <w:tcPr>
            <w:tcW w:w="560"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F229A7" w:rsidRPr="00CA0AE3" w:rsidRDefault="00F229A7" w:rsidP="00E17D45">
            <w:pPr>
              <w:pStyle w:val="Default"/>
              <w:jc w:val="center"/>
              <w:rPr>
                <w:color w:val="auto"/>
                <w:sz w:val="16"/>
                <w:szCs w:val="16"/>
              </w:rPr>
            </w:pPr>
            <w:r w:rsidRPr="00CA0AE3">
              <w:rPr>
                <w:color w:val="auto"/>
                <w:sz w:val="16"/>
                <w:szCs w:val="16"/>
              </w:rPr>
              <w:t>Gap to Goal (10%) or attainment at target</w:t>
            </w:r>
          </w:p>
        </w:tc>
        <w:tc>
          <w:tcPr>
            <w:tcW w:w="398"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F229A7" w:rsidRPr="00CA0AE3" w:rsidRDefault="00F229A7" w:rsidP="00E17D45">
            <w:pPr>
              <w:spacing w:after="0" w:line="240" w:lineRule="auto"/>
              <w:jc w:val="center"/>
              <w:rPr>
                <w:b/>
                <w:sz w:val="16"/>
                <w:szCs w:val="16"/>
              </w:rPr>
            </w:pPr>
            <w:r w:rsidRPr="00CA0AE3">
              <w:rPr>
                <w:b/>
                <w:sz w:val="16"/>
                <w:szCs w:val="16"/>
              </w:rPr>
              <w:t>B</w:t>
            </w:r>
          </w:p>
        </w:tc>
        <w:tc>
          <w:tcPr>
            <w:tcW w:w="463"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F229A7" w:rsidRPr="00CA0AE3" w:rsidRDefault="00F229A7" w:rsidP="00E17D45">
            <w:pPr>
              <w:spacing w:after="0" w:line="240" w:lineRule="auto"/>
              <w:jc w:val="center"/>
              <w:rPr>
                <w:b/>
                <w:sz w:val="16"/>
                <w:szCs w:val="16"/>
              </w:rPr>
            </w:pPr>
            <w:r w:rsidRPr="00CA0AE3">
              <w:rPr>
                <w:b/>
                <w:sz w:val="16"/>
                <w:szCs w:val="16"/>
              </w:rPr>
              <w:t>O</w:t>
            </w:r>
          </w:p>
        </w:tc>
        <w:tc>
          <w:tcPr>
            <w:tcW w:w="426"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F229A7" w:rsidRPr="00CA0AE3" w:rsidRDefault="00F229A7" w:rsidP="00E17D45">
            <w:pPr>
              <w:spacing w:after="0" w:line="240" w:lineRule="auto"/>
              <w:jc w:val="center"/>
              <w:rPr>
                <w:b/>
                <w:sz w:val="16"/>
                <w:szCs w:val="16"/>
              </w:rPr>
            </w:pPr>
            <w:r w:rsidRPr="00CA0AE3">
              <w:rPr>
                <w:b/>
                <w:sz w:val="16"/>
                <w:szCs w:val="16"/>
              </w:rPr>
              <w:t>O</w:t>
            </w:r>
          </w:p>
        </w:tc>
        <w:tc>
          <w:tcPr>
            <w:tcW w:w="431"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F229A7" w:rsidRPr="00CA0AE3" w:rsidRDefault="00F229A7" w:rsidP="00E17D45">
            <w:pPr>
              <w:spacing w:after="0" w:line="240" w:lineRule="auto"/>
              <w:jc w:val="center"/>
              <w:rPr>
                <w:b/>
                <w:sz w:val="16"/>
                <w:szCs w:val="16"/>
              </w:rPr>
            </w:pPr>
            <w:r w:rsidRPr="00CA0AE3">
              <w:rPr>
                <w:b/>
                <w:sz w:val="16"/>
                <w:szCs w:val="16"/>
              </w:rPr>
              <w:t>O</w:t>
            </w:r>
          </w:p>
        </w:tc>
        <w:tc>
          <w:tcPr>
            <w:tcW w:w="431"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F229A7" w:rsidRPr="00CA0AE3" w:rsidRDefault="00F229A7" w:rsidP="00E17D45">
            <w:pPr>
              <w:spacing w:after="0" w:line="240" w:lineRule="auto"/>
              <w:jc w:val="center"/>
              <w:rPr>
                <w:b/>
                <w:sz w:val="16"/>
                <w:szCs w:val="16"/>
              </w:rPr>
            </w:pPr>
            <w:r w:rsidRPr="00CA0AE3">
              <w:rPr>
                <w:b/>
                <w:sz w:val="16"/>
                <w:szCs w:val="16"/>
              </w:rPr>
              <w:t>O</w:t>
            </w:r>
          </w:p>
        </w:tc>
        <w:tc>
          <w:tcPr>
            <w:tcW w:w="567" w:type="pct"/>
            <w:tcBorders>
              <w:top w:val="single" w:sz="8" w:space="0" w:color="000000"/>
              <w:left w:val="single" w:sz="8" w:space="0" w:color="000000"/>
              <w:bottom w:val="single" w:sz="8" w:space="0" w:color="000000"/>
              <w:right w:val="single" w:sz="8" w:space="0" w:color="000000"/>
            </w:tcBorders>
            <w:vAlign w:val="center"/>
          </w:tcPr>
          <w:p w:rsidR="00F229A7" w:rsidRPr="00CA0AE3" w:rsidRDefault="00F229A7" w:rsidP="00B3615C">
            <w:pPr>
              <w:spacing w:after="0" w:line="240" w:lineRule="auto"/>
              <w:rPr>
                <w:rFonts w:eastAsia="Times New Roman"/>
                <w:sz w:val="16"/>
                <w:szCs w:val="16"/>
              </w:rPr>
            </w:pPr>
            <w:r w:rsidRPr="00CA0AE3">
              <w:rPr>
                <w:rFonts w:eastAsia="Times New Roman"/>
                <w:sz w:val="16"/>
                <w:szCs w:val="16"/>
              </w:rPr>
              <w:t>Target reflects the 2015</w:t>
            </w:r>
            <w:r w:rsidRPr="00CA0AE3">
              <w:rPr>
                <w:rFonts w:eastAsia="Times New Roman"/>
                <w:sz w:val="16"/>
                <w:szCs w:val="16"/>
                <w:vertAlign w:val="superscript"/>
              </w:rPr>
              <w:t>th</w:t>
            </w:r>
            <w:r w:rsidRPr="00CA0AE3">
              <w:rPr>
                <w:rFonts w:eastAsia="Times New Roman"/>
                <w:sz w:val="16"/>
                <w:szCs w:val="16"/>
              </w:rPr>
              <w:t xml:space="preserve"> 90</w:t>
            </w:r>
            <w:r w:rsidRPr="00CA0AE3">
              <w:rPr>
                <w:rFonts w:eastAsia="Times New Roman"/>
                <w:sz w:val="16"/>
                <w:szCs w:val="16"/>
                <w:vertAlign w:val="superscript"/>
              </w:rPr>
              <w:t>th</w:t>
            </w:r>
            <w:r w:rsidRPr="00CA0AE3">
              <w:rPr>
                <w:rFonts w:eastAsia="Times New Roman"/>
                <w:sz w:val="16"/>
                <w:szCs w:val="16"/>
              </w:rPr>
              <w:t xml:space="preserve"> Percentile National Medicaid.</w:t>
            </w:r>
          </w:p>
        </w:tc>
      </w:tr>
      <w:tr w:rsidR="00CA6A65" w:rsidRPr="00CA0AE3" w:rsidTr="00945D5E">
        <w:trPr>
          <w:cantSplit/>
        </w:trPr>
        <w:tc>
          <w:tcPr>
            <w:tcW w:w="108" w:type="pct"/>
            <w:tcBorders>
              <w:top w:val="single" w:sz="8" w:space="0" w:color="000000"/>
              <w:left w:val="single" w:sz="8" w:space="0" w:color="000000"/>
              <w:bottom w:val="single" w:sz="8" w:space="0" w:color="000000"/>
              <w:right w:val="single" w:sz="8" w:space="0" w:color="000000"/>
            </w:tcBorders>
            <w:vAlign w:val="center"/>
          </w:tcPr>
          <w:p w:rsidR="00F229A7" w:rsidRPr="00CA0AE3" w:rsidRDefault="00F229A7" w:rsidP="00E17D45">
            <w:pPr>
              <w:spacing w:after="0" w:line="240" w:lineRule="auto"/>
              <w:jc w:val="center"/>
              <w:rPr>
                <w:sz w:val="16"/>
                <w:szCs w:val="16"/>
              </w:rPr>
            </w:pPr>
            <w:r w:rsidRPr="00CA0AE3">
              <w:rPr>
                <w:sz w:val="16"/>
                <w:szCs w:val="16"/>
              </w:rPr>
              <w:t>2</w:t>
            </w:r>
          </w:p>
        </w:tc>
        <w:tc>
          <w:tcPr>
            <w:tcW w:w="722"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hideMark/>
          </w:tcPr>
          <w:p w:rsidR="00F229A7" w:rsidRPr="00CA0AE3" w:rsidRDefault="00F229A7" w:rsidP="00E17D45">
            <w:pPr>
              <w:spacing w:after="0" w:line="240" w:lineRule="auto"/>
              <w:rPr>
                <w:sz w:val="16"/>
                <w:szCs w:val="16"/>
              </w:rPr>
            </w:pPr>
            <w:r w:rsidRPr="00CA0AE3">
              <w:rPr>
                <w:sz w:val="16"/>
                <w:szCs w:val="16"/>
              </w:rPr>
              <w:t>Percentage of active primary care patients aged 18 years and older with a diagnosis of COPD and who have an FEV1/FVC &lt; 60% and have symptoms who were prescribed an inhaled bronchodilator.</w:t>
            </w:r>
          </w:p>
        </w:tc>
        <w:tc>
          <w:tcPr>
            <w:tcW w:w="431"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F229A7" w:rsidRPr="00CA0AE3" w:rsidRDefault="00F229A7" w:rsidP="00E17D45">
            <w:pPr>
              <w:spacing w:after="0" w:line="240" w:lineRule="auto"/>
              <w:jc w:val="center"/>
              <w:rPr>
                <w:sz w:val="16"/>
                <w:szCs w:val="16"/>
              </w:rPr>
            </w:pPr>
            <w:r w:rsidRPr="00CA0AE3">
              <w:rPr>
                <w:sz w:val="16"/>
                <w:szCs w:val="16"/>
              </w:rPr>
              <w:t>NQF 102</w:t>
            </w:r>
          </w:p>
        </w:tc>
        <w:tc>
          <w:tcPr>
            <w:tcW w:w="463"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F229A7" w:rsidRPr="00CA0AE3" w:rsidRDefault="00F229A7" w:rsidP="00E17D45">
            <w:pPr>
              <w:spacing w:after="0" w:line="240" w:lineRule="auto"/>
              <w:jc w:val="center"/>
              <w:rPr>
                <w:sz w:val="16"/>
                <w:szCs w:val="16"/>
              </w:rPr>
            </w:pPr>
            <w:r w:rsidRPr="00CA0AE3">
              <w:rPr>
                <w:bCs/>
                <w:sz w:val="16"/>
                <w:szCs w:val="16"/>
              </w:rPr>
              <w:t>2015 90</w:t>
            </w:r>
            <w:r w:rsidRPr="00CA0AE3">
              <w:rPr>
                <w:bCs/>
                <w:sz w:val="16"/>
                <w:szCs w:val="16"/>
                <w:vertAlign w:val="superscript"/>
              </w:rPr>
              <w:t>th</w:t>
            </w:r>
            <w:r w:rsidRPr="00CA0AE3">
              <w:rPr>
                <w:bCs/>
                <w:sz w:val="16"/>
                <w:szCs w:val="16"/>
              </w:rPr>
              <w:t xml:space="preserve"> percentile National Medicaid= 90.0%</w:t>
            </w:r>
          </w:p>
          <w:p w:rsidR="00F229A7" w:rsidRPr="00CA0AE3" w:rsidRDefault="00F229A7" w:rsidP="00E17D45">
            <w:pPr>
              <w:pStyle w:val="Default"/>
              <w:jc w:val="center"/>
              <w:rPr>
                <w:color w:val="auto"/>
                <w:sz w:val="16"/>
                <w:szCs w:val="16"/>
              </w:rPr>
            </w:pPr>
          </w:p>
          <w:p w:rsidR="00F229A7" w:rsidRPr="00CA0AE3" w:rsidRDefault="00F229A7" w:rsidP="00E17D45">
            <w:pPr>
              <w:spacing w:after="0" w:line="240" w:lineRule="auto"/>
              <w:jc w:val="center"/>
              <w:rPr>
                <w:sz w:val="16"/>
                <w:szCs w:val="16"/>
              </w:rPr>
            </w:pPr>
          </w:p>
        </w:tc>
        <w:tc>
          <w:tcPr>
            <w:tcW w:w="560"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F229A7" w:rsidRPr="00CA0AE3" w:rsidRDefault="00F229A7" w:rsidP="00E17D45">
            <w:pPr>
              <w:pStyle w:val="Default"/>
              <w:jc w:val="center"/>
              <w:rPr>
                <w:color w:val="auto"/>
                <w:sz w:val="16"/>
                <w:szCs w:val="16"/>
              </w:rPr>
            </w:pPr>
            <w:r w:rsidRPr="00CA0AE3">
              <w:rPr>
                <w:color w:val="auto"/>
                <w:sz w:val="16"/>
                <w:szCs w:val="16"/>
              </w:rPr>
              <w:t>Gap to Goal (10%) or attainment at target</w:t>
            </w:r>
          </w:p>
        </w:tc>
        <w:tc>
          <w:tcPr>
            <w:tcW w:w="398"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F229A7" w:rsidRPr="00CA0AE3" w:rsidRDefault="00F229A7" w:rsidP="00E17D45">
            <w:pPr>
              <w:spacing w:after="0" w:line="240" w:lineRule="auto"/>
              <w:jc w:val="center"/>
              <w:rPr>
                <w:b/>
                <w:sz w:val="16"/>
                <w:szCs w:val="16"/>
              </w:rPr>
            </w:pPr>
            <w:r w:rsidRPr="00CA0AE3">
              <w:rPr>
                <w:b/>
                <w:sz w:val="16"/>
                <w:szCs w:val="16"/>
              </w:rPr>
              <w:t>B</w:t>
            </w:r>
          </w:p>
        </w:tc>
        <w:tc>
          <w:tcPr>
            <w:tcW w:w="463"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F229A7" w:rsidRPr="00CA0AE3" w:rsidRDefault="00F229A7" w:rsidP="00E17D45">
            <w:pPr>
              <w:spacing w:after="0" w:line="240" w:lineRule="auto"/>
              <w:jc w:val="center"/>
              <w:rPr>
                <w:b/>
                <w:sz w:val="16"/>
                <w:szCs w:val="16"/>
              </w:rPr>
            </w:pPr>
            <w:r w:rsidRPr="00CA0AE3">
              <w:rPr>
                <w:b/>
                <w:sz w:val="16"/>
                <w:szCs w:val="16"/>
              </w:rPr>
              <w:t>O</w:t>
            </w:r>
          </w:p>
        </w:tc>
        <w:tc>
          <w:tcPr>
            <w:tcW w:w="426"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F229A7" w:rsidRPr="00CA0AE3" w:rsidRDefault="00F229A7" w:rsidP="00E17D45">
            <w:pPr>
              <w:spacing w:after="0" w:line="240" w:lineRule="auto"/>
              <w:jc w:val="center"/>
              <w:rPr>
                <w:b/>
                <w:sz w:val="16"/>
                <w:szCs w:val="16"/>
              </w:rPr>
            </w:pPr>
            <w:r w:rsidRPr="00CA0AE3">
              <w:rPr>
                <w:b/>
                <w:sz w:val="16"/>
                <w:szCs w:val="16"/>
              </w:rPr>
              <w:t>O</w:t>
            </w:r>
          </w:p>
        </w:tc>
        <w:tc>
          <w:tcPr>
            <w:tcW w:w="431"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F229A7" w:rsidRPr="00CA0AE3" w:rsidRDefault="00F229A7" w:rsidP="00E17D45">
            <w:pPr>
              <w:spacing w:after="0" w:line="240" w:lineRule="auto"/>
              <w:jc w:val="center"/>
              <w:rPr>
                <w:b/>
                <w:sz w:val="16"/>
                <w:szCs w:val="16"/>
              </w:rPr>
            </w:pPr>
            <w:r w:rsidRPr="00CA0AE3">
              <w:rPr>
                <w:b/>
                <w:sz w:val="16"/>
                <w:szCs w:val="16"/>
              </w:rPr>
              <w:t>O</w:t>
            </w:r>
          </w:p>
        </w:tc>
        <w:tc>
          <w:tcPr>
            <w:tcW w:w="431"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F229A7" w:rsidRPr="00CA0AE3" w:rsidRDefault="00F229A7" w:rsidP="00E17D45">
            <w:pPr>
              <w:spacing w:after="0" w:line="240" w:lineRule="auto"/>
              <w:jc w:val="center"/>
              <w:rPr>
                <w:b/>
                <w:sz w:val="16"/>
                <w:szCs w:val="16"/>
              </w:rPr>
            </w:pPr>
            <w:r w:rsidRPr="00CA0AE3">
              <w:rPr>
                <w:b/>
                <w:sz w:val="16"/>
                <w:szCs w:val="16"/>
              </w:rPr>
              <w:t>O</w:t>
            </w:r>
          </w:p>
        </w:tc>
        <w:tc>
          <w:tcPr>
            <w:tcW w:w="567" w:type="pct"/>
            <w:tcBorders>
              <w:top w:val="single" w:sz="8" w:space="0" w:color="000000"/>
              <w:left w:val="single" w:sz="8" w:space="0" w:color="000000"/>
              <w:bottom w:val="single" w:sz="8" w:space="0" w:color="000000"/>
              <w:right w:val="single" w:sz="8" w:space="0" w:color="000000"/>
            </w:tcBorders>
            <w:vAlign w:val="center"/>
          </w:tcPr>
          <w:p w:rsidR="00F229A7" w:rsidRPr="00CA0AE3" w:rsidRDefault="00F229A7" w:rsidP="00B3615C">
            <w:pPr>
              <w:spacing w:after="0" w:line="240" w:lineRule="auto"/>
              <w:rPr>
                <w:rFonts w:eastAsia="Times New Roman"/>
                <w:sz w:val="16"/>
                <w:szCs w:val="16"/>
              </w:rPr>
            </w:pPr>
            <w:r w:rsidRPr="00CA0AE3">
              <w:rPr>
                <w:rFonts w:eastAsia="Times New Roman"/>
                <w:sz w:val="16"/>
                <w:szCs w:val="16"/>
              </w:rPr>
              <w:t>Target reflects the 2015</w:t>
            </w:r>
            <w:r w:rsidRPr="00CA0AE3">
              <w:rPr>
                <w:rFonts w:eastAsia="Times New Roman"/>
                <w:sz w:val="16"/>
                <w:szCs w:val="16"/>
                <w:vertAlign w:val="superscript"/>
              </w:rPr>
              <w:t>th</w:t>
            </w:r>
            <w:r w:rsidRPr="00CA0AE3">
              <w:rPr>
                <w:rFonts w:eastAsia="Times New Roman"/>
                <w:sz w:val="16"/>
                <w:szCs w:val="16"/>
              </w:rPr>
              <w:t xml:space="preserve"> 90</w:t>
            </w:r>
            <w:r w:rsidRPr="00CA0AE3">
              <w:rPr>
                <w:rFonts w:eastAsia="Times New Roman"/>
                <w:sz w:val="16"/>
                <w:szCs w:val="16"/>
                <w:vertAlign w:val="superscript"/>
              </w:rPr>
              <w:t>th</w:t>
            </w:r>
            <w:r w:rsidRPr="00CA0AE3">
              <w:rPr>
                <w:rFonts w:eastAsia="Times New Roman"/>
                <w:sz w:val="16"/>
                <w:szCs w:val="16"/>
              </w:rPr>
              <w:t xml:space="preserve"> Percentile National Medicaid.</w:t>
            </w:r>
          </w:p>
        </w:tc>
      </w:tr>
      <w:tr w:rsidR="00CA6A65" w:rsidRPr="00CA0AE3" w:rsidTr="00945D5E">
        <w:trPr>
          <w:cantSplit/>
        </w:trPr>
        <w:tc>
          <w:tcPr>
            <w:tcW w:w="108" w:type="pct"/>
            <w:tcBorders>
              <w:top w:val="single" w:sz="8" w:space="0" w:color="000000"/>
              <w:left w:val="single" w:sz="8" w:space="0" w:color="000000"/>
              <w:bottom w:val="single" w:sz="8" w:space="0" w:color="000000"/>
              <w:right w:val="single" w:sz="8" w:space="0" w:color="000000"/>
            </w:tcBorders>
            <w:vAlign w:val="center"/>
          </w:tcPr>
          <w:p w:rsidR="00F229A7" w:rsidRPr="00CA0AE3" w:rsidRDefault="00F229A7" w:rsidP="00E17D45">
            <w:pPr>
              <w:spacing w:after="0" w:line="240" w:lineRule="auto"/>
              <w:jc w:val="center"/>
              <w:rPr>
                <w:sz w:val="16"/>
                <w:szCs w:val="16"/>
              </w:rPr>
            </w:pPr>
            <w:r w:rsidRPr="00CA0AE3">
              <w:rPr>
                <w:sz w:val="16"/>
                <w:szCs w:val="16"/>
              </w:rPr>
              <w:t>3</w:t>
            </w:r>
          </w:p>
        </w:tc>
        <w:tc>
          <w:tcPr>
            <w:tcW w:w="722"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hideMark/>
          </w:tcPr>
          <w:p w:rsidR="00F229A7" w:rsidRPr="00CA0AE3" w:rsidRDefault="00F229A7" w:rsidP="00E17D45">
            <w:pPr>
              <w:spacing w:after="0" w:line="240" w:lineRule="auto"/>
              <w:rPr>
                <w:sz w:val="16"/>
                <w:szCs w:val="16"/>
              </w:rPr>
            </w:pPr>
            <w:r w:rsidRPr="00CA0AE3">
              <w:rPr>
                <w:sz w:val="16"/>
                <w:szCs w:val="16"/>
              </w:rPr>
              <w:t>Improve the percentage of patients with COPD who received patient education for COPD by a member of their inpatient care team prior to discharge (across public hospital’s inpatient hospital campuses)</w:t>
            </w:r>
          </w:p>
        </w:tc>
        <w:tc>
          <w:tcPr>
            <w:tcW w:w="431"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F229A7" w:rsidRPr="00CA0AE3" w:rsidRDefault="00F229A7" w:rsidP="00E17D45">
            <w:pPr>
              <w:spacing w:after="0" w:line="240" w:lineRule="auto"/>
              <w:jc w:val="center"/>
              <w:rPr>
                <w:sz w:val="16"/>
                <w:szCs w:val="16"/>
              </w:rPr>
            </w:pPr>
            <w:r w:rsidRPr="00CA0AE3">
              <w:rPr>
                <w:sz w:val="16"/>
                <w:szCs w:val="16"/>
              </w:rPr>
              <w:t>Customized Measure</w:t>
            </w:r>
          </w:p>
        </w:tc>
        <w:tc>
          <w:tcPr>
            <w:tcW w:w="463"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F229A7" w:rsidRPr="00CA0AE3" w:rsidRDefault="00F229A7" w:rsidP="00E17D45">
            <w:pPr>
              <w:spacing w:after="0" w:line="240" w:lineRule="auto"/>
              <w:jc w:val="center"/>
              <w:rPr>
                <w:sz w:val="16"/>
                <w:szCs w:val="16"/>
              </w:rPr>
            </w:pPr>
            <w:r w:rsidRPr="00CA0AE3">
              <w:rPr>
                <w:sz w:val="16"/>
                <w:szCs w:val="16"/>
              </w:rPr>
              <w:t>No external benchmark;</w:t>
            </w:r>
          </w:p>
          <w:p w:rsidR="00F229A7" w:rsidRPr="00CA0AE3" w:rsidRDefault="00F229A7" w:rsidP="00E17D45">
            <w:pPr>
              <w:spacing w:after="0" w:line="240" w:lineRule="auto"/>
              <w:jc w:val="center"/>
              <w:rPr>
                <w:sz w:val="16"/>
                <w:szCs w:val="16"/>
              </w:rPr>
            </w:pPr>
            <w:r w:rsidRPr="00CA0AE3">
              <w:rPr>
                <w:sz w:val="16"/>
                <w:szCs w:val="16"/>
              </w:rPr>
              <w:t>hospital specific improvement</w:t>
            </w:r>
          </w:p>
          <w:p w:rsidR="00F229A7" w:rsidRPr="00CA0AE3" w:rsidRDefault="00F229A7" w:rsidP="00E17D45">
            <w:pPr>
              <w:spacing w:after="0" w:line="240" w:lineRule="auto"/>
              <w:jc w:val="center"/>
              <w:rPr>
                <w:sz w:val="16"/>
                <w:szCs w:val="16"/>
              </w:rPr>
            </w:pPr>
            <w:r w:rsidRPr="00CA0AE3">
              <w:rPr>
                <w:sz w:val="16"/>
                <w:szCs w:val="16"/>
              </w:rPr>
              <w:t>target = 85%</w:t>
            </w:r>
          </w:p>
        </w:tc>
        <w:tc>
          <w:tcPr>
            <w:tcW w:w="560"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F229A7" w:rsidRPr="00CA0AE3" w:rsidRDefault="00F229A7" w:rsidP="00E17D45">
            <w:pPr>
              <w:pStyle w:val="Default"/>
              <w:jc w:val="center"/>
              <w:rPr>
                <w:color w:val="auto"/>
                <w:sz w:val="16"/>
                <w:szCs w:val="16"/>
              </w:rPr>
            </w:pPr>
            <w:r w:rsidRPr="00CA0AE3">
              <w:rPr>
                <w:color w:val="auto"/>
                <w:sz w:val="16"/>
                <w:szCs w:val="16"/>
              </w:rPr>
              <w:t>Gap to Goal (10%) or attainment at target</w:t>
            </w:r>
          </w:p>
        </w:tc>
        <w:tc>
          <w:tcPr>
            <w:tcW w:w="398"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F229A7" w:rsidRPr="00CA0AE3" w:rsidRDefault="00F229A7" w:rsidP="00E17D45">
            <w:pPr>
              <w:spacing w:after="0" w:line="240" w:lineRule="auto"/>
              <w:jc w:val="center"/>
              <w:rPr>
                <w:b/>
                <w:sz w:val="16"/>
                <w:szCs w:val="16"/>
              </w:rPr>
            </w:pPr>
            <w:r w:rsidRPr="00CA0AE3">
              <w:rPr>
                <w:b/>
                <w:sz w:val="16"/>
                <w:szCs w:val="16"/>
              </w:rPr>
              <w:t>O</w:t>
            </w:r>
          </w:p>
        </w:tc>
        <w:tc>
          <w:tcPr>
            <w:tcW w:w="463"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F229A7" w:rsidRPr="00CA0AE3" w:rsidRDefault="00F229A7" w:rsidP="00E17D45">
            <w:pPr>
              <w:spacing w:after="0" w:line="240" w:lineRule="auto"/>
              <w:jc w:val="center"/>
              <w:rPr>
                <w:b/>
                <w:sz w:val="16"/>
                <w:szCs w:val="16"/>
              </w:rPr>
            </w:pPr>
            <w:r w:rsidRPr="00CA0AE3">
              <w:rPr>
                <w:b/>
                <w:sz w:val="16"/>
                <w:szCs w:val="16"/>
              </w:rPr>
              <w:t>O</w:t>
            </w:r>
          </w:p>
        </w:tc>
        <w:tc>
          <w:tcPr>
            <w:tcW w:w="426"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F229A7" w:rsidRPr="00CA0AE3" w:rsidRDefault="00F229A7" w:rsidP="00E17D45">
            <w:pPr>
              <w:spacing w:after="0" w:line="240" w:lineRule="auto"/>
              <w:jc w:val="center"/>
              <w:rPr>
                <w:b/>
                <w:sz w:val="16"/>
                <w:szCs w:val="16"/>
              </w:rPr>
            </w:pPr>
            <w:r w:rsidRPr="00CA0AE3">
              <w:rPr>
                <w:b/>
                <w:sz w:val="16"/>
                <w:szCs w:val="16"/>
              </w:rPr>
              <w:t>O</w:t>
            </w:r>
          </w:p>
        </w:tc>
        <w:tc>
          <w:tcPr>
            <w:tcW w:w="431"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F229A7" w:rsidRPr="00CA0AE3" w:rsidRDefault="00F229A7" w:rsidP="00E17D45">
            <w:pPr>
              <w:spacing w:after="0" w:line="240" w:lineRule="auto"/>
              <w:jc w:val="center"/>
              <w:rPr>
                <w:b/>
                <w:sz w:val="16"/>
                <w:szCs w:val="16"/>
              </w:rPr>
            </w:pPr>
            <w:r w:rsidRPr="00CA0AE3">
              <w:rPr>
                <w:b/>
                <w:sz w:val="16"/>
                <w:szCs w:val="16"/>
              </w:rPr>
              <w:t>O</w:t>
            </w:r>
          </w:p>
        </w:tc>
        <w:tc>
          <w:tcPr>
            <w:tcW w:w="431"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F229A7" w:rsidRPr="00CA0AE3" w:rsidRDefault="00F229A7" w:rsidP="00E17D45">
            <w:pPr>
              <w:spacing w:after="0" w:line="240" w:lineRule="auto"/>
              <w:jc w:val="center"/>
              <w:rPr>
                <w:b/>
                <w:sz w:val="16"/>
                <w:szCs w:val="16"/>
              </w:rPr>
            </w:pPr>
            <w:r w:rsidRPr="00CA0AE3">
              <w:rPr>
                <w:b/>
                <w:sz w:val="16"/>
                <w:szCs w:val="16"/>
              </w:rPr>
              <w:t>O</w:t>
            </w:r>
          </w:p>
        </w:tc>
        <w:tc>
          <w:tcPr>
            <w:tcW w:w="567" w:type="pct"/>
            <w:tcBorders>
              <w:top w:val="single" w:sz="8" w:space="0" w:color="000000"/>
              <w:left w:val="single" w:sz="8" w:space="0" w:color="000000"/>
              <w:bottom w:val="single" w:sz="8" w:space="0" w:color="000000"/>
              <w:right w:val="single" w:sz="8" w:space="0" w:color="000000"/>
            </w:tcBorders>
            <w:vAlign w:val="center"/>
          </w:tcPr>
          <w:p w:rsidR="00F229A7" w:rsidRPr="00CA0AE3" w:rsidRDefault="00F229A7" w:rsidP="00B3615C">
            <w:pPr>
              <w:spacing w:after="0" w:line="240" w:lineRule="auto"/>
              <w:rPr>
                <w:rFonts w:eastAsia="Times New Roman"/>
                <w:sz w:val="16"/>
                <w:szCs w:val="16"/>
              </w:rPr>
            </w:pPr>
            <w:r w:rsidRPr="00CA0AE3">
              <w:rPr>
                <w:rFonts w:eastAsia="Times New Roman"/>
                <w:sz w:val="16"/>
                <w:szCs w:val="16"/>
              </w:rPr>
              <w:t>Target of 85% reflects best practice adoption</w:t>
            </w:r>
            <w:r w:rsidRPr="00CA0AE3">
              <w:rPr>
                <w:sz w:val="16"/>
                <w:szCs w:val="16"/>
              </w:rPr>
              <w:t xml:space="preserve"> of the required workflows.</w:t>
            </w:r>
          </w:p>
        </w:tc>
      </w:tr>
      <w:tr w:rsidR="00CA6A65" w:rsidRPr="00CA0AE3" w:rsidTr="00945D5E">
        <w:trPr>
          <w:cantSplit/>
        </w:trPr>
        <w:tc>
          <w:tcPr>
            <w:tcW w:w="108" w:type="pct"/>
            <w:tcBorders>
              <w:top w:val="single" w:sz="8" w:space="0" w:color="000000"/>
              <w:left w:val="single" w:sz="8" w:space="0" w:color="000000"/>
              <w:bottom w:val="single" w:sz="8" w:space="0" w:color="000000"/>
              <w:right w:val="single" w:sz="8" w:space="0" w:color="000000"/>
            </w:tcBorders>
            <w:vAlign w:val="center"/>
          </w:tcPr>
          <w:p w:rsidR="00BD1E7F" w:rsidRPr="00CA0AE3" w:rsidRDefault="00BD1E7F" w:rsidP="00E17D45">
            <w:pPr>
              <w:spacing w:after="0" w:line="240" w:lineRule="auto"/>
              <w:rPr>
                <w:rFonts w:eastAsia="Times New Roman"/>
                <w:sz w:val="16"/>
                <w:szCs w:val="16"/>
              </w:rPr>
            </w:pPr>
          </w:p>
        </w:tc>
        <w:tc>
          <w:tcPr>
            <w:tcW w:w="722" w:type="pct"/>
            <w:tcBorders>
              <w:top w:val="single" w:sz="8" w:space="0" w:color="000000"/>
              <w:left w:val="single" w:sz="8" w:space="0" w:color="000000"/>
              <w:bottom w:val="single" w:sz="8" w:space="0" w:color="000000"/>
              <w:right w:val="single" w:sz="8" w:space="0" w:color="000000"/>
            </w:tcBorders>
            <w:vAlign w:val="center"/>
          </w:tcPr>
          <w:p w:rsidR="00BD1E7F" w:rsidRPr="00CA0AE3" w:rsidRDefault="00BD1E7F" w:rsidP="00E17D45">
            <w:pPr>
              <w:spacing w:after="0" w:line="240" w:lineRule="auto"/>
              <w:rPr>
                <w:rFonts w:eastAsia="Times New Roman"/>
                <w:b/>
                <w:sz w:val="16"/>
                <w:szCs w:val="16"/>
              </w:rPr>
            </w:pPr>
            <w:r w:rsidRPr="00CA0AE3">
              <w:rPr>
                <w:b/>
                <w:sz w:val="16"/>
                <w:szCs w:val="16"/>
              </w:rPr>
              <w:t>Congestive Heart Failure (CHF)</w:t>
            </w:r>
          </w:p>
        </w:tc>
        <w:tc>
          <w:tcPr>
            <w:tcW w:w="431" w:type="pct"/>
            <w:tcBorders>
              <w:top w:val="single" w:sz="8" w:space="0" w:color="000000"/>
              <w:left w:val="single" w:sz="8" w:space="0" w:color="000000"/>
              <w:bottom w:val="single" w:sz="8" w:space="0" w:color="000000"/>
              <w:right w:val="single" w:sz="8" w:space="0" w:color="000000"/>
            </w:tcBorders>
            <w:vAlign w:val="center"/>
          </w:tcPr>
          <w:p w:rsidR="00BD1E7F" w:rsidRPr="00CA0AE3" w:rsidRDefault="00BD1E7F" w:rsidP="00E17D45">
            <w:pPr>
              <w:spacing w:after="0" w:line="240" w:lineRule="auto"/>
              <w:rPr>
                <w:rFonts w:eastAsia="Times New Roman"/>
                <w:b/>
                <w:sz w:val="16"/>
                <w:szCs w:val="16"/>
              </w:rPr>
            </w:pPr>
          </w:p>
        </w:tc>
        <w:tc>
          <w:tcPr>
            <w:tcW w:w="463" w:type="pct"/>
            <w:tcBorders>
              <w:top w:val="single" w:sz="8" w:space="0" w:color="000000"/>
              <w:left w:val="single" w:sz="8" w:space="0" w:color="000000"/>
              <w:bottom w:val="single" w:sz="8" w:space="0" w:color="000000"/>
              <w:right w:val="single" w:sz="8" w:space="0" w:color="000000"/>
            </w:tcBorders>
            <w:vAlign w:val="center"/>
          </w:tcPr>
          <w:p w:rsidR="00BD1E7F" w:rsidRPr="00CA0AE3" w:rsidRDefault="00BD1E7F" w:rsidP="00E17D45">
            <w:pPr>
              <w:spacing w:after="0" w:line="240" w:lineRule="auto"/>
              <w:rPr>
                <w:rFonts w:eastAsia="Times New Roman"/>
                <w:b/>
                <w:sz w:val="16"/>
                <w:szCs w:val="16"/>
              </w:rPr>
            </w:pPr>
          </w:p>
        </w:tc>
        <w:tc>
          <w:tcPr>
            <w:tcW w:w="560" w:type="pct"/>
            <w:tcBorders>
              <w:top w:val="single" w:sz="8" w:space="0" w:color="000000"/>
              <w:left w:val="single" w:sz="8" w:space="0" w:color="000000"/>
              <w:bottom w:val="single" w:sz="8" w:space="0" w:color="000000"/>
              <w:right w:val="single" w:sz="8" w:space="0" w:color="000000"/>
            </w:tcBorders>
            <w:vAlign w:val="center"/>
          </w:tcPr>
          <w:p w:rsidR="00BD1E7F" w:rsidRPr="00CA0AE3" w:rsidRDefault="00BD1E7F" w:rsidP="00E17D45">
            <w:pPr>
              <w:spacing w:after="0" w:line="240" w:lineRule="auto"/>
              <w:rPr>
                <w:rFonts w:eastAsia="Times New Roman"/>
                <w:b/>
                <w:sz w:val="16"/>
                <w:szCs w:val="16"/>
              </w:rPr>
            </w:pPr>
          </w:p>
        </w:tc>
        <w:tc>
          <w:tcPr>
            <w:tcW w:w="398" w:type="pct"/>
            <w:tcBorders>
              <w:top w:val="single" w:sz="8" w:space="0" w:color="000000"/>
              <w:left w:val="single" w:sz="8" w:space="0" w:color="000000"/>
              <w:bottom w:val="single" w:sz="8" w:space="0" w:color="000000"/>
              <w:right w:val="single" w:sz="8" w:space="0" w:color="000000"/>
            </w:tcBorders>
            <w:vAlign w:val="center"/>
          </w:tcPr>
          <w:p w:rsidR="00BD1E7F" w:rsidRPr="00CA0AE3" w:rsidRDefault="00BD1E7F" w:rsidP="00E17D45">
            <w:pPr>
              <w:spacing w:after="0" w:line="240" w:lineRule="auto"/>
              <w:rPr>
                <w:rFonts w:eastAsia="Times New Roman"/>
                <w:b/>
                <w:sz w:val="16"/>
                <w:szCs w:val="16"/>
              </w:rPr>
            </w:pPr>
          </w:p>
        </w:tc>
        <w:tc>
          <w:tcPr>
            <w:tcW w:w="463" w:type="pct"/>
            <w:tcBorders>
              <w:top w:val="single" w:sz="8" w:space="0" w:color="000000"/>
              <w:left w:val="single" w:sz="8" w:space="0" w:color="000000"/>
              <w:bottom w:val="single" w:sz="8" w:space="0" w:color="000000"/>
              <w:right w:val="single" w:sz="8" w:space="0" w:color="000000"/>
            </w:tcBorders>
            <w:vAlign w:val="center"/>
          </w:tcPr>
          <w:p w:rsidR="00BD1E7F" w:rsidRPr="00CA0AE3" w:rsidRDefault="00BD1E7F" w:rsidP="00E17D45">
            <w:pPr>
              <w:spacing w:after="0" w:line="240" w:lineRule="auto"/>
              <w:rPr>
                <w:rFonts w:eastAsia="Times New Roman"/>
                <w:b/>
                <w:sz w:val="16"/>
                <w:szCs w:val="16"/>
              </w:rPr>
            </w:pPr>
          </w:p>
        </w:tc>
        <w:tc>
          <w:tcPr>
            <w:tcW w:w="426" w:type="pct"/>
            <w:tcBorders>
              <w:top w:val="single" w:sz="8" w:space="0" w:color="000000"/>
              <w:left w:val="single" w:sz="8" w:space="0" w:color="000000"/>
              <w:bottom w:val="single" w:sz="8" w:space="0" w:color="000000"/>
              <w:right w:val="single" w:sz="8" w:space="0" w:color="000000"/>
            </w:tcBorders>
            <w:vAlign w:val="center"/>
          </w:tcPr>
          <w:p w:rsidR="00BD1E7F" w:rsidRPr="00CA0AE3" w:rsidRDefault="00BD1E7F" w:rsidP="00E17D45">
            <w:pPr>
              <w:spacing w:after="0" w:line="240" w:lineRule="auto"/>
              <w:rPr>
                <w:rFonts w:eastAsia="Times New Roman"/>
                <w:b/>
                <w:sz w:val="16"/>
                <w:szCs w:val="16"/>
              </w:rPr>
            </w:pPr>
          </w:p>
        </w:tc>
        <w:tc>
          <w:tcPr>
            <w:tcW w:w="431" w:type="pct"/>
            <w:tcBorders>
              <w:top w:val="single" w:sz="8" w:space="0" w:color="000000"/>
              <w:left w:val="single" w:sz="8" w:space="0" w:color="000000"/>
              <w:bottom w:val="single" w:sz="8" w:space="0" w:color="000000"/>
              <w:right w:val="single" w:sz="8" w:space="0" w:color="000000"/>
            </w:tcBorders>
            <w:vAlign w:val="center"/>
          </w:tcPr>
          <w:p w:rsidR="00BD1E7F" w:rsidRPr="00CA0AE3" w:rsidRDefault="00BD1E7F" w:rsidP="00E17D45">
            <w:pPr>
              <w:spacing w:after="0" w:line="240" w:lineRule="auto"/>
              <w:rPr>
                <w:rFonts w:eastAsia="Times New Roman"/>
                <w:b/>
                <w:sz w:val="16"/>
                <w:szCs w:val="16"/>
              </w:rPr>
            </w:pPr>
          </w:p>
        </w:tc>
        <w:tc>
          <w:tcPr>
            <w:tcW w:w="431" w:type="pct"/>
            <w:tcBorders>
              <w:top w:val="single" w:sz="8" w:space="0" w:color="000000"/>
              <w:left w:val="single" w:sz="8" w:space="0" w:color="000000"/>
              <w:bottom w:val="single" w:sz="8" w:space="0" w:color="000000"/>
              <w:right w:val="single" w:sz="8" w:space="0" w:color="000000"/>
            </w:tcBorders>
            <w:vAlign w:val="center"/>
          </w:tcPr>
          <w:p w:rsidR="00BD1E7F" w:rsidRPr="00CA0AE3" w:rsidRDefault="00BD1E7F" w:rsidP="00E17D45">
            <w:pPr>
              <w:spacing w:after="0" w:line="240" w:lineRule="auto"/>
              <w:rPr>
                <w:rFonts w:eastAsia="Times New Roman"/>
                <w:b/>
                <w:sz w:val="16"/>
                <w:szCs w:val="16"/>
              </w:rPr>
            </w:pPr>
          </w:p>
        </w:tc>
        <w:tc>
          <w:tcPr>
            <w:tcW w:w="567" w:type="pct"/>
            <w:tcBorders>
              <w:top w:val="single" w:sz="8" w:space="0" w:color="000000"/>
              <w:left w:val="single" w:sz="8" w:space="0" w:color="000000"/>
              <w:bottom w:val="single" w:sz="8" w:space="0" w:color="000000"/>
              <w:right w:val="single" w:sz="8" w:space="0" w:color="000000"/>
            </w:tcBorders>
            <w:vAlign w:val="center"/>
          </w:tcPr>
          <w:p w:rsidR="00BD1E7F" w:rsidRPr="00CA0AE3" w:rsidRDefault="00BD1E7F" w:rsidP="00B3615C">
            <w:pPr>
              <w:spacing w:after="0" w:line="240" w:lineRule="auto"/>
              <w:rPr>
                <w:rFonts w:eastAsia="Times New Roman"/>
                <w:b/>
                <w:sz w:val="16"/>
                <w:szCs w:val="16"/>
              </w:rPr>
            </w:pPr>
          </w:p>
        </w:tc>
      </w:tr>
      <w:tr w:rsidR="00CA6A65" w:rsidRPr="00CA0AE3" w:rsidTr="00945D5E">
        <w:trPr>
          <w:cantSplit/>
        </w:trPr>
        <w:tc>
          <w:tcPr>
            <w:tcW w:w="108" w:type="pct"/>
            <w:tcBorders>
              <w:top w:val="single" w:sz="8" w:space="0" w:color="000000"/>
              <w:left w:val="single" w:sz="8" w:space="0" w:color="000000"/>
              <w:bottom w:val="single" w:sz="8" w:space="0" w:color="000000"/>
              <w:right w:val="single" w:sz="8" w:space="0" w:color="000000"/>
            </w:tcBorders>
            <w:vAlign w:val="center"/>
          </w:tcPr>
          <w:p w:rsidR="00F229A7" w:rsidRPr="00CA0AE3" w:rsidRDefault="004207D7" w:rsidP="00E17D45">
            <w:pPr>
              <w:spacing w:after="0" w:line="240" w:lineRule="auto"/>
              <w:jc w:val="center"/>
              <w:rPr>
                <w:sz w:val="16"/>
                <w:szCs w:val="16"/>
              </w:rPr>
            </w:pPr>
            <w:r w:rsidRPr="00CA0AE3">
              <w:rPr>
                <w:sz w:val="16"/>
                <w:szCs w:val="16"/>
              </w:rPr>
              <w:t>4</w:t>
            </w:r>
          </w:p>
        </w:tc>
        <w:tc>
          <w:tcPr>
            <w:tcW w:w="722"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tcPr>
          <w:p w:rsidR="00F229A7" w:rsidRPr="00CA0AE3" w:rsidRDefault="00F229A7" w:rsidP="00E17D45">
            <w:pPr>
              <w:spacing w:after="0" w:line="240" w:lineRule="auto"/>
              <w:rPr>
                <w:sz w:val="16"/>
                <w:szCs w:val="16"/>
              </w:rPr>
            </w:pPr>
            <w:r w:rsidRPr="00CA0AE3">
              <w:rPr>
                <w:sz w:val="16"/>
                <w:szCs w:val="16"/>
              </w:rPr>
              <w:t>Improve the percentage of patients with CHF who received patient education for CHF by a member of their inpatient care team prior to discharge (across public hospital’s inpatient hospital campuses)</w:t>
            </w:r>
          </w:p>
        </w:tc>
        <w:tc>
          <w:tcPr>
            <w:tcW w:w="431"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F229A7" w:rsidRPr="00CA0AE3" w:rsidRDefault="00F229A7" w:rsidP="00E17D45">
            <w:pPr>
              <w:spacing w:after="0" w:line="240" w:lineRule="auto"/>
              <w:jc w:val="center"/>
              <w:rPr>
                <w:sz w:val="16"/>
                <w:szCs w:val="16"/>
              </w:rPr>
            </w:pPr>
            <w:r w:rsidRPr="00CA0AE3">
              <w:rPr>
                <w:sz w:val="16"/>
                <w:szCs w:val="16"/>
              </w:rPr>
              <w:t>Customized Measure</w:t>
            </w:r>
          </w:p>
        </w:tc>
        <w:tc>
          <w:tcPr>
            <w:tcW w:w="463"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F229A7" w:rsidRPr="00CA0AE3" w:rsidRDefault="00F229A7" w:rsidP="00E17D45">
            <w:pPr>
              <w:spacing w:after="0" w:line="240" w:lineRule="auto"/>
              <w:jc w:val="center"/>
              <w:rPr>
                <w:sz w:val="16"/>
                <w:szCs w:val="16"/>
              </w:rPr>
            </w:pPr>
            <w:r w:rsidRPr="00CA0AE3">
              <w:rPr>
                <w:sz w:val="16"/>
                <w:szCs w:val="16"/>
              </w:rPr>
              <w:t>No external benchmark;</w:t>
            </w:r>
          </w:p>
          <w:p w:rsidR="00F229A7" w:rsidRPr="00CA0AE3" w:rsidRDefault="00F229A7" w:rsidP="00E17D45">
            <w:pPr>
              <w:spacing w:after="0" w:line="240" w:lineRule="auto"/>
              <w:jc w:val="center"/>
              <w:rPr>
                <w:sz w:val="16"/>
                <w:szCs w:val="16"/>
              </w:rPr>
            </w:pPr>
            <w:r w:rsidRPr="00CA0AE3">
              <w:rPr>
                <w:sz w:val="16"/>
                <w:szCs w:val="16"/>
              </w:rPr>
              <w:t>hospital specific improvement</w:t>
            </w:r>
          </w:p>
          <w:p w:rsidR="00F229A7" w:rsidRPr="00CA0AE3" w:rsidRDefault="00F229A7" w:rsidP="00E17D45">
            <w:pPr>
              <w:spacing w:after="0" w:line="240" w:lineRule="auto"/>
              <w:jc w:val="center"/>
              <w:rPr>
                <w:sz w:val="16"/>
                <w:szCs w:val="16"/>
              </w:rPr>
            </w:pPr>
            <w:r w:rsidRPr="00CA0AE3">
              <w:rPr>
                <w:sz w:val="16"/>
                <w:szCs w:val="16"/>
              </w:rPr>
              <w:t>target = 85%</w:t>
            </w:r>
          </w:p>
        </w:tc>
        <w:tc>
          <w:tcPr>
            <w:tcW w:w="560"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F229A7" w:rsidRPr="00CA0AE3" w:rsidRDefault="00F229A7" w:rsidP="00E17D45">
            <w:pPr>
              <w:pStyle w:val="Default"/>
              <w:jc w:val="center"/>
              <w:rPr>
                <w:color w:val="auto"/>
                <w:sz w:val="16"/>
                <w:szCs w:val="16"/>
              </w:rPr>
            </w:pPr>
            <w:r w:rsidRPr="00CA0AE3">
              <w:rPr>
                <w:color w:val="auto"/>
                <w:sz w:val="16"/>
                <w:szCs w:val="16"/>
              </w:rPr>
              <w:t>Gap to Goal (10%) or attainment at target</w:t>
            </w:r>
          </w:p>
          <w:p w:rsidR="00F229A7" w:rsidRPr="00CA0AE3" w:rsidRDefault="00F229A7" w:rsidP="00E17D45">
            <w:pPr>
              <w:spacing w:after="0" w:line="240" w:lineRule="auto"/>
              <w:jc w:val="center"/>
              <w:rPr>
                <w:sz w:val="16"/>
                <w:szCs w:val="16"/>
              </w:rPr>
            </w:pPr>
          </w:p>
          <w:p w:rsidR="00F229A7" w:rsidRPr="00CA0AE3" w:rsidRDefault="00F229A7" w:rsidP="00E17D45">
            <w:pPr>
              <w:spacing w:after="0" w:line="240" w:lineRule="auto"/>
              <w:jc w:val="center"/>
              <w:rPr>
                <w:sz w:val="16"/>
                <w:szCs w:val="16"/>
              </w:rPr>
            </w:pPr>
          </w:p>
        </w:tc>
        <w:tc>
          <w:tcPr>
            <w:tcW w:w="398"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F229A7" w:rsidRPr="00CA0AE3" w:rsidRDefault="00F229A7" w:rsidP="00E17D45">
            <w:pPr>
              <w:spacing w:after="0" w:line="240" w:lineRule="auto"/>
              <w:jc w:val="center"/>
              <w:rPr>
                <w:b/>
                <w:sz w:val="16"/>
                <w:szCs w:val="16"/>
              </w:rPr>
            </w:pPr>
            <w:r w:rsidRPr="00CA0AE3">
              <w:rPr>
                <w:b/>
                <w:sz w:val="16"/>
                <w:szCs w:val="16"/>
              </w:rPr>
              <w:t>O</w:t>
            </w:r>
          </w:p>
        </w:tc>
        <w:tc>
          <w:tcPr>
            <w:tcW w:w="463"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F229A7" w:rsidRPr="00CA0AE3" w:rsidRDefault="00F229A7" w:rsidP="00E17D45">
            <w:pPr>
              <w:spacing w:after="0" w:line="240" w:lineRule="auto"/>
              <w:jc w:val="center"/>
              <w:rPr>
                <w:b/>
                <w:sz w:val="16"/>
                <w:szCs w:val="16"/>
              </w:rPr>
            </w:pPr>
            <w:r w:rsidRPr="00CA0AE3">
              <w:rPr>
                <w:b/>
                <w:sz w:val="16"/>
                <w:szCs w:val="16"/>
              </w:rPr>
              <w:t>O</w:t>
            </w:r>
          </w:p>
        </w:tc>
        <w:tc>
          <w:tcPr>
            <w:tcW w:w="426"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F229A7" w:rsidRPr="00CA0AE3" w:rsidRDefault="00F229A7" w:rsidP="00E17D45">
            <w:pPr>
              <w:spacing w:after="0" w:line="240" w:lineRule="auto"/>
              <w:jc w:val="center"/>
              <w:rPr>
                <w:b/>
                <w:sz w:val="16"/>
                <w:szCs w:val="16"/>
              </w:rPr>
            </w:pPr>
            <w:r w:rsidRPr="00CA0AE3">
              <w:rPr>
                <w:b/>
                <w:sz w:val="16"/>
                <w:szCs w:val="16"/>
              </w:rPr>
              <w:t>O</w:t>
            </w:r>
          </w:p>
        </w:tc>
        <w:tc>
          <w:tcPr>
            <w:tcW w:w="431"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F229A7" w:rsidRPr="00CA0AE3" w:rsidRDefault="00F229A7" w:rsidP="00E17D45">
            <w:pPr>
              <w:spacing w:after="0" w:line="240" w:lineRule="auto"/>
              <w:jc w:val="center"/>
              <w:rPr>
                <w:b/>
                <w:sz w:val="16"/>
                <w:szCs w:val="16"/>
              </w:rPr>
            </w:pPr>
            <w:r w:rsidRPr="00CA0AE3">
              <w:rPr>
                <w:b/>
                <w:sz w:val="16"/>
                <w:szCs w:val="16"/>
              </w:rPr>
              <w:t>O</w:t>
            </w:r>
          </w:p>
        </w:tc>
        <w:tc>
          <w:tcPr>
            <w:tcW w:w="431"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F229A7" w:rsidRPr="00CA0AE3" w:rsidRDefault="00F229A7" w:rsidP="00E17D45">
            <w:pPr>
              <w:spacing w:after="0" w:line="240" w:lineRule="auto"/>
              <w:jc w:val="center"/>
              <w:rPr>
                <w:b/>
                <w:sz w:val="16"/>
                <w:szCs w:val="16"/>
              </w:rPr>
            </w:pPr>
            <w:r w:rsidRPr="00CA0AE3">
              <w:rPr>
                <w:b/>
                <w:sz w:val="16"/>
                <w:szCs w:val="16"/>
              </w:rPr>
              <w:t>O</w:t>
            </w:r>
          </w:p>
        </w:tc>
        <w:tc>
          <w:tcPr>
            <w:tcW w:w="567" w:type="pct"/>
            <w:tcBorders>
              <w:top w:val="single" w:sz="8" w:space="0" w:color="000000"/>
              <w:left w:val="single" w:sz="8" w:space="0" w:color="000000"/>
              <w:bottom w:val="single" w:sz="8" w:space="0" w:color="000000"/>
              <w:right w:val="single" w:sz="8" w:space="0" w:color="000000"/>
            </w:tcBorders>
            <w:vAlign w:val="center"/>
          </w:tcPr>
          <w:p w:rsidR="00F229A7" w:rsidRPr="00CA0AE3" w:rsidRDefault="00F229A7" w:rsidP="00B3615C">
            <w:pPr>
              <w:spacing w:after="0" w:line="240" w:lineRule="auto"/>
              <w:rPr>
                <w:rFonts w:eastAsia="Times New Roman"/>
                <w:sz w:val="16"/>
                <w:szCs w:val="16"/>
              </w:rPr>
            </w:pPr>
            <w:r w:rsidRPr="00CA0AE3">
              <w:rPr>
                <w:rFonts w:eastAsia="Times New Roman"/>
                <w:sz w:val="16"/>
                <w:szCs w:val="16"/>
              </w:rPr>
              <w:t xml:space="preserve">Target of 85% reflects best practice </w:t>
            </w:r>
            <w:r w:rsidRPr="00CA0AE3">
              <w:rPr>
                <w:sz w:val="16"/>
                <w:szCs w:val="16"/>
              </w:rPr>
              <w:t>adoption of the required workflows.</w:t>
            </w:r>
          </w:p>
        </w:tc>
      </w:tr>
      <w:tr w:rsidR="00CA6A65" w:rsidRPr="00CA0AE3" w:rsidTr="00945D5E">
        <w:trPr>
          <w:cantSplit/>
        </w:trPr>
        <w:tc>
          <w:tcPr>
            <w:tcW w:w="108" w:type="pct"/>
            <w:tcBorders>
              <w:top w:val="single" w:sz="8" w:space="0" w:color="000000"/>
              <w:left w:val="single" w:sz="8" w:space="0" w:color="000000"/>
              <w:bottom w:val="single" w:sz="8" w:space="0" w:color="000000"/>
              <w:right w:val="single" w:sz="8" w:space="0" w:color="000000"/>
            </w:tcBorders>
            <w:vAlign w:val="center"/>
          </w:tcPr>
          <w:p w:rsidR="00BD1E7F" w:rsidRPr="00CA0AE3" w:rsidRDefault="00BD1E7F" w:rsidP="00E17D45">
            <w:pPr>
              <w:spacing w:after="0" w:line="240" w:lineRule="auto"/>
              <w:rPr>
                <w:rFonts w:eastAsia="Times New Roman"/>
                <w:sz w:val="16"/>
                <w:szCs w:val="16"/>
              </w:rPr>
            </w:pPr>
          </w:p>
        </w:tc>
        <w:tc>
          <w:tcPr>
            <w:tcW w:w="722" w:type="pct"/>
            <w:tcBorders>
              <w:top w:val="single" w:sz="8" w:space="0" w:color="000000"/>
              <w:left w:val="single" w:sz="8" w:space="0" w:color="000000"/>
              <w:bottom w:val="single" w:sz="8" w:space="0" w:color="000000"/>
              <w:right w:val="single" w:sz="8" w:space="0" w:color="000000"/>
            </w:tcBorders>
            <w:vAlign w:val="center"/>
          </w:tcPr>
          <w:p w:rsidR="00BD1E7F" w:rsidRPr="00CA0AE3" w:rsidRDefault="00BD1E7F" w:rsidP="00E17D45">
            <w:pPr>
              <w:spacing w:after="0" w:line="240" w:lineRule="auto"/>
              <w:rPr>
                <w:rFonts w:eastAsia="Times New Roman"/>
                <w:b/>
                <w:sz w:val="16"/>
                <w:szCs w:val="16"/>
              </w:rPr>
            </w:pPr>
            <w:r w:rsidRPr="00CA0AE3">
              <w:rPr>
                <w:rFonts w:eastAsia="Cambria"/>
                <w:b/>
                <w:sz w:val="16"/>
                <w:szCs w:val="16"/>
              </w:rPr>
              <w:t>Diabetes</w:t>
            </w:r>
          </w:p>
        </w:tc>
        <w:tc>
          <w:tcPr>
            <w:tcW w:w="431" w:type="pct"/>
            <w:tcBorders>
              <w:top w:val="single" w:sz="8" w:space="0" w:color="000000"/>
              <w:left w:val="single" w:sz="8" w:space="0" w:color="000000"/>
              <w:bottom w:val="single" w:sz="8" w:space="0" w:color="000000"/>
              <w:right w:val="single" w:sz="8" w:space="0" w:color="000000"/>
            </w:tcBorders>
            <w:vAlign w:val="center"/>
          </w:tcPr>
          <w:p w:rsidR="00BD1E7F" w:rsidRPr="00CA0AE3" w:rsidRDefault="00BD1E7F" w:rsidP="00E17D45">
            <w:pPr>
              <w:spacing w:after="0" w:line="240" w:lineRule="auto"/>
              <w:rPr>
                <w:rFonts w:eastAsia="Times New Roman"/>
                <w:b/>
                <w:sz w:val="16"/>
                <w:szCs w:val="16"/>
              </w:rPr>
            </w:pPr>
          </w:p>
        </w:tc>
        <w:tc>
          <w:tcPr>
            <w:tcW w:w="463" w:type="pct"/>
            <w:tcBorders>
              <w:top w:val="single" w:sz="8" w:space="0" w:color="000000"/>
              <w:left w:val="single" w:sz="8" w:space="0" w:color="000000"/>
              <w:bottom w:val="single" w:sz="8" w:space="0" w:color="000000"/>
              <w:right w:val="single" w:sz="8" w:space="0" w:color="000000"/>
            </w:tcBorders>
            <w:vAlign w:val="center"/>
          </w:tcPr>
          <w:p w:rsidR="00BD1E7F" w:rsidRPr="00CA0AE3" w:rsidRDefault="00BD1E7F" w:rsidP="00E17D45">
            <w:pPr>
              <w:spacing w:after="0" w:line="240" w:lineRule="auto"/>
              <w:rPr>
                <w:rFonts w:eastAsia="Times New Roman"/>
                <w:b/>
                <w:sz w:val="16"/>
                <w:szCs w:val="16"/>
              </w:rPr>
            </w:pPr>
          </w:p>
        </w:tc>
        <w:tc>
          <w:tcPr>
            <w:tcW w:w="560" w:type="pct"/>
            <w:tcBorders>
              <w:top w:val="single" w:sz="8" w:space="0" w:color="000000"/>
              <w:left w:val="single" w:sz="8" w:space="0" w:color="000000"/>
              <w:bottom w:val="single" w:sz="8" w:space="0" w:color="000000"/>
              <w:right w:val="single" w:sz="8" w:space="0" w:color="000000"/>
            </w:tcBorders>
            <w:vAlign w:val="center"/>
          </w:tcPr>
          <w:p w:rsidR="00BD1E7F" w:rsidRPr="00CA0AE3" w:rsidRDefault="00BD1E7F" w:rsidP="00E17D45">
            <w:pPr>
              <w:spacing w:after="0" w:line="240" w:lineRule="auto"/>
              <w:rPr>
                <w:rFonts w:eastAsia="Times New Roman"/>
                <w:b/>
                <w:sz w:val="16"/>
                <w:szCs w:val="16"/>
              </w:rPr>
            </w:pPr>
          </w:p>
        </w:tc>
        <w:tc>
          <w:tcPr>
            <w:tcW w:w="398" w:type="pct"/>
            <w:tcBorders>
              <w:top w:val="single" w:sz="8" w:space="0" w:color="000000"/>
              <w:left w:val="single" w:sz="8" w:space="0" w:color="000000"/>
              <w:bottom w:val="single" w:sz="8" w:space="0" w:color="000000"/>
              <w:right w:val="single" w:sz="8" w:space="0" w:color="000000"/>
            </w:tcBorders>
            <w:vAlign w:val="center"/>
          </w:tcPr>
          <w:p w:rsidR="00BD1E7F" w:rsidRPr="00CA0AE3" w:rsidRDefault="00BD1E7F" w:rsidP="00E17D45">
            <w:pPr>
              <w:spacing w:after="0" w:line="240" w:lineRule="auto"/>
              <w:rPr>
                <w:rFonts w:eastAsia="Times New Roman"/>
                <w:b/>
                <w:sz w:val="16"/>
                <w:szCs w:val="16"/>
              </w:rPr>
            </w:pPr>
          </w:p>
        </w:tc>
        <w:tc>
          <w:tcPr>
            <w:tcW w:w="463" w:type="pct"/>
            <w:tcBorders>
              <w:top w:val="single" w:sz="8" w:space="0" w:color="000000"/>
              <w:left w:val="single" w:sz="8" w:space="0" w:color="000000"/>
              <w:bottom w:val="single" w:sz="8" w:space="0" w:color="000000"/>
              <w:right w:val="single" w:sz="8" w:space="0" w:color="000000"/>
            </w:tcBorders>
            <w:vAlign w:val="center"/>
          </w:tcPr>
          <w:p w:rsidR="00BD1E7F" w:rsidRPr="00CA0AE3" w:rsidRDefault="00BD1E7F" w:rsidP="00E17D45">
            <w:pPr>
              <w:spacing w:after="0" w:line="240" w:lineRule="auto"/>
              <w:rPr>
                <w:rFonts w:eastAsia="Times New Roman"/>
                <w:b/>
                <w:sz w:val="16"/>
                <w:szCs w:val="16"/>
              </w:rPr>
            </w:pPr>
          </w:p>
        </w:tc>
        <w:tc>
          <w:tcPr>
            <w:tcW w:w="426" w:type="pct"/>
            <w:tcBorders>
              <w:top w:val="single" w:sz="8" w:space="0" w:color="000000"/>
              <w:left w:val="single" w:sz="8" w:space="0" w:color="000000"/>
              <w:bottom w:val="single" w:sz="8" w:space="0" w:color="000000"/>
              <w:right w:val="single" w:sz="8" w:space="0" w:color="000000"/>
            </w:tcBorders>
            <w:vAlign w:val="center"/>
          </w:tcPr>
          <w:p w:rsidR="00BD1E7F" w:rsidRPr="00CA0AE3" w:rsidRDefault="00BD1E7F" w:rsidP="00E17D45">
            <w:pPr>
              <w:spacing w:after="0" w:line="240" w:lineRule="auto"/>
              <w:rPr>
                <w:rFonts w:eastAsia="Times New Roman"/>
                <w:b/>
                <w:sz w:val="16"/>
                <w:szCs w:val="16"/>
              </w:rPr>
            </w:pPr>
          </w:p>
        </w:tc>
        <w:tc>
          <w:tcPr>
            <w:tcW w:w="431" w:type="pct"/>
            <w:tcBorders>
              <w:top w:val="single" w:sz="8" w:space="0" w:color="000000"/>
              <w:left w:val="single" w:sz="8" w:space="0" w:color="000000"/>
              <w:bottom w:val="single" w:sz="8" w:space="0" w:color="000000"/>
              <w:right w:val="single" w:sz="8" w:space="0" w:color="000000"/>
            </w:tcBorders>
            <w:vAlign w:val="center"/>
          </w:tcPr>
          <w:p w:rsidR="00BD1E7F" w:rsidRPr="00CA0AE3" w:rsidRDefault="00BD1E7F" w:rsidP="00E17D45">
            <w:pPr>
              <w:spacing w:after="0" w:line="240" w:lineRule="auto"/>
              <w:rPr>
                <w:rFonts w:eastAsia="Times New Roman"/>
                <w:b/>
                <w:sz w:val="16"/>
                <w:szCs w:val="16"/>
              </w:rPr>
            </w:pPr>
          </w:p>
        </w:tc>
        <w:tc>
          <w:tcPr>
            <w:tcW w:w="431" w:type="pct"/>
            <w:tcBorders>
              <w:top w:val="single" w:sz="8" w:space="0" w:color="000000"/>
              <w:left w:val="single" w:sz="8" w:space="0" w:color="000000"/>
              <w:bottom w:val="single" w:sz="8" w:space="0" w:color="000000"/>
              <w:right w:val="single" w:sz="8" w:space="0" w:color="000000"/>
            </w:tcBorders>
            <w:vAlign w:val="center"/>
          </w:tcPr>
          <w:p w:rsidR="00BD1E7F" w:rsidRPr="00CA0AE3" w:rsidRDefault="00BD1E7F" w:rsidP="00E17D45">
            <w:pPr>
              <w:spacing w:after="0" w:line="240" w:lineRule="auto"/>
              <w:rPr>
                <w:rFonts w:eastAsia="Times New Roman"/>
                <w:b/>
                <w:sz w:val="16"/>
                <w:szCs w:val="16"/>
              </w:rPr>
            </w:pPr>
          </w:p>
        </w:tc>
        <w:tc>
          <w:tcPr>
            <w:tcW w:w="567" w:type="pct"/>
            <w:tcBorders>
              <w:top w:val="single" w:sz="8" w:space="0" w:color="000000"/>
              <w:left w:val="single" w:sz="8" w:space="0" w:color="000000"/>
              <w:bottom w:val="single" w:sz="8" w:space="0" w:color="000000"/>
              <w:right w:val="single" w:sz="8" w:space="0" w:color="000000"/>
            </w:tcBorders>
            <w:vAlign w:val="center"/>
          </w:tcPr>
          <w:p w:rsidR="00BD1E7F" w:rsidRPr="00CA0AE3" w:rsidRDefault="00BD1E7F" w:rsidP="00B3615C">
            <w:pPr>
              <w:spacing w:after="0" w:line="240" w:lineRule="auto"/>
              <w:rPr>
                <w:rFonts w:eastAsia="Times New Roman"/>
                <w:b/>
                <w:sz w:val="16"/>
                <w:szCs w:val="16"/>
              </w:rPr>
            </w:pPr>
          </w:p>
        </w:tc>
      </w:tr>
      <w:tr w:rsidR="00CA6A65" w:rsidRPr="00CA0AE3" w:rsidTr="00945D5E">
        <w:trPr>
          <w:cantSplit/>
        </w:trPr>
        <w:tc>
          <w:tcPr>
            <w:tcW w:w="108" w:type="pct"/>
            <w:tcBorders>
              <w:top w:val="single" w:sz="8" w:space="0" w:color="000000"/>
              <w:left w:val="single" w:sz="8" w:space="0" w:color="000000"/>
              <w:bottom w:val="single" w:sz="8" w:space="0" w:color="000000"/>
              <w:right w:val="single" w:sz="8" w:space="0" w:color="000000"/>
            </w:tcBorders>
            <w:vAlign w:val="center"/>
          </w:tcPr>
          <w:p w:rsidR="00F229A7" w:rsidRPr="00CA0AE3" w:rsidRDefault="004207D7" w:rsidP="00E17D45">
            <w:pPr>
              <w:pStyle w:val="Default"/>
              <w:jc w:val="center"/>
              <w:rPr>
                <w:color w:val="auto"/>
                <w:sz w:val="16"/>
                <w:szCs w:val="16"/>
              </w:rPr>
            </w:pPr>
            <w:r w:rsidRPr="00CA0AE3">
              <w:rPr>
                <w:color w:val="auto"/>
                <w:sz w:val="16"/>
                <w:szCs w:val="16"/>
              </w:rPr>
              <w:lastRenderedPageBreak/>
              <w:t>5</w:t>
            </w:r>
          </w:p>
        </w:tc>
        <w:tc>
          <w:tcPr>
            <w:tcW w:w="722"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tcPr>
          <w:p w:rsidR="00F229A7" w:rsidRPr="00CA0AE3" w:rsidRDefault="00F229A7" w:rsidP="00E17D45">
            <w:pPr>
              <w:pStyle w:val="Default"/>
              <w:rPr>
                <w:color w:val="auto"/>
                <w:sz w:val="16"/>
                <w:szCs w:val="16"/>
              </w:rPr>
            </w:pPr>
            <w:r w:rsidRPr="00CA0AE3">
              <w:rPr>
                <w:rFonts w:eastAsia="Cambria"/>
                <w:color w:val="auto"/>
                <w:sz w:val="16"/>
                <w:szCs w:val="16"/>
              </w:rPr>
              <w:t>Diabetes: HbA1c Control- % of active primary care patients ages 18 to 75 with diabetes whose most recent HbA1c control  is &lt;8.0%</w:t>
            </w:r>
          </w:p>
        </w:tc>
        <w:tc>
          <w:tcPr>
            <w:tcW w:w="431"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F229A7" w:rsidRPr="00CA0AE3" w:rsidRDefault="00F229A7" w:rsidP="00E17D45">
            <w:pPr>
              <w:spacing w:after="0" w:line="240" w:lineRule="auto"/>
              <w:jc w:val="center"/>
              <w:rPr>
                <w:sz w:val="16"/>
                <w:szCs w:val="16"/>
              </w:rPr>
            </w:pPr>
            <w:r w:rsidRPr="00CA0AE3">
              <w:rPr>
                <w:sz w:val="16"/>
                <w:szCs w:val="16"/>
              </w:rPr>
              <w:t>NQF</w:t>
            </w:r>
            <w:r w:rsidRPr="00CA0AE3">
              <w:rPr>
                <w:rFonts w:eastAsia="Cambria"/>
                <w:bCs/>
                <w:sz w:val="16"/>
                <w:szCs w:val="16"/>
              </w:rPr>
              <w:t xml:space="preserve"> 0575</w:t>
            </w:r>
          </w:p>
        </w:tc>
        <w:tc>
          <w:tcPr>
            <w:tcW w:w="463"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F229A7" w:rsidRPr="00CA0AE3" w:rsidRDefault="00F229A7" w:rsidP="00E17D45">
            <w:pPr>
              <w:spacing w:after="0" w:line="240" w:lineRule="auto"/>
              <w:jc w:val="center"/>
              <w:rPr>
                <w:bCs/>
                <w:sz w:val="16"/>
                <w:szCs w:val="16"/>
              </w:rPr>
            </w:pPr>
            <w:r w:rsidRPr="00CA0AE3">
              <w:rPr>
                <w:bCs/>
                <w:sz w:val="16"/>
                <w:szCs w:val="16"/>
              </w:rPr>
              <w:t>2015 90</w:t>
            </w:r>
            <w:r w:rsidRPr="00CA0AE3">
              <w:rPr>
                <w:bCs/>
                <w:sz w:val="16"/>
                <w:szCs w:val="16"/>
                <w:vertAlign w:val="superscript"/>
              </w:rPr>
              <w:t>th</w:t>
            </w:r>
            <w:r w:rsidRPr="00CA0AE3">
              <w:rPr>
                <w:bCs/>
                <w:sz w:val="16"/>
                <w:szCs w:val="16"/>
              </w:rPr>
              <w:t xml:space="preserve"> percentile National Medicaid: 59.0%</w:t>
            </w:r>
          </w:p>
          <w:p w:rsidR="00F229A7" w:rsidRPr="00CA0AE3" w:rsidRDefault="00F229A7" w:rsidP="00E17D45">
            <w:pPr>
              <w:spacing w:after="0" w:line="240" w:lineRule="auto"/>
              <w:jc w:val="center"/>
              <w:rPr>
                <w:bCs/>
                <w:sz w:val="16"/>
                <w:szCs w:val="16"/>
              </w:rPr>
            </w:pPr>
          </w:p>
        </w:tc>
        <w:tc>
          <w:tcPr>
            <w:tcW w:w="560"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F229A7" w:rsidRPr="00CA0AE3" w:rsidRDefault="00F229A7" w:rsidP="00E17D45">
            <w:pPr>
              <w:pStyle w:val="Default"/>
              <w:jc w:val="center"/>
              <w:rPr>
                <w:color w:val="auto"/>
                <w:sz w:val="16"/>
                <w:szCs w:val="16"/>
              </w:rPr>
            </w:pPr>
            <w:r w:rsidRPr="00CA0AE3">
              <w:rPr>
                <w:color w:val="auto"/>
                <w:sz w:val="16"/>
                <w:szCs w:val="16"/>
              </w:rPr>
              <w:t>Gap to Goal (10%) or attainment at target</w:t>
            </w:r>
          </w:p>
        </w:tc>
        <w:tc>
          <w:tcPr>
            <w:tcW w:w="398"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F229A7" w:rsidRPr="00CA0AE3" w:rsidRDefault="00F229A7" w:rsidP="00E17D45">
            <w:pPr>
              <w:spacing w:after="0" w:line="240" w:lineRule="auto"/>
              <w:jc w:val="center"/>
              <w:rPr>
                <w:b/>
                <w:sz w:val="16"/>
                <w:szCs w:val="16"/>
              </w:rPr>
            </w:pPr>
            <w:r w:rsidRPr="00CA0AE3">
              <w:rPr>
                <w:b/>
                <w:sz w:val="16"/>
                <w:szCs w:val="16"/>
              </w:rPr>
              <w:t>B</w:t>
            </w:r>
          </w:p>
        </w:tc>
        <w:tc>
          <w:tcPr>
            <w:tcW w:w="463"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F229A7" w:rsidRPr="00CA0AE3" w:rsidRDefault="00F229A7" w:rsidP="00E17D45">
            <w:pPr>
              <w:spacing w:after="0" w:line="240" w:lineRule="auto"/>
              <w:jc w:val="center"/>
              <w:rPr>
                <w:b/>
                <w:sz w:val="16"/>
                <w:szCs w:val="16"/>
              </w:rPr>
            </w:pPr>
            <w:r w:rsidRPr="00CA0AE3">
              <w:rPr>
                <w:b/>
                <w:sz w:val="16"/>
                <w:szCs w:val="16"/>
              </w:rPr>
              <w:t>O</w:t>
            </w:r>
          </w:p>
        </w:tc>
        <w:tc>
          <w:tcPr>
            <w:tcW w:w="426"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F229A7" w:rsidRPr="00CA0AE3" w:rsidRDefault="00F229A7" w:rsidP="00E17D45">
            <w:pPr>
              <w:spacing w:after="0" w:line="240" w:lineRule="auto"/>
              <w:jc w:val="center"/>
              <w:rPr>
                <w:b/>
                <w:sz w:val="16"/>
                <w:szCs w:val="16"/>
              </w:rPr>
            </w:pPr>
            <w:r w:rsidRPr="00CA0AE3">
              <w:rPr>
                <w:b/>
                <w:sz w:val="16"/>
                <w:szCs w:val="16"/>
              </w:rPr>
              <w:t>O</w:t>
            </w:r>
          </w:p>
        </w:tc>
        <w:tc>
          <w:tcPr>
            <w:tcW w:w="431"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F229A7" w:rsidRPr="00CA0AE3" w:rsidRDefault="00F229A7" w:rsidP="00E17D45">
            <w:pPr>
              <w:spacing w:after="0" w:line="240" w:lineRule="auto"/>
              <w:jc w:val="center"/>
              <w:rPr>
                <w:b/>
                <w:sz w:val="16"/>
                <w:szCs w:val="16"/>
              </w:rPr>
            </w:pPr>
            <w:r w:rsidRPr="00CA0AE3">
              <w:rPr>
                <w:b/>
                <w:sz w:val="16"/>
                <w:szCs w:val="16"/>
              </w:rPr>
              <w:t>O</w:t>
            </w:r>
          </w:p>
        </w:tc>
        <w:tc>
          <w:tcPr>
            <w:tcW w:w="431"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F229A7" w:rsidRPr="00CA0AE3" w:rsidRDefault="00F229A7" w:rsidP="00E17D45">
            <w:pPr>
              <w:spacing w:after="0" w:line="240" w:lineRule="auto"/>
              <w:jc w:val="center"/>
              <w:rPr>
                <w:b/>
                <w:sz w:val="16"/>
                <w:szCs w:val="16"/>
              </w:rPr>
            </w:pPr>
            <w:r w:rsidRPr="00CA0AE3">
              <w:rPr>
                <w:b/>
                <w:sz w:val="16"/>
                <w:szCs w:val="16"/>
              </w:rPr>
              <w:t>O</w:t>
            </w:r>
          </w:p>
        </w:tc>
        <w:tc>
          <w:tcPr>
            <w:tcW w:w="567" w:type="pct"/>
            <w:tcBorders>
              <w:top w:val="single" w:sz="8" w:space="0" w:color="000000"/>
              <w:left w:val="single" w:sz="8" w:space="0" w:color="000000"/>
              <w:bottom w:val="single" w:sz="8" w:space="0" w:color="000000"/>
              <w:right w:val="single" w:sz="8" w:space="0" w:color="000000"/>
            </w:tcBorders>
            <w:vAlign w:val="center"/>
          </w:tcPr>
          <w:p w:rsidR="00F229A7" w:rsidRPr="00CA0AE3" w:rsidRDefault="00F229A7" w:rsidP="00B3615C">
            <w:pPr>
              <w:spacing w:after="0" w:line="240" w:lineRule="auto"/>
              <w:rPr>
                <w:rFonts w:eastAsia="Times New Roman"/>
                <w:sz w:val="16"/>
                <w:szCs w:val="16"/>
              </w:rPr>
            </w:pPr>
            <w:r w:rsidRPr="00CA0AE3">
              <w:rPr>
                <w:rFonts w:eastAsia="Times New Roman"/>
                <w:sz w:val="16"/>
                <w:szCs w:val="16"/>
              </w:rPr>
              <w:t>Target reflects the 2015</w:t>
            </w:r>
            <w:r w:rsidRPr="00CA0AE3">
              <w:rPr>
                <w:rFonts w:eastAsia="Times New Roman"/>
                <w:sz w:val="16"/>
                <w:szCs w:val="16"/>
                <w:vertAlign w:val="superscript"/>
              </w:rPr>
              <w:t>th</w:t>
            </w:r>
            <w:r w:rsidRPr="00CA0AE3">
              <w:rPr>
                <w:rFonts w:eastAsia="Times New Roman"/>
                <w:sz w:val="16"/>
                <w:szCs w:val="16"/>
              </w:rPr>
              <w:t xml:space="preserve"> 90</w:t>
            </w:r>
            <w:r w:rsidRPr="00CA0AE3">
              <w:rPr>
                <w:rFonts w:eastAsia="Times New Roman"/>
                <w:sz w:val="16"/>
                <w:szCs w:val="16"/>
                <w:vertAlign w:val="superscript"/>
              </w:rPr>
              <w:t>th</w:t>
            </w:r>
            <w:r w:rsidRPr="00CA0AE3">
              <w:rPr>
                <w:rFonts w:eastAsia="Times New Roman"/>
                <w:sz w:val="16"/>
                <w:szCs w:val="16"/>
              </w:rPr>
              <w:t xml:space="preserve"> Percentile National Medicaid</w:t>
            </w:r>
          </w:p>
        </w:tc>
      </w:tr>
      <w:tr w:rsidR="00CA6A65" w:rsidRPr="00CA0AE3" w:rsidTr="00945D5E">
        <w:trPr>
          <w:cantSplit/>
        </w:trPr>
        <w:tc>
          <w:tcPr>
            <w:tcW w:w="108" w:type="pct"/>
            <w:tcBorders>
              <w:top w:val="single" w:sz="8" w:space="0" w:color="000000"/>
              <w:left w:val="single" w:sz="8" w:space="0" w:color="000000"/>
              <w:bottom w:val="single" w:sz="8" w:space="0" w:color="000000"/>
              <w:right w:val="single" w:sz="8" w:space="0" w:color="000000"/>
            </w:tcBorders>
            <w:vAlign w:val="center"/>
          </w:tcPr>
          <w:p w:rsidR="00F229A7" w:rsidRPr="00CA0AE3" w:rsidRDefault="004207D7" w:rsidP="00E17D45">
            <w:pPr>
              <w:pStyle w:val="Default"/>
              <w:jc w:val="center"/>
              <w:rPr>
                <w:color w:val="auto"/>
                <w:sz w:val="16"/>
                <w:szCs w:val="16"/>
              </w:rPr>
            </w:pPr>
            <w:r w:rsidRPr="00CA0AE3">
              <w:rPr>
                <w:color w:val="auto"/>
                <w:sz w:val="16"/>
                <w:szCs w:val="16"/>
              </w:rPr>
              <w:t>6</w:t>
            </w:r>
          </w:p>
        </w:tc>
        <w:tc>
          <w:tcPr>
            <w:tcW w:w="722"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F229A7" w:rsidRPr="00CA0AE3" w:rsidRDefault="00F229A7" w:rsidP="00E17D45">
            <w:pPr>
              <w:pStyle w:val="Default"/>
              <w:rPr>
                <w:color w:val="auto"/>
                <w:sz w:val="16"/>
                <w:szCs w:val="16"/>
              </w:rPr>
            </w:pPr>
            <w:r w:rsidRPr="00CA0AE3">
              <w:rPr>
                <w:color w:val="auto"/>
                <w:sz w:val="16"/>
                <w:szCs w:val="16"/>
              </w:rPr>
              <w:t>Comprehensive Diabetes Care: Eye Exam (retinal) performed (for active primary care patients)</w:t>
            </w:r>
          </w:p>
        </w:tc>
        <w:tc>
          <w:tcPr>
            <w:tcW w:w="431"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F229A7" w:rsidRPr="00CA0AE3" w:rsidRDefault="00F229A7" w:rsidP="00E17D45">
            <w:pPr>
              <w:pStyle w:val="Default"/>
              <w:jc w:val="center"/>
              <w:rPr>
                <w:color w:val="auto"/>
                <w:sz w:val="16"/>
                <w:szCs w:val="16"/>
              </w:rPr>
            </w:pPr>
            <w:r w:rsidRPr="00CA0AE3">
              <w:rPr>
                <w:color w:val="auto"/>
                <w:sz w:val="16"/>
                <w:szCs w:val="16"/>
              </w:rPr>
              <w:t>NQF 0055</w:t>
            </w:r>
          </w:p>
          <w:p w:rsidR="00F229A7" w:rsidRPr="00CA0AE3" w:rsidRDefault="00F229A7" w:rsidP="00E17D45">
            <w:pPr>
              <w:spacing w:after="0" w:line="240" w:lineRule="auto"/>
              <w:jc w:val="center"/>
              <w:rPr>
                <w:sz w:val="16"/>
                <w:szCs w:val="16"/>
              </w:rPr>
            </w:pPr>
          </w:p>
        </w:tc>
        <w:tc>
          <w:tcPr>
            <w:tcW w:w="463"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F229A7" w:rsidRPr="00CA0AE3" w:rsidRDefault="00F229A7" w:rsidP="00E17D45">
            <w:pPr>
              <w:pStyle w:val="Default"/>
              <w:jc w:val="center"/>
              <w:rPr>
                <w:bCs/>
                <w:color w:val="auto"/>
                <w:sz w:val="16"/>
                <w:szCs w:val="16"/>
              </w:rPr>
            </w:pPr>
            <w:r w:rsidRPr="00CA0AE3">
              <w:rPr>
                <w:bCs/>
                <w:color w:val="auto"/>
                <w:sz w:val="16"/>
                <w:szCs w:val="16"/>
              </w:rPr>
              <w:t>2015 90</w:t>
            </w:r>
            <w:r w:rsidRPr="00CA0AE3">
              <w:rPr>
                <w:bCs/>
                <w:color w:val="auto"/>
                <w:sz w:val="16"/>
                <w:szCs w:val="16"/>
                <w:vertAlign w:val="superscript"/>
              </w:rPr>
              <w:t>th</w:t>
            </w:r>
            <w:r w:rsidRPr="00CA0AE3">
              <w:rPr>
                <w:bCs/>
                <w:color w:val="auto"/>
                <w:sz w:val="16"/>
                <w:szCs w:val="16"/>
              </w:rPr>
              <w:t xml:space="preserve"> percentile National Medicaid: 68.0%</w:t>
            </w:r>
          </w:p>
          <w:p w:rsidR="00F229A7" w:rsidRPr="00CA0AE3" w:rsidRDefault="00F229A7" w:rsidP="00E17D45">
            <w:pPr>
              <w:pStyle w:val="Default"/>
              <w:jc w:val="center"/>
              <w:rPr>
                <w:color w:val="auto"/>
                <w:sz w:val="16"/>
                <w:szCs w:val="16"/>
              </w:rPr>
            </w:pPr>
          </w:p>
        </w:tc>
        <w:tc>
          <w:tcPr>
            <w:tcW w:w="560"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F229A7" w:rsidRPr="00CA0AE3" w:rsidRDefault="00F229A7" w:rsidP="00E17D45">
            <w:pPr>
              <w:pStyle w:val="Default"/>
              <w:jc w:val="center"/>
              <w:rPr>
                <w:color w:val="auto"/>
                <w:sz w:val="16"/>
                <w:szCs w:val="16"/>
              </w:rPr>
            </w:pPr>
            <w:r w:rsidRPr="00CA0AE3">
              <w:rPr>
                <w:color w:val="auto"/>
                <w:sz w:val="16"/>
                <w:szCs w:val="16"/>
              </w:rPr>
              <w:t>Gap to Goal (10%) or attainment at target</w:t>
            </w:r>
          </w:p>
          <w:p w:rsidR="00F229A7" w:rsidRPr="00CA0AE3" w:rsidRDefault="00F229A7" w:rsidP="00E17D45">
            <w:pPr>
              <w:pStyle w:val="Default"/>
              <w:jc w:val="center"/>
              <w:rPr>
                <w:color w:val="auto"/>
                <w:sz w:val="16"/>
                <w:szCs w:val="16"/>
              </w:rPr>
            </w:pPr>
          </w:p>
          <w:p w:rsidR="00F229A7" w:rsidRPr="00CA0AE3" w:rsidRDefault="00F229A7" w:rsidP="00E17D45">
            <w:pPr>
              <w:pStyle w:val="Default"/>
              <w:rPr>
                <w:color w:val="auto"/>
                <w:sz w:val="16"/>
                <w:szCs w:val="16"/>
              </w:rPr>
            </w:pPr>
          </w:p>
        </w:tc>
        <w:tc>
          <w:tcPr>
            <w:tcW w:w="398"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F229A7" w:rsidRPr="00CA0AE3" w:rsidRDefault="00F229A7" w:rsidP="00E17D45">
            <w:pPr>
              <w:spacing w:after="0" w:line="240" w:lineRule="auto"/>
              <w:jc w:val="center"/>
              <w:rPr>
                <w:b/>
                <w:sz w:val="16"/>
                <w:szCs w:val="16"/>
              </w:rPr>
            </w:pPr>
          </w:p>
          <w:p w:rsidR="00F229A7" w:rsidRPr="00CA0AE3" w:rsidRDefault="00F229A7" w:rsidP="00E17D45">
            <w:pPr>
              <w:spacing w:after="0" w:line="240" w:lineRule="auto"/>
              <w:jc w:val="center"/>
              <w:rPr>
                <w:b/>
                <w:sz w:val="16"/>
                <w:szCs w:val="16"/>
              </w:rPr>
            </w:pPr>
          </w:p>
          <w:p w:rsidR="00F229A7" w:rsidRPr="00CA0AE3" w:rsidRDefault="00F229A7" w:rsidP="00E17D45">
            <w:pPr>
              <w:spacing w:after="0" w:line="240" w:lineRule="auto"/>
              <w:jc w:val="center"/>
              <w:rPr>
                <w:b/>
                <w:sz w:val="16"/>
                <w:szCs w:val="16"/>
              </w:rPr>
            </w:pPr>
            <w:r w:rsidRPr="00CA0AE3">
              <w:rPr>
                <w:b/>
                <w:sz w:val="16"/>
                <w:szCs w:val="16"/>
              </w:rPr>
              <w:t>B</w:t>
            </w:r>
          </w:p>
        </w:tc>
        <w:tc>
          <w:tcPr>
            <w:tcW w:w="463"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F229A7" w:rsidRPr="00CA0AE3" w:rsidRDefault="00F229A7" w:rsidP="00E17D45">
            <w:pPr>
              <w:spacing w:after="0" w:line="240" w:lineRule="auto"/>
              <w:jc w:val="center"/>
              <w:rPr>
                <w:b/>
                <w:sz w:val="16"/>
                <w:szCs w:val="16"/>
              </w:rPr>
            </w:pPr>
          </w:p>
          <w:p w:rsidR="00F229A7" w:rsidRPr="00CA0AE3" w:rsidRDefault="00F229A7" w:rsidP="00E17D45">
            <w:pPr>
              <w:spacing w:after="0" w:line="240" w:lineRule="auto"/>
              <w:jc w:val="center"/>
              <w:rPr>
                <w:b/>
                <w:sz w:val="16"/>
                <w:szCs w:val="16"/>
              </w:rPr>
            </w:pPr>
          </w:p>
          <w:p w:rsidR="00F229A7" w:rsidRPr="00CA0AE3" w:rsidRDefault="00F229A7" w:rsidP="00E17D45">
            <w:pPr>
              <w:spacing w:after="0" w:line="240" w:lineRule="auto"/>
              <w:jc w:val="center"/>
              <w:rPr>
                <w:b/>
                <w:sz w:val="16"/>
                <w:szCs w:val="16"/>
              </w:rPr>
            </w:pPr>
            <w:r w:rsidRPr="00CA0AE3">
              <w:rPr>
                <w:b/>
                <w:sz w:val="16"/>
                <w:szCs w:val="16"/>
              </w:rPr>
              <w:t>O</w:t>
            </w:r>
          </w:p>
        </w:tc>
        <w:tc>
          <w:tcPr>
            <w:tcW w:w="426"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F229A7" w:rsidRPr="00CA0AE3" w:rsidRDefault="00F229A7" w:rsidP="00E17D45">
            <w:pPr>
              <w:spacing w:after="0" w:line="240" w:lineRule="auto"/>
              <w:jc w:val="center"/>
              <w:rPr>
                <w:b/>
                <w:sz w:val="16"/>
                <w:szCs w:val="16"/>
              </w:rPr>
            </w:pPr>
          </w:p>
          <w:p w:rsidR="00F229A7" w:rsidRPr="00CA0AE3" w:rsidRDefault="00F229A7" w:rsidP="00E17D45">
            <w:pPr>
              <w:spacing w:after="0" w:line="240" w:lineRule="auto"/>
              <w:jc w:val="center"/>
              <w:rPr>
                <w:b/>
                <w:sz w:val="16"/>
                <w:szCs w:val="16"/>
              </w:rPr>
            </w:pPr>
          </w:p>
          <w:p w:rsidR="00F229A7" w:rsidRPr="00CA0AE3" w:rsidRDefault="00F229A7" w:rsidP="00E17D45">
            <w:pPr>
              <w:spacing w:after="0" w:line="240" w:lineRule="auto"/>
              <w:jc w:val="center"/>
              <w:rPr>
                <w:b/>
                <w:sz w:val="16"/>
                <w:szCs w:val="16"/>
              </w:rPr>
            </w:pPr>
            <w:r w:rsidRPr="00CA0AE3">
              <w:rPr>
                <w:b/>
                <w:sz w:val="16"/>
                <w:szCs w:val="16"/>
              </w:rPr>
              <w:t>O</w:t>
            </w:r>
          </w:p>
        </w:tc>
        <w:tc>
          <w:tcPr>
            <w:tcW w:w="431"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F229A7" w:rsidRPr="00CA0AE3" w:rsidRDefault="00F229A7" w:rsidP="00E17D45">
            <w:pPr>
              <w:spacing w:after="0" w:line="240" w:lineRule="auto"/>
              <w:jc w:val="center"/>
              <w:rPr>
                <w:b/>
                <w:sz w:val="16"/>
                <w:szCs w:val="16"/>
              </w:rPr>
            </w:pPr>
          </w:p>
          <w:p w:rsidR="00F229A7" w:rsidRPr="00CA0AE3" w:rsidRDefault="00F229A7" w:rsidP="00E17D45">
            <w:pPr>
              <w:spacing w:after="0" w:line="240" w:lineRule="auto"/>
              <w:jc w:val="center"/>
              <w:rPr>
                <w:b/>
                <w:sz w:val="16"/>
                <w:szCs w:val="16"/>
              </w:rPr>
            </w:pPr>
          </w:p>
          <w:p w:rsidR="00F229A7" w:rsidRPr="00CA0AE3" w:rsidRDefault="00F229A7" w:rsidP="00E17D45">
            <w:pPr>
              <w:spacing w:after="0" w:line="240" w:lineRule="auto"/>
              <w:jc w:val="center"/>
              <w:rPr>
                <w:b/>
                <w:sz w:val="16"/>
                <w:szCs w:val="16"/>
              </w:rPr>
            </w:pPr>
            <w:r w:rsidRPr="00CA0AE3">
              <w:rPr>
                <w:b/>
                <w:sz w:val="16"/>
                <w:szCs w:val="16"/>
              </w:rPr>
              <w:t>O</w:t>
            </w:r>
          </w:p>
        </w:tc>
        <w:tc>
          <w:tcPr>
            <w:tcW w:w="431"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F229A7" w:rsidRPr="00CA0AE3" w:rsidRDefault="00F229A7" w:rsidP="00E17D45">
            <w:pPr>
              <w:spacing w:after="0" w:line="240" w:lineRule="auto"/>
              <w:jc w:val="center"/>
              <w:rPr>
                <w:b/>
                <w:sz w:val="16"/>
                <w:szCs w:val="16"/>
              </w:rPr>
            </w:pPr>
          </w:p>
          <w:p w:rsidR="00F229A7" w:rsidRPr="00CA0AE3" w:rsidRDefault="00F229A7" w:rsidP="00E17D45">
            <w:pPr>
              <w:spacing w:after="0" w:line="240" w:lineRule="auto"/>
              <w:jc w:val="center"/>
              <w:rPr>
                <w:b/>
                <w:sz w:val="16"/>
                <w:szCs w:val="16"/>
              </w:rPr>
            </w:pPr>
          </w:p>
          <w:p w:rsidR="00F229A7" w:rsidRPr="00CA0AE3" w:rsidRDefault="00F229A7" w:rsidP="00E17D45">
            <w:pPr>
              <w:spacing w:after="0" w:line="240" w:lineRule="auto"/>
              <w:jc w:val="center"/>
              <w:rPr>
                <w:b/>
                <w:sz w:val="16"/>
                <w:szCs w:val="16"/>
              </w:rPr>
            </w:pPr>
            <w:r w:rsidRPr="00CA0AE3">
              <w:rPr>
                <w:b/>
                <w:sz w:val="16"/>
                <w:szCs w:val="16"/>
              </w:rPr>
              <w:t>O</w:t>
            </w:r>
          </w:p>
        </w:tc>
        <w:tc>
          <w:tcPr>
            <w:tcW w:w="567" w:type="pct"/>
            <w:tcBorders>
              <w:top w:val="single" w:sz="8" w:space="0" w:color="000000"/>
              <w:left w:val="single" w:sz="8" w:space="0" w:color="000000"/>
              <w:bottom w:val="single" w:sz="8" w:space="0" w:color="000000"/>
              <w:right w:val="single" w:sz="8" w:space="0" w:color="000000"/>
            </w:tcBorders>
            <w:vAlign w:val="center"/>
          </w:tcPr>
          <w:p w:rsidR="00F229A7" w:rsidRPr="00CA0AE3" w:rsidRDefault="00F229A7" w:rsidP="00B3615C">
            <w:pPr>
              <w:spacing w:after="0" w:line="240" w:lineRule="auto"/>
              <w:rPr>
                <w:rFonts w:eastAsia="Times New Roman"/>
                <w:sz w:val="16"/>
                <w:szCs w:val="16"/>
              </w:rPr>
            </w:pPr>
            <w:r w:rsidRPr="00CA0AE3">
              <w:rPr>
                <w:sz w:val="16"/>
                <w:szCs w:val="16"/>
              </w:rPr>
              <w:t>Target</w:t>
            </w:r>
            <w:r w:rsidRPr="00CA0AE3">
              <w:rPr>
                <w:rFonts w:eastAsia="Times New Roman"/>
                <w:sz w:val="16"/>
                <w:szCs w:val="16"/>
              </w:rPr>
              <w:t xml:space="preserve"> reflects the 2015</w:t>
            </w:r>
            <w:r w:rsidRPr="00CA0AE3">
              <w:rPr>
                <w:rFonts w:eastAsia="Times New Roman"/>
                <w:sz w:val="16"/>
                <w:szCs w:val="16"/>
                <w:vertAlign w:val="superscript"/>
              </w:rPr>
              <w:t>th</w:t>
            </w:r>
            <w:r w:rsidRPr="00CA0AE3">
              <w:rPr>
                <w:rFonts w:eastAsia="Times New Roman"/>
                <w:sz w:val="16"/>
                <w:szCs w:val="16"/>
              </w:rPr>
              <w:t xml:space="preserve"> 90</w:t>
            </w:r>
            <w:r w:rsidRPr="00CA0AE3">
              <w:rPr>
                <w:rFonts w:eastAsia="Times New Roman"/>
                <w:sz w:val="16"/>
                <w:szCs w:val="16"/>
                <w:vertAlign w:val="superscript"/>
              </w:rPr>
              <w:t>th</w:t>
            </w:r>
            <w:r w:rsidRPr="00CA0AE3">
              <w:rPr>
                <w:rFonts w:eastAsia="Times New Roman"/>
                <w:sz w:val="16"/>
                <w:szCs w:val="16"/>
              </w:rPr>
              <w:t xml:space="preserve"> Percentile National Medicaid</w:t>
            </w:r>
          </w:p>
        </w:tc>
      </w:tr>
      <w:tr w:rsidR="00CA6A65" w:rsidRPr="00CA0AE3" w:rsidTr="00945D5E">
        <w:trPr>
          <w:cantSplit/>
        </w:trPr>
        <w:tc>
          <w:tcPr>
            <w:tcW w:w="108" w:type="pct"/>
            <w:tcBorders>
              <w:top w:val="single" w:sz="8" w:space="0" w:color="000000"/>
              <w:left w:val="single" w:sz="8" w:space="0" w:color="000000"/>
              <w:bottom w:val="single" w:sz="8" w:space="0" w:color="000000"/>
              <w:right w:val="single" w:sz="8" w:space="0" w:color="000000"/>
            </w:tcBorders>
            <w:vAlign w:val="center"/>
          </w:tcPr>
          <w:p w:rsidR="00F229A7" w:rsidRPr="00CA0AE3" w:rsidRDefault="004207D7" w:rsidP="00E17D45">
            <w:pPr>
              <w:pStyle w:val="Default"/>
              <w:jc w:val="center"/>
              <w:rPr>
                <w:color w:val="auto"/>
                <w:sz w:val="16"/>
                <w:szCs w:val="16"/>
              </w:rPr>
            </w:pPr>
            <w:r w:rsidRPr="00CA0AE3">
              <w:rPr>
                <w:color w:val="auto"/>
                <w:sz w:val="16"/>
                <w:szCs w:val="16"/>
              </w:rPr>
              <w:t>7</w:t>
            </w:r>
          </w:p>
        </w:tc>
        <w:tc>
          <w:tcPr>
            <w:tcW w:w="722"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tcPr>
          <w:p w:rsidR="00F229A7" w:rsidRPr="00CA0AE3" w:rsidRDefault="00F229A7" w:rsidP="00E17D45">
            <w:pPr>
              <w:pStyle w:val="Default"/>
              <w:rPr>
                <w:color w:val="auto"/>
                <w:sz w:val="16"/>
                <w:szCs w:val="16"/>
              </w:rPr>
            </w:pPr>
            <w:r w:rsidRPr="00CA0AE3">
              <w:rPr>
                <w:color w:val="auto"/>
                <w:sz w:val="16"/>
                <w:szCs w:val="16"/>
              </w:rPr>
              <w:t>Improve the proportion of active primary care patients 18-75 years of age with diabetes with poorly controlled Hemoglobin HbA1C (most recent &gt;=8.0%) who have a care plan</w:t>
            </w:r>
          </w:p>
        </w:tc>
        <w:tc>
          <w:tcPr>
            <w:tcW w:w="431"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F229A7" w:rsidRPr="00CA0AE3" w:rsidRDefault="00F229A7" w:rsidP="00E17D45">
            <w:pPr>
              <w:spacing w:after="0" w:line="240" w:lineRule="auto"/>
              <w:jc w:val="center"/>
              <w:rPr>
                <w:sz w:val="16"/>
                <w:szCs w:val="16"/>
              </w:rPr>
            </w:pPr>
            <w:r w:rsidRPr="00CA0AE3">
              <w:rPr>
                <w:sz w:val="16"/>
                <w:szCs w:val="16"/>
              </w:rPr>
              <w:t>NCQA</w:t>
            </w:r>
          </w:p>
        </w:tc>
        <w:tc>
          <w:tcPr>
            <w:tcW w:w="463"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F229A7" w:rsidRPr="00CA0AE3" w:rsidRDefault="00F229A7" w:rsidP="00E17D45">
            <w:pPr>
              <w:spacing w:after="0" w:line="240" w:lineRule="auto"/>
              <w:jc w:val="center"/>
              <w:rPr>
                <w:sz w:val="16"/>
                <w:szCs w:val="16"/>
              </w:rPr>
            </w:pPr>
            <w:r w:rsidRPr="00CA0AE3">
              <w:rPr>
                <w:sz w:val="16"/>
                <w:szCs w:val="16"/>
              </w:rPr>
              <w:t>No external benchmark;</w:t>
            </w:r>
          </w:p>
          <w:p w:rsidR="00F229A7" w:rsidRPr="00CA0AE3" w:rsidRDefault="00F229A7" w:rsidP="00E17D45">
            <w:pPr>
              <w:spacing w:after="0" w:line="240" w:lineRule="auto"/>
              <w:jc w:val="center"/>
              <w:rPr>
                <w:sz w:val="16"/>
                <w:szCs w:val="16"/>
              </w:rPr>
            </w:pPr>
            <w:r w:rsidRPr="00CA0AE3">
              <w:rPr>
                <w:sz w:val="16"/>
                <w:szCs w:val="16"/>
              </w:rPr>
              <w:t>hospital specific improvement</w:t>
            </w:r>
          </w:p>
          <w:p w:rsidR="00F229A7" w:rsidRPr="00CA0AE3" w:rsidRDefault="00F229A7" w:rsidP="00E17D45">
            <w:pPr>
              <w:spacing w:after="0" w:line="240" w:lineRule="auto"/>
              <w:jc w:val="center"/>
              <w:rPr>
                <w:sz w:val="16"/>
                <w:szCs w:val="16"/>
              </w:rPr>
            </w:pPr>
            <w:r w:rsidRPr="00CA0AE3">
              <w:rPr>
                <w:sz w:val="16"/>
                <w:szCs w:val="16"/>
              </w:rPr>
              <w:t>Target = 75%</w:t>
            </w:r>
          </w:p>
        </w:tc>
        <w:tc>
          <w:tcPr>
            <w:tcW w:w="560"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F229A7" w:rsidRPr="00CA0AE3" w:rsidRDefault="00F229A7" w:rsidP="00E17D45">
            <w:pPr>
              <w:pStyle w:val="Default"/>
              <w:jc w:val="center"/>
              <w:rPr>
                <w:color w:val="auto"/>
                <w:sz w:val="16"/>
                <w:szCs w:val="16"/>
              </w:rPr>
            </w:pPr>
            <w:r w:rsidRPr="00CA0AE3">
              <w:rPr>
                <w:color w:val="auto"/>
                <w:sz w:val="16"/>
                <w:szCs w:val="16"/>
              </w:rPr>
              <w:t xml:space="preserve">Gap to Goal (10%) or attainment at target </w:t>
            </w:r>
          </w:p>
        </w:tc>
        <w:tc>
          <w:tcPr>
            <w:tcW w:w="398"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F229A7" w:rsidRPr="00CA0AE3" w:rsidRDefault="00F229A7" w:rsidP="00E17D45">
            <w:pPr>
              <w:spacing w:after="0" w:line="240" w:lineRule="auto"/>
              <w:jc w:val="center"/>
              <w:rPr>
                <w:b/>
                <w:sz w:val="16"/>
                <w:szCs w:val="16"/>
              </w:rPr>
            </w:pPr>
            <w:r w:rsidRPr="00CA0AE3">
              <w:rPr>
                <w:b/>
                <w:sz w:val="16"/>
                <w:szCs w:val="16"/>
              </w:rPr>
              <w:t>O</w:t>
            </w:r>
          </w:p>
        </w:tc>
        <w:tc>
          <w:tcPr>
            <w:tcW w:w="463"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F229A7" w:rsidRPr="00CA0AE3" w:rsidRDefault="00F229A7" w:rsidP="00E17D45">
            <w:pPr>
              <w:spacing w:after="0" w:line="240" w:lineRule="auto"/>
              <w:jc w:val="center"/>
              <w:rPr>
                <w:b/>
                <w:sz w:val="16"/>
                <w:szCs w:val="16"/>
              </w:rPr>
            </w:pPr>
            <w:r w:rsidRPr="00CA0AE3">
              <w:rPr>
                <w:b/>
                <w:sz w:val="16"/>
                <w:szCs w:val="16"/>
              </w:rPr>
              <w:t>O</w:t>
            </w:r>
          </w:p>
        </w:tc>
        <w:tc>
          <w:tcPr>
            <w:tcW w:w="426"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F229A7" w:rsidRPr="00CA0AE3" w:rsidRDefault="00F229A7" w:rsidP="00E17D45">
            <w:pPr>
              <w:spacing w:after="0" w:line="240" w:lineRule="auto"/>
              <w:jc w:val="center"/>
              <w:rPr>
                <w:b/>
                <w:sz w:val="16"/>
                <w:szCs w:val="16"/>
              </w:rPr>
            </w:pPr>
            <w:r w:rsidRPr="00CA0AE3">
              <w:rPr>
                <w:b/>
                <w:sz w:val="16"/>
                <w:szCs w:val="16"/>
              </w:rPr>
              <w:t>O</w:t>
            </w:r>
          </w:p>
        </w:tc>
        <w:tc>
          <w:tcPr>
            <w:tcW w:w="431"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F229A7" w:rsidRPr="00CA0AE3" w:rsidRDefault="00F229A7" w:rsidP="00E17D45">
            <w:pPr>
              <w:spacing w:after="0" w:line="240" w:lineRule="auto"/>
              <w:jc w:val="center"/>
              <w:rPr>
                <w:b/>
                <w:sz w:val="16"/>
                <w:szCs w:val="16"/>
              </w:rPr>
            </w:pPr>
            <w:r w:rsidRPr="00CA0AE3">
              <w:rPr>
                <w:b/>
                <w:sz w:val="16"/>
                <w:szCs w:val="16"/>
              </w:rPr>
              <w:t>O</w:t>
            </w:r>
          </w:p>
        </w:tc>
        <w:tc>
          <w:tcPr>
            <w:tcW w:w="431"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F229A7" w:rsidRPr="00CA0AE3" w:rsidRDefault="00F229A7" w:rsidP="00E17D45">
            <w:pPr>
              <w:spacing w:after="0" w:line="240" w:lineRule="auto"/>
              <w:jc w:val="center"/>
              <w:rPr>
                <w:b/>
                <w:sz w:val="16"/>
                <w:szCs w:val="16"/>
              </w:rPr>
            </w:pPr>
            <w:r w:rsidRPr="00CA0AE3">
              <w:rPr>
                <w:b/>
                <w:sz w:val="16"/>
                <w:szCs w:val="16"/>
              </w:rPr>
              <w:t>O</w:t>
            </w:r>
          </w:p>
        </w:tc>
        <w:tc>
          <w:tcPr>
            <w:tcW w:w="567" w:type="pct"/>
            <w:tcBorders>
              <w:top w:val="single" w:sz="8" w:space="0" w:color="000000"/>
              <w:left w:val="single" w:sz="8" w:space="0" w:color="000000"/>
              <w:bottom w:val="single" w:sz="8" w:space="0" w:color="000000"/>
              <w:right w:val="single" w:sz="8" w:space="0" w:color="000000"/>
            </w:tcBorders>
            <w:vAlign w:val="center"/>
          </w:tcPr>
          <w:p w:rsidR="00F229A7" w:rsidRPr="00CA0AE3" w:rsidRDefault="00F229A7" w:rsidP="00B3615C">
            <w:pPr>
              <w:spacing w:after="0" w:line="240" w:lineRule="auto"/>
              <w:rPr>
                <w:rFonts w:eastAsia="Times New Roman"/>
                <w:sz w:val="16"/>
                <w:szCs w:val="16"/>
              </w:rPr>
            </w:pPr>
            <w:r w:rsidRPr="00CA0AE3">
              <w:rPr>
                <w:rFonts w:eastAsia="Times New Roman"/>
                <w:sz w:val="16"/>
                <w:szCs w:val="16"/>
              </w:rPr>
              <w:t>Target of 75% is NCQA 2014 Medical Home Standard.</w:t>
            </w:r>
          </w:p>
        </w:tc>
      </w:tr>
      <w:tr w:rsidR="00CA6A65" w:rsidRPr="00CA0AE3" w:rsidTr="00945D5E">
        <w:trPr>
          <w:cantSplit/>
        </w:trPr>
        <w:tc>
          <w:tcPr>
            <w:tcW w:w="108" w:type="pct"/>
            <w:tcBorders>
              <w:top w:val="single" w:sz="8" w:space="0" w:color="000000"/>
              <w:left w:val="single" w:sz="8" w:space="0" w:color="000000"/>
              <w:bottom w:val="single" w:sz="8" w:space="0" w:color="000000"/>
              <w:right w:val="single" w:sz="8" w:space="0" w:color="000000"/>
            </w:tcBorders>
            <w:vAlign w:val="center"/>
          </w:tcPr>
          <w:p w:rsidR="00F229A7" w:rsidRPr="00CA0AE3" w:rsidRDefault="004207D7" w:rsidP="00E17D45">
            <w:pPr>
              <w:pStyle w:val="Default"/>
              <w:jc w:val="center"/>
              <w:rPr>
                <w:color w:val="auto"/>
                <w:sz w:val="16"/>
                <w:szCs w:val="16"/>
              </w:rPr>
            </w:pPr>
            <w:r w:rsidRPr="00CA0AE3">
              <w:rPr>
                <w:color w:val="auto"/>
                <w:sz w:val="16"/>
                <w:szCs w:val="16"/>
              </w:rPr>
              <w:t>8</w:t>
            </w:r>
          </w:p>
        </w:tc>
        <w:tc>
          <w:tcPr>
            <w:tcW w:w="722"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tcPr>
          <w:p w:rsidR="00F229A7" w:rsidRPr="00CA0AE3" w:rsidRDefault="00F229A7" w:rsidP="00E17D45">
            <w:pPr>
              <w:autoSpaceDE w:val="0"/>
              <w:autoSpaceDN w:val="0"/>
              <w:adjustRightInd w:val="0"/>
              <w:spacing w:after="0" w:line="240" w:lineRule="auto"/>
              <w:rPr>
                <w:sz w:val="16"/>
                <w:szCs w:val="16"/>
              </w:rPr>
            </w:pPr>
            <w:r w:rsidRPr="00CA0AE3">
              <w:rPr>
                <w:sz w:val="16"/>
                <w:szCs w:val="16"/>
              </w:rPr>
              <w:t>Percentage of high risk diabetic primary care patients  receiving enhanced diabetes management services, including nursing-led patient</w:t>
            </w:r>
          </w:p>
          <w:p w:rsidR="00F229A7" w:rsidRPr="00CA0AE3" w:rsidRDefault="00F229A7" w:rsidP="00E17D45">
            <w:pPr>
              <w:pStyle w:val="Default"/>
              <w:rPr>
                <w:color w:val="auto"/>
                <w:sz w:val="16"/>
                <w:szCs w:val="16"/>
              </w:rPr>
            </w:pPr>
            <w:proofErr w:type="gramStart"/>
            <w:r w:rsidRPr="00CA0AE3">
              <w:rPr>
                <w:color w:val="auto"/>
                <w:sz w:val="16"/>
                <w:szCs w:val="16"/>
              </w:rPr>
              <w:t>education</w:t>
            </w:r>
            <w:proofErr w:type="gramEnd"/>
            <w:r w:rsidRPr="00CA0AE3">
              <w:rPr>
                <w:color w:val="auto"/>
                <w:sz w:val="16"/>
                <w:szCs w:val="16"/>
              </w:rPr>
              <w:t xml:space="preserve"> and self-management coaching, pharmacist-led medication management services, or other care team member support.</w:t>
            </w:r>
          </w:p>
        </w:tc>
        <w:tc>
          <w:tcPr>
            <w:tcW w:w="431"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F229A7" w:rsidRPr="00CA0AE3" w:rsidRDefault="00F229A7" w:rsidP="00E17D45">
            <w:pPr>
              <w:spacing w:after="0" w:line="240" w:lineRule="auto"/>
              <w:jc w:val="center"/>
              <w:rPr>
                <w:sz w:val="16"/>
                <w:szCs w:val="16"/>
              </w:rPr>
            </w:pPr>
            <w:r w:rsidRPr="00CA0AE3">
              <w:rPr>
                <w:sz w:val="16"/>
                <w:szCs w:val="16"/>
              </w:rPr>
              <w:t>Customized Measure (denominator linked to NQF 0575)</w:t>
            </w:r>
          </w:p>
        </w:tc>
        <w:tc>
          <w:tcPr>
            <w:tcW w:w="463"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F229A7" w:rsidRPr="00CA0AE3" w:rsidRDefault="00F229A7" w:rsidP="00E17D45">
            <w:pPr>
              <w:spacing w:after="0" w:line="240" w:lineRule="auto"/>
              <w:jc w:val="center"/>
              <w:rPr>
                <w:sz w:val="16"/>
                <w:szCs w:val="16"/>
              </w:rPr>
            </w:pPr>
            <w:r w:rsidRPr="00CA0AE3">
              <w:rPr>
                <w:sz w:val="16"/>
                <w:szCs w:val="16"/>
              </w:rPr>
              <w:t>No external benchmark; hospital specific improvement</w:t>
            </w:r>
          </w:p>
          <w:p w:rsidR="00F229A7" w:rsidRPr="00CA0AE3" w:rsidRDefault="00F229A7" w:rsidP="00E17D45">
            <w:pPr>
              <w:spacing w:after="0" w:line="240" w:lineRule="auto"/>
              <w:jc w:val="center"/>
              <w:rPr>
                <w:sz w:val="16"/>
                <w:szCs w:val="16"/>
              </w:rPr>
            </w:pPr>
            <w:r w:rsidRPr="00CA0AE3">
              <w:rPr>
                <w:sz w:val="16"/>
                <w:szCs w:val="16"/>
              </w:rPr>
              <w:t>target</w:t>
            </w:r>
          </w:p>
        </w:tc>
        <w:tc>
          <w:tcPr>
            <w:tcW w:w="560"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F229A7" w:rsidRPr="00CA0AE3" w:rsidRDefault="00F229A7" w:rsidP="00E17D45">
            <w:pPr>
              <w:pStyle w:val="Default"/>
              <w:jc w:val="center"/>
              <w:rPr>
                <w:color w:val="auto"/>
                <w:sz w:val="16"/>
                <w:szCs w:val="16"/>
              </w:rPr>
            </w:pPr>
            <w:r w:rsidRPr="00CA0AE3">
              <w:rPr>
                <w:color w:val="auto"/>
                <w:sz w:val="16"/>
                <w:szCs w:val="16"/>
              </w:rPr>
              <w:t>Improvement over SFY 2018 baseline</w:t>
            </w:r>
          </w:p>
          <w:p w:rsidR="00F229A7" w:rsidRPr="00CA0AE3" w:rsidRDefault="00F229A7" w:rsidP="00E17D45">
            <w:pPr>
              <w:pStyle w:val="Default"/>
              <w:jc w:val="center"/>
              <w:rPr>
                <w:color w:val="auto"/>
                <w:sz w:val="16"/>
                <w:szCs w:val="16"/>
              </w:rPr>
            </w:pPr>
          </w:p>
          <w:p w:rsidR="00F229A7" w:rsidRPr="00CA0AE3" w:rsidRDefault="00F229A7" w:rsidP="00E17D45">
            <w:pPr>
              <w:pStyle w:val="Default"/>
              <w:rPr>
                <w:color w:val="auto"/>
                <w:sz w:val="16"/>
                <w:szCs w:val="16"/>
              </w:rPr>
            </w:pPr>
            <w:r w:rsidRPr="00CA0AE3">
              <w:rPr>
                <w:color w:val="auto"/>
                <w:sz w:val="16"/>
                <w:szCs w:val="16"/>
              </w:rPr>
              <w:t>SFY 19: Improve 2% over SFY 2018 baseline</w:t>
            </w:r>
          </w:p>
          <w:p w:rsidR="00F229A7" w:rsidRPr="00CA0AE3" w:rsidRDefault="00F229A7" w:rsidP="00E17D45">
            <w:pPr>
              <w:pStyle w:val="Default"/>
              <w:rPr>
                <w:color w:val="auto"/>
                <w:sz w:val="16"/>
                <w:szCs w:val="16"/>
              </w:rPr>
            </w:pPr>
            <w:r w:rsidRPr="00CA0AE3">
              <w:rPr>
                <w:color w:val="auto"/>
                <w:sz w:val="16"/>
                <w:szCs w:val="16"/>
              </w:rPr>
              <w:t>SFY 20:  Improve 4% over SFY 2018 baseline</w:t>
            </w:r>
          </w:p>
          <w:p w:rsidR="00F229A7" w:rsidRPr="00CA0AE3" w:rsidRDefault="00F229A7" w:rsidP="00E17D45">
            <w:pPr>
              <w:pStyle w:val="Default"/>
              <w:rPr>
                <w:color w:val="auto"/>
                <w:sz w:val="16"/>
                <w:szCs w:val="16"/>
              </w:rPr>
            </w:pPr>
            <w:r w:rsidRPr="00CA0AE3">
              <w:rPr>
                <w:color w:val="auto"/>
                <w:sz w:val="16"/>
                <w:szCs w:val="16"/>
              </w:rPr>
              <w:t>SFY 21:  Improve 6% over SFY 2018 baseline</w:t>
            </w:r>
          </w:p>
          <w:p w:rsidR="00F229A7" w:rsidRPr="00CA0AE3" w:rsidRDefault="00F229A7" w:rsidP="00E17D45">
            <w:pPr>
              <w:pStyle w:val="Default"/>
              <w:rPr>
                <w:color w:val="auto"/>
                <w:sz w:val="16"/>
                <w:szCs w:val="16"/>
              </w:rPr>
            </w:pPr>
            <w:r w:rsidRPr="00CA0AE3">
              <w:rPr>
                <w:color w:val="auto"/>
                <w:sz w:val="16"/>
                <w:szCs w:val="16"/>
              </w:rPr>
              <w:t>SFY 22:  Improve 8% over SFY 2018 baseline</w:t>
            </w:r>
          </w:p>
        </w:tc>
        <w:tc>
          <w:tcPr>
            <w:tcW w:w="398"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F229A7" w:rsidRPr="00CA0AE3" w:rsidRDefault="00F229A7" w:rsidP="00E17D45">
            <w:pPr>
              <w:spacing w:after="0" w:line="240" w:lineRule="auto"/>
              <w:jc w:val="center"/>
              <w:rPr>
                <w:b/>
                <w:sz w:val="16"/>
                <w:szCs w:val="16"/>
              </w:rPr>
            </w:pPr>
            <w:r w:rsidRPr="00CA0AE3">
              <w:rPr>
                <w:b/>
                <w:sz w:val="16"/>
                <w:szCs w:val="16"/>
              </w:rPr>
              <w:t>B</w:t>
            </w:r>
          </w:p>
        </w:tc>
        <w:tc>
          <w:tcPr>
            <w:tcW w:w="463"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F229A7" w:rsidRPr="00CA0AE3" w:rsidRDefault="00F229A7" w:rsidP="00E17D45">
            <w:pPr>
              <w:spacing w:after="0" w:line="240" w:lineRule="auto"/>
              <w:jc w:val="center"/>
              <w:rPr>
                <w:b/>
                <w:sz w:val="16"/>
                <w:szCs w:val="16"/>
              </w:rPr>
            </w:pPr>
            <w:r w:rsidRPr="00CA0AE3">
              <w:rPr>
                <w:b/>
                <w:sz w:val="16"/>
                <w:szCs w:val="16"/>
              </w:rPr>
              <w:t>O</w:t>
            </w:r>
          </w:p>
        </w:tc>
        <w:tc>
          <w:tcPr>
            <w:tcW w:w="426"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F229A7" w:rsidRPr="00CA0AE3" w:rsidRDefault="00F229A7" w:rsidP="00E17D45">
            <w:pPr>
              <w:spacing w:after="0" w:line="240" w:lineRule="auto"/>
              <w:jc w:val="center"/>
              <w:rPr>
                <w:b/>
                <w:sz w:val="16"/>
                <w:szCs w:val="16"/>
              </w:rPr>
            </w:pPr>
            <w:r w:rsidRPr="00CA0AE3">
              <w:rPr>
                <w:b/>
                <w:sz w:val="16"/>
                <w:szCs w:val="16"/>
              </w:rPr>
              <w:t>O</w:t>
            </w:r>
          </w:p>
        </w:tc>
        <w:tc>
          <w:tcPr>
            <w:tcW w:w="431"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F229A7" w:rsidRPr="00CA0AE3" w:rsidRDefault="00F229A7" w:rsidP="00E17D45">
            <w:pPr>
              <w:spacing w:after="0" w:line="240" w:lineRule="auto"/>
              <w:jc w:val="center"/>
              <w:rPr>
                <w:b/>
                <w:sz w:val="16"/>
                <w:szCs w:val="16"/>
              </w:rPr>
            </w:pPr>
            <w:r w:rsidRPr="00CA0AE3">
              <w:rPr>
                <w:b/>
                <w:sz w:val="16"/>
                <w:szCs w:val="16"/>
              </w:rPr>
              <w:t>O</w:t>
            </w:r>
          </w:p>
        </w:tc>
        <w:tc>
          <w:tcPr>
            <w:tcW w:w="431"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F229A7" w:rsidRPr="00CA0AE3" w:rsidRDefault="00F229A7" w:rsidP="00E17D45">
            <w:pPr>
              <w:spacing w:after="0" w:line="240" w:lineRule="auto"/>
              <w:jc w:val="center"/>
              <w:rPr>
                <w:b/>
                <w:sz w:val="16"/>
                <w:szCs w:val="16"/>
              </w:rPr>
            </w:pPr>
            <w:r w:rsidRPr="00CA0AE3">
              <w:rPr>
                <w:b/>
                <w:sz w:val="16"/>
                <w:szCs w:val="16"/>
              </w:rPr>
              <w:t>O</w:t>
            </w:r>
          </w:p>
        </w:tc>
        <w:tc>
          <w:tcPr>
            <w:tcW w:w="567" w:type="pct"/>
            <w:tcBorders>
              <w:top w:val="single" w:sz="8" w:space="0" w:color="000000"/>
              <w:left w:val="single" w:sz="8" w:space="0" w:color="000000"/>
              <w:bottom w:val="single" w:sz="8" w:space="0" w:color="000000"/>
              <w:right w:val="single" w:sz="8" w:space="0" w:color="000000"/>
            </w:tcBorders>
            <w:vAlign w:val="center"/>
          </w:tcPr>
          <w:p w:rsidR="00F229A7" w:rsidRPr="00CA0AE3" w:rsidRDefault="00F229A7" w:rsidP="00B3615C">
            <w:pPr>
              <w:spacing w:after="0" w:line="240" w:lineRule="auto"/>
              <w:rPr>
                <w:rFonts w:eastAsia="Times New Roman"/>
                <w:sz w:val="16"/>
                <w:szCs w:val="16"/>
              </w:rPr>
            </w:pPr>
            <w:r w:rsidRPr="00CA0AE3">
              <w:rPr>
                <w:rFonts w:eastAsia="Times New Roman"/>
                <w:sz w:val="16"/>
                <w:szCs w:val="16"/>
              </w:rPr>
              <w:t xml:space="preserve">Target reflects roll-out implementation </w:t>
            </w:r>
            <w:r w:rsidRPr="00CA0AE3">
              <w:rPr>
                <w:sz w:val="16"/>
                <w:szCs w:val="16"/>
              </w:rPr>
              <w:t>and capacity for new workflows.</w:t>
            </w:r>
          </w:p>
        </w:tc>
      </w:tr>
      <w:tr w:rsidR="00CA6A65" w:rsidRPr="00CA0AE3" w:rsidTr="00945D5E">
        <w:trPr>
          <w:cantSplit/>
        </w:trPr>
        <w:tc>
          <w:tcPr>
            <w:tcW w:w="108" w:type="pct"/>
            <w:tcBorders>
              <w:top w:val="single" w:sz="8" w:space="0" w:color="000000"/>
              <w:left w:val="single" w:sz="8" w:space="0" w:color="000000"/>
              <w:bottom w:val="single" w:sz="8" w:space="0" w:color="000000"/>
              <w:right w:val="single" w:sz="8" w:space="0" w:color="000000"/>
            </w:tcBorders>
            <w:vAlign w:val="center"/>
          </w:tcPr>
          <w:p w:rsidR="00BD1E7F" w:rsidRPr="00CA0AE3" w:rsidRDefault="00BD1E7F" w:rsidP="00E17D45">
            <w:pPr>
              <w:spacing w:after="0" w:line="240" w:lineRule="auto"/>
              <w:rPr>
                <w:rFonts w:eastAsia="Times New Roman"/>
                <w:sz w:val="16"/>
                <w:szCs w:val="16"/>
              </w:rPr>
            </w:pPr>
          </w:p>
        </w:tc>
        <w:tc>
          <w:tcPr>
            <w:tcW w:w="722" w:type="pct"/>
            <w:tcBorders>
              <w:top w:val="single" w:sz="8" w:space="0" w:color="000000"/>
              <w:left w:val="single" w:sz="8" w:space="0" w:color="000000"/>
              <w:bottom w:val="single" w:sz="8" w:space="0" w:color="000000"/>
              <w:right w:val="single" w:sz="8" w:space="0" w:color="000000"/>
            </w:tcBorders>
            <w:vAlign w:val="center"/>
          </w:tcPr>
          <w:p w:rsidR="00BD1E7F" w:rsidRPr="00CA0AE3" w:rsidRDefault="00BD1E7F" w:rsidP="00E17D45">
            <w:pPr>
              <w:spacing w:after="0" w:line="240" w:lineRule="auto"/>
              <w:rPr>
                <w:rFonts w:eastAsia="Times New Roman"/>
                <w:b/>
                <w:sz w:val="16"/>
                <w:szCs w:val="16"/>
              </w:rPr>
            </w:pPr>
            <w:r w:rsidRPr="00CA0AE3">
              <w:rPr>
                <w:b/>
                <w:sz w:val="16"/>
                <w:szCs w:val="16"/>
              </w:rPr>
              <w:t>Hypertension (HTN)</w:t>
            </w:r>
          </w:p>
        </w:tc>
        <w:tc>
          <w:tcPr>
            <w:tcW w:w="431" w:type="pct"/>
            <w:tcBorders>
              <w:top w:val="single" w:sz="8" w:space="0" w:color="000000"/>
              <w:left w:val="single" w:sz="8" w:space="0" w:color="000000"/>
              <w:bottom w:val="single" w:sz="8" w:space="0" w:color="000000"/>
              <w:right w:val="single" w:sz="8" w:space="0" w:color="000000"/>
            </w:tcBorders>
            <w:vAlign w:val="center"/>
          </w:tcPr>
          <w:p w:rsidR="00BD1E7F" w:rsidRPr="00CA0AE3" w:rsidRDefault="00BD1E7F" w:rsidP="00E17D45">
            <w:pPr>
              <w:spacing w:after="0" w:line="240" w:lineRule="auto"/>
              <w:rPr>
                <w:rFonts w:eastAsia="Times New Roman"/>
                <w:b/>
                <w:sz w:val="16"/>
                <w:szCs w:val="16"/>
              </w:rPr>
            </w:pPr>
          </w:p>
        </w:tc>
        <w:tc>
          <w:tcPr>
            <w:tcW w:w="463" w:type="pct"/>
            <w:tcBorders>
              <w:top w:val="single" w:sz="8" w:space="0" w:color="000000"/>
              <w:left w:val="single" w:sz="8" w:space="0" w:color="000000"/>
              <w:bottom w:val="single" w:sz="8" w:space="0" w:color="000000"/>
              <w:right w:val="single" w:sz="8" w:space="0" w:color="000000"/>
            </w:tcBorders>
            <w:vAlign w:val="center"/>
          </w:tcPr>
          <w:p w:rsidR="00BD1E7F" w:rsidRPr="00CA0AE3" w:rsidRDefault="00BD1E7F" w:rsidP="00E17D45">
            <w:pPr>
              <w:spacing w:after="0" w:line="240" w:lineRule="auto"/>
              <w:rPr>
                <w:rFonts w:eastAsia="Times New Roman"/>
                <w:b/>
                <w:sz w:val="16"/>
                <w:szCs w:val="16"/>
              </w:rPr>
            </w:pPr>
          </w:p>
        </w:tc>
        <w:tc>
          <w:tcPr>
            <w:tcW w:w="560" w:type="pct"/>
            <w:tcBorders>
              <w:top w:val="single" w:sz="8" w:space="0" w:color="000000"/>
              <w:left w:val="single" w:sz="8" w:space="0" w:color="000000"/>
              <w:bottom w:val="single" w:sz="8" w:space="0" w:color="000000"/>
              <w:right w:val="single" w:sz="8" w:space="0" w:color="000000"/>
            </w:tcBorders>
            <w:vAlign w:val="center"/>
          </w:tcPr>
          <w:p w:rsidR="00BD1E7F" w:rsidRPr="00CA0AE3" w:rsidRDefault="00BD1E7F" w:rsidP="00E17D45">
            <w:pPr>
              <w:spacing w:after="0" w:line="240" w:lineRule="auto"/>
              <w:rPr>
                <w:rFonts w:eastAsia="Times New Roman"/>
                <w:b/>
                <w:sz w:val="16"/>
                <w:szCs w:val="16"/>
              </w:rPr>
            </w:pPr>
          </w:p>
        </w:tc>
        <w:tc>
          <w:tcPr>
            <w:tcW w:w="398" w:type="pct"/>
            <w:tcBorders>
              <w:top w:val="single" w:sz="8" w:space="0" w:color="000000"/>
              <w:left w:val="single" w:sz="8" w:space="0" w:color="000000"/>
              <w:bottom w:val="single" w:sz="8" w:space="0" w:color="000000"/>
              <w:right w:val="single" w:sz="8" w:space="0" w:color="000000"/>
            </w:tcBorders>
            <w:vAlign w:val="center"/>
          </w:tcPr>
          <w:p w:rsidR="00BD1E7F" w:rsidRPr="00CA0AE3" w:rsidRDefault="00BD1E7F" w:rsidP="00E17D45">
            <w:pPr>
              <w:spacing w:after="0" w:line="240" w:lineRule="auto"/>
              <w:rPr>
                <w:rFonts w:eastAsia="Times New Roman"/>
                <w:b/>
                <w:sz w:val="16"/>
                <w:szCs w:val="16"/>
              </w:rPr>
            </w:pPr>
          </w:p>
        </w:tc>
        <w:tc>
          <w:tcPr>
            <w:tcW w:w="463" w:type="pct"/>
            <w:tcBorders>
              <w:top w:val="single" w:sz="8" w:space="0" w:color="000000"/>
              <w:left w:val="single" w:sz="8" w:space="0" w:color="000000"/>
              <w:bottom w:val="single" w:sz="8" w:space="0" w:color="000000"/>
              <w:right w:val="single" w:sz="8" w:space="0" w:color="000000"/>
            </w:tcBorders>
            <w:vAlign w:val="center"/>
          </w:tcPr>
          <w:p w:rsidR="00BD1E7F" w:rsidRPr="00CA0AE3" w:rsidRDefault="00BD1E7F" w:rsidP="00E17D45">
            <w:pPr>
              <w:spacing w:after="0" w:line="240" w:lineRule="auto"/>
              <w:rPr>
                <w:rFonts w:eastAsia="Times New Roman"/>
                <w:b/>
                <w:sz w:val="16"/>
                <w:szCs w:val="16"/>
              </w:rPr>
            </w:pPr>
          </w:p>
        </w:tc>
        <w:tc>
          <w:tcPr>
            <w:tcW w:w="426" w:type="pct"/>
            <w:tcBorders>
              <w:top w:val="single" w:sz="8" w:space="0" w:color="000000"/>
              <w:left w:val="single" w:sz="8" w:space="0" w:color="000000"/>
              <w:bottom w:val="single" w:sz="8" w:space="0" w:color="000000"/>
              <w:right w:val="single" w:sz="8" w:space="0" w:color="000000"/>
            </w:tcBorders>
            <w:vAlign w:val="center"/>
          </w:tcPr>
          <w:p w:rsidR="00BD1E7F" w:rsidRPr="00CA0AE3" w:rsidRDefault="00BD1E7F" w:rsidP="00E17D45">
            <w:pPr>
              <w:spacing w:after="0" w:line="240" w:lineRule="auto"/>
              <w:rPr>
                <w:rFonts w:eastAsia="Times New Roman"/>
                <w:b/>
                <w:sz w:val="16"/>
                <w:szCs w:val="16"/>
              </w:rPr>
            </w:pPr>
          </w:p>
        </w:tc>
        <w:tc>
          <w:tcPr>
            <w:tcW w:w="431" w:type="pct"/>
            <w:tcBorders>
              <w:top w:val="single" w:sz="8" w:space="0" w:color="000000"/>
              <w:left w:val="single" w:sz="8" w:space="0" w:color="000000"/>
              <w:bottom w:val="single" w:sz="8" w:space="0" w:color="000000"/>
              <w:right w:val="single" w:sz="8" w:space="0" w:color="000000"/>
            </w:tcBorders>
            <w:vAlign w:val="center"/>
          </w:tcPr>
          <w:p w:rsidR="00BD1E7F" w:rsidRPr="00CA0AE3" w:rsidRDefault="00BD1E7F" w:rsidP="00E17D45">
            <w:pPr>
              <w:spacing w:after="0" w:line="240" w:lineRule="auto"/>
              <w:rPr>
                <w:rFonts w:eastAsia="Times New Roman"/>
                <w:b/>
                <w:sz w:val="16"/>
                <w:szCs w:val="16"/>
              </w:rPr>
            </w:pPr>
          </w:p>
        </w:tc>
        <w:tc>
          <w:tcPr>
            <w:tcW w:w="431" w:type="pct"/>
            <w:tcBorders>
              <w:top w:val="single" w:sz="8" w:space="0" w:color="000000"/>
              <w:left w:val="single" w:sz="8" w:space="0" w:color="000000"/>
              <w:bottom w:val="single" w:sz="8" w:space="0" w:color="000000"/>
              <w:right w:val="single" w:sz="8" w:space="0" w:color="000000"/>
            </w:tcBorders>
            <w:vAlign w:val="center"/>
          </w:tcPr>
          <w:p w:rsidR="00BD1E7F" w:rsidRPr="00CA0AE3" w:rsidRDefault="00BD1E7F" w:rsidP="00E17D45">
            <w:pPr>
              <w:spacing w:after="0" w:line="240" w:lineRule="auto"/>
              <w:rPr>
                <w:rFonts w:eastAsia="Times New Roman"/>
                <w:b/>
                <w:sz w:val="16"/>
                <w:szCs w:val="16"/>
              </w:rPr>
            </w:pPr>
          </w:p>
        </w:tc>
        <w:tc>
          <w:tcPr>
            <w:tcW w:w="567" w:type="pct"/>
            <w:tcBorders>
              <w:top w:val="single" w:sz="8" w:space="0" w:color="000000"/>
              <w:left w:val="single" w:sz="8" w:space="0" w:color="000000"/>
              <w:bottom w:val="single" w:sz="8" w:space="0" w:color="000000"/>
              <w:right w:val="single" w:sz="8" w:space="0" w:color="000000"/>
            </w:tcBorders>
            <w:vAlign w:val="center"/>
          </w:tcPr>
          <w:p w:rsidR="00BD1E7F" w:rsidRPr="00CA0AE3" w:rsidRDefault="00BD1E7F" w:rsidP="00B3615C">
            <w:pPr>
              <w:spacing w:after="0" w:line="240" w:lineRule="auto"/>
              <w:rPr>
                <w:rFonts w:eastAsia="Times New Roman"/>
                <w:b/>
                <w:sz w:val="16"/>
                <w:szCs w:val="16"/>
              </w:rPr>
            </w:pPr>
          </w:p>
        </w:tc>
      </w:tr>
      <w:tr w:rsidR="00CA6A65" w:rsidRPr="00CA0AE3" w:rsidTr="00945D5E">
        <w:trPr>
          <w:cantSplit/>
        </w:trPr>
        <w:tc>
          <w:tcPr>
            <w:tcW w:w="108" w:type="pct"/>
            <w:tcBorders>
              <w:top w:val="single" w:sz="8" w:space="0" w:color="000000"/>
              <w:left w:val="single" w:sz="8" w:space="0" w:color="000000"/>
              <w:bottom w:val="single" w:sz="8" w:space="0" w:color="000000"/>
              <w:right w:val="single" w:sz="8" w:space="0" w:color="000000"/>
            </w:tcBorders>
            <w:vAlign w:val="center"/>
          </w:tcPr>
          <w:p w:rsidR="00F229A7" w:rsidRPr="00CA0AE3" w:rsidRDefault="00443B4B" w:rsidP="00E17D45">
            <w:pPr>
              <w:pStyle w:val="Default"/>
              <w:jc w:val="center"/>
              <w:rPr>
                <w:color w:val="auto"/>
                <w:sz w:val="16"/>
                <w:szCs w:val="16"/>
              </w:rPr>
            </w:pPr>
            <w:r w:rsidRPr="00CA0AE3">
              <w:rPr>
                <w:color w:val="auto"/>
                <w:sz w:val="16"/>
                <w:szCs w:val="16"/>
              </w:rPr>
              <w:lastRenderedPageBreak/>
              <w:t>9</w:t>
            </w:r>
          </w:p>
        </w:tc>
        <w:tc>
          <w:tcPr>
            <w:tcW w:w="722"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F229A7" w:rsidRPr="00CA0AE3" w:rsidRDefault="00F229A7" w:rsidP="00E17D45">
            <w:pPr>
              <w:autoSpaceDE w:val="0"/>
              <w:autoSpaceDN w:val="0"/>
              <w:adjustRightInd w:val="0"/>
              <w:spacing w:after="0" w:line="240" w:lineRule="auto"/>
              <w:rPr>
                <w:sz w:val="16"/>
                <w:szCs w:val="16"/>
              </w:rPr>
            </w:pPr>
            <w:r w:rsidRPr="00CA0AE3">
              <w:rPr>
                <w:sz w:val="16"/>
                <w:szCs w:val="16"/>
              </w:rPr>
              <w:t>Percentage of high risk hypertensive primary care patients receiving enhanced hypertension management services, including nursing-led patient</w:t>
            </w:r>
          </w:p>
          <w:p w:rsidR="00F229A7" w:rsidRPr="00CA0AE3" w:rsidRDefault="00F229A7" w:rsidP="00E17D45">
            <w:pPr>
              <w:pStyle w:val="Default"/>
              <w:rPr>
                <w:color w:val="auto"/>
                <w:sz w:val="16"/>
                <w:szCs w:val="16"/>
              </w:rPr>
            </w:pPr>
            <w:proofErr w:type="gramStart"/>
            <w:r w:rsidRPr="00CA0AE3">
              <w:rPr>
                <w:color w:val="auto"/>
                <w:sz w:val="16"/>
                <w:szCs w:val="16"/>
              </w:rPr>
              <w:t>education</w:t>
            </w:r>
            <w:proofErr w:type="gramEnd"/>
            <w:r w:rsidRPr="00CA0AE3">
              <w:rPr>
                <w:color w:val="auto"/>
                <w:sz w:val="16"/>
                <w:szCs w:val="16"/>
              </w:rPr>
              <w:t xml:space="preserve"> and self-management coaching, pharmacist-led medication management services, or other care team member support.</w:t>
            </w:r>
          </w:p>
        </w:tc>
        <w:tc>
          <w:tcPr>
            <w:tcW w:w="431"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F229A7" w:rsidRPr="00CA0AE3" w:rsidRDefault="00F229A7" w:rsidP="00E17D45">
            <w:pPr>
              <w:spacing w:after="0" w:line="240" w:lineRule="auto"/>
              <w:jc w:val="center"/>
              <w:rPr>
                <w:sz w:val="16"/>
                <w:szCs w:val="16"/>
              </w:rPr>
            </w:pPr>
            <w:r w:rsidRPr="00CA0AE3">
              <w:rPr>
                <w:sz w:val="16"/>
                <w:szCs w:val="16"/>
              </w:rPr>
              <w:t>Customized Measure</w:t>
            </w:r>
          </w:p>
        </w:tc>
        <w:tc>
          <w:tcPr>
            <w:tcW w:w="463"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F229A7" w:rsidRPr="00CA0AE3" w:rsidRDefault="00F229A7" w:rsidP="00E17D45">
            <w:pPr>
              <w:spacing w:after="0" w:line="240" w:lineRule="auto"/>
              <w:jc w:val="center"/>
              <w:rPr>
                <w:sz w:val="16"/>
                <w:szCs w:val="16"/>
              </w:rPr>
            </w:pPr>
            <w:r w:rsidRPr="00CA0AE3">
              <w:rPr>
                <w:sz w:val="16"/>
                <w:szCs w:val="16"/>
              </w:rPr>
              <w:t>No external benchmark; hospital specific improvement</w:t>
            </w:r>
          </w:p>
          <w:p w:rsidR="00F229A7" w:rsidRPr="00CA0AE3" w:rsidRDefault="00F229A7" w:rsidP="00E17D45">
            <w:pPr>
              <w:spacing w:after="0" w:line="240" w:lineRule="auto"/>
              <w:jc w:val="center"/>
              <w:rPr>
                <w:sz w:val="16"/>
                <w:szCs w:val="16"/>
              </w:rPr>
            </w:pPr>
            <w:r w:rsidRPr="00CA0AE3">
              <w:rPr>
                <w:sz w:val="16"/>
                <w:szCs w:val="16"/>
              </w:rPr>
              <w:t>target</w:t>
            </w:r>
          </w:p>
        </w:tc>
        <w:tc>
          <w:tcPr>
            <w:tcW w:w="560"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F229A7" w:rsidRPr="00CA0AE3" w:rsidRDefault="00F229A7" w:rsidP="00E17D45">
            <w:pPr>
              <w:pStyle w:val="Default"/>
              <w:jc w:val="center"/>
              <w:rPr>
                <w:color w:val="auto"/>
                <w:sz w:val="16"/>
                <w:szCs w:val="16"/>
              </w:rPr>
            </w:pPr>
            <w:r w:rsidRPr="00CA0AE3">
              <w:rPr>
                <w:color w:val="auto"/>
                <w:sz w:val="16"/>
                <w:szCs w:val="16"/>
              </w:rPr>
              <w:t>Improvement over SFY 2018 baseline</w:t>
            </w:r>
          </w:p>
          <w:p w:rsidR="00F229A7" w:rsidRPr="00CA0AE3" w:rsidRDefault="00F229A7" w:rsidP="00E17D45">
            <w:pPr>
              <w:pStyle w:val="Default"/>
              <w:jc w:val="center"/>
              <w:rPr>
                <w:color w:val="auto"/>
                <w:sz w:val="16"/>
                <w:szCs w:val="16"/>
              </w:rPr>
            </w:pPr>
          </w:p>
          <w:p w:rsidR="00F229A7" w:rsidRPr="00CA0AE3" w:rsidRDefault="00F229A7" w:rsidP="00E17D45">
            <w:pPr>
              <w:pStyle w:val="Default"/>
              <w:rPr>
                <w:color w:val="auto"/>
                <w:sz w:val="16"/>
                <w:szCs w:val="16"/>
              </w:rPr>
            </w:pPr>
            <w:r w:rsidRPr="00CA0AE3">
              <w:rPr>
                <w:color w:val="auto"/>
                <w:sz w:val="16"/>
                <w:szCs w:val="16"/>
              </w:rPr>
              <w:t>SFY 19: Improve 2% over SFY 2018 baseline</w:t>
            </w:r>
          </w:p>
          <w:p w:rsidR="00F229A7" w:rsidRPr="00CA0AE3" w:rsidRDefault="00F229A7" w:rsidP="00E17D45">
            <w:pPr>
              <w:pStyle w:val="Default"/>
              <w:rPr>
                <w:color w:val="auto"/>
                <w:sz w:val="16"/>
                <w:szCs w:val="16"/>
              </w:rPr>
            </w:pPr>
            <w:r w:rsidRPr="00CA0AE3">
              <w:rPr>
                <w:color w:val="auto"/>
                <w:sz w:val="16"/>
                <w:szCs w:val="16"/>
              </w:rPr>
              <w:t>SFY 20:  Improve 4% over SFY 2018 baseline</w:t>
            </w:r>
          </w:p>
          <w:p w:rsidR="00F229A7" w:rsidRPr="00CA0AE3" w:rsidRDefault="00F229A7" w:rsidP="00E17D45">
            <w:pPr>
              <w:pStyle w:val="Default"/>
              <w:rPr>
                <w:color w:val="auto"/>
                <w:sz w:val="16"/>
                <w:szCs w:val="16"/>
              </w:rPr>
            </w:pPr>
            <w:r w:rsidRPr="00CA0AE3">
              <w:rPr>
                <w:color w:val="auto"/>
                <w:sz w:val="16"/>
                <w:szCs w:val="16"/>
              </w:rPr>
              <w:t>SFY 21:  Improve 6% over SFY 2018 baseline</w:t>
            </w:r>
          </w:p>
          <w:p w:rsidR="00F229A7" w:rsidRPr="00CA0AE3" w:rsidRDefault="00F229A7" w:rsidP="00E17D45">
            <w:pPr>
              <w:pStyle w:val="Default"/>
              <w:rPr>
                <w:color w:val="auto"/>
                <w:sz w:val="16"/>
                <w:szCs w:val="16"/>
              </w:rPr>
            </w:pPr>
            <w:r w:rsidRPr="00CA0AE3">
              <w:rPr>
                <w:color w:val="auto"/>
                <w:sz w:val="16"/>
                <w:szCs w:val="16"/>
              </w:rPr>
              <w:t>SFY 22:  Improve 8% over SFY 2018 baseline</w:t>
            </w:r>
          </w:p>
        </w:tc>
        <w:tc>
          <w:tcPr>
            <w:tcW w:w="398"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F229A7" w:rsidRPr="00CA0AE3" w:rsidRDefault="00F229A7" w:rsidP="00E17D45">
            <w:pPr>
              <w:spacing w:after="0" w:line="240" w:lineRule="auto"/>
              <w:jc w:val="center"/>
              <w:rPr>
                <w:b/>
                <w:sz w:val="16"/>
                <w:szCs w:val="16"/>
              </w:rPr>
            </w:pPr>
            <w:r w:rsidRPr="00CA0AE3">
              <w:rPr>
                <w:b/>
                <w:sz w:val="16"/>
                <w:szCs w:val="16"/>
              </w:rPr>
              <w:t>B</w:t>
            </w:r>
          </w:p>
        </w:tc>
        <w:tc>
          <w:tcPr>
            <w:tcW w:w="463"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F229A7" w:rsidRPr="00CA0AE3" w:rsidRDefault="00F229A7" w:rsidP="00E17D45">
            <w:pPr>
              <w:spacing w:after="0" w:line="240" w:lineRule="auto"/>
              <w:jc w:val="center"/>
              <w:rPr>
                <w:b/>
                <w:sz w:val="16"/>
                <w:szCs w:val="16"/>
              </w:rPr>
            </w:pPr>
            <w:r w:rsidRPr="00CA0AE3">
              <w:rPr>
                <w:b/>
                <w:sz w:val="16"/>
                <w:szCs w:val="16"/>
              </w:rPr>
              <w:t>O</w:t>
            </w:r>
          </w:p>
        </w:tc>
        <w:tc>
          <w:tcPr>
            <w:tcW w:w="426"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F229A7" w:rsidRPr="00CA0AE3" w:rsidRDefault="00F229A7" w:rsidP="00E17D45">
            <w:pPr>
              <w:spacing w:after="0" w:line="240" w:lineRule="auto"/>
              <w:jc w:val="center"/>
              <w:rPr>
                <w:b/>
                <w:sz w:val="16"/>
                <w:szCs w:val="16"/>
              </w:rPr>
            </w:pPr>
            <w:r w:rsidRPr="00CA0AE3">
              <w:rPr>
                <w:b/>
                <w:sz w:val="16"/>
                <w:szCs w:val="16"/>
              </w:rPr>
              <w:t>O</w:t>
            </w:r>
          </w:p>
        </w:tc>
        <w:tc>
          <w:tcPr>
            <w:tcW w:w="431"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F229A7" w:rsidRPr="00CA0AE3" w:rsidRDefault="00F229A7" w:rsidP="00E17D45">
            <w:pPr>
              <w:spacing w:after="0" w:line="240" w:lineRule="auto"/>
              <w:jc w:val="center"/>
              <w:rPr>
                <w:b/>
                <w:sz w:val="16"/>
                <w:szCs w:val="16"/>
              </w:rPr>
            </w:pPr>
            <w:r w:rsidRPr="00CA0AE3">
              <w:rPr>
                <w:b/>
                <w:sz w:val="16"/>
                <w:szCs w:val="16"/>
              </w:rPr>
              <w:t>O</w:t>
            </w:r>
          </w:p>
        </w:tc>
        <w:tc>
          <w:tcPr>
            <w:tcW w:w="431"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F229A7" w:rsidRPr="00CA0AE3" w:rsidRDefault="00F229A7" w:rsidP="00E17D45">
            <w:pPr>
              <w:spacing w:after="0" w:line="240" w:lineRule="auto"/>
              <w:jc w:val="center"/>
              <w:rPr>
                <w:b/>
                <w:sz w:val="16"/>
                <w:szCs w:val="16"/>
              </w:rPr>
            </w:pPr>
            <w:r w:rsidRPr="00CA0AE3">
              <w:rPr>
                <w:b/>
                <w:sz w:val="16"/>
                <w:szCs w:val="16"/>
              </w:rPr>
              <w:t>O</w:t>
            </w:r>
          </w:p>
        </w:tc>
        <w:tc>
          <w:tcPr>
            <w:tcW w:w="567" w:type="pct"/>
            <w:tcBorders>
              <w:top w:val="single" w:sz="8" w:space="0" w:color="000000"/>
              <w:left w:val="single" w:sz="8" w:space="0" w:color="000000"/>
              <w:bottom w:val="single" w:sz="8" w:space="0" w:color="000000"/>
              <w:right w:val="single" w:sz="8" w:space="0" w:color="000000"/>
            </w:tcBorders>
            <w:vAlign w:val="center"/>
          </w:tcPr>
          <w:p w:rsidR="00F229A7" w:rsidRPr="00CA0AE3" w:rsidRDefault="00F229A7" w:rsidP="00B3615C">
            <w:pPr>
              <w:spacing w:after="0" w:line="240" w:lineRule="auto"/>
              <w:rPr>
                <w:rFonts w:eastAsia="Times New Roman"/>
                <w:sz w:val="16"/>
                <w:szCs w:val="16"/>
              </w:rPr>
            </w:pPr>
            <w:r w:rsidRPr="00CA0AE3">
              <w:rPr>
                <w:rFonts w:eastAsia="Times New Roman"/>
                <w:sz w:val="16"/>
                <w:szCs w:val="16"/>
              </w:rPr>
              <w:t xml:space="preserve">Target reflects roll-out implementation </w:t>
            </w:r>
            <w:r w:rsidRPr="00CA0AE3">
              <w:rPr>
                <w:sz w:val="16"/>
                <w:szCs w:val="16"/>
              </w:rPr>
              <w:t>and capacity for new workflows.</w:t>
            </w:r>
          </w:p>
        </w:tc>
      </w:tr>
      <w:tr w:rsidR="00CA6A65" w:rsidRPr="00CA0AE3" w:rsidTr="00945D5E">
        <w:trPr>
          <w:cantSplit/>
        </w:trPr>
        <w:tc>
          <w:tcPr>
            <w:tcW w:w="108" w:type="pct"/>
            <w:tcBorders>
              <w:top w:val="single" w:sz="8" w:space="0" w:color="000000"/>
              <w:left w:val="single" w:sz="8" w:space="0" w:color="000000"/>
              <w:bottom w:val="single" w:sz="8" w:space="0" w:color="000000"/>
              <w:right w:val="single" w:sz="8" w:space="0" w:color="000000"/>
            </w:tcBorders>
            <w:vAlign w:val="center"/>
          </w:tcPr>
          <w:p w:rsidR="00BD1E7F" w:rsidRPr="00CA0AE3" w:rsidRDefault="00BD1E7F" w:rsidP="00E17D45">
            <w:pPr>
              <w:spacing w:after="0" w:line="240" w:lineRule="auto"/>
              <w:rPr>
                <w:rFonts w:eastAsia="Times New Roman"/>
                <w:sz w:val="16"/>
                <w:szCs w:val="16"/>
              </w:rPr>
            </w:pPr>
          </w:p>
        </w:tc>
        <w:tc>
          <w:tcPr>
            <w:tcW w:w="722" w:type="pct"/>
            <w:tcBorders>
              <w:top w:val="single" w:sz="8" w:space="0" w:color="000000"/>
              <w:left w:val="single" w:sz="8" w:space="0" w:color="000000"/>
              <w:bottom w:val="single" w:sz="8" w:space="0" w:color="000000"/>
              <w:right w:val="single" w:sz="8" w:space="0" w:color="000000"/>
            </w:tcBorders>
            <w:vAlign w:val="center"/>
          </w:tcPr>
          <w:p w:rsidR="00BD1E7F" w:rsidRPr="00CA0AE3" w:rsidRDefault="00BD1E7F" w:rsidP="00E17D45">
            <w:pPr>
              <w:spacing w:after="0" w:line="240" w:lineRule="auto"/>
              <w:rPr>
                <w:rFonts w:eastAsia="Times New Roman"/>
                <w:b/>
                <w:sz w:val="16"/>
                <w:szCs w:val="16"/>
              </w:rPr>
            </w:pPr>
            <w:r w:rsidRPr="00CA0AE3">
              <w:rPr>
                <w:b/>
                <w:sz w:val="16"/>
                <w:szCs w:val="16"/>
              </w:rPr>
              <w:t>Composite Measures</w:t>
            </w:r>
          </w:p>
        </w:tc>
        <w:tc>
          <w:tcPr>
            <w:tcW w:w="431" w:type="pct"/>
            <w:tcBorders>
              <w:top w:val="single" w:sz="8" w:space="0" w:color="000000"/>
              <w:left w:val="single" w:sz="8" w:space="0" w:color="000000"/>
              <w:bottom w:val="single" w:sz="8" w:space="0" w:color="000000"/>
              <w:right w:val="single" w:sz="8" w:space="0" w:color="000000"/>
            </w:tcBorders>
            <w:vAlign w:val="center"/>
          </w:tcPr>
          <w:p w:rsidR="00BD1E7F" w:rsidRPr="00CA0AE3" w:rsidRDefault="00BD1E7F" w:rsidP="00E17D45">
            <w:pPr>
              <w:spacing w:after="0" w:line="240" w:lineRule="auto"/>
              <w:rPr>
                <w:rFonts w:eastAsia="Times New Roman"/>
                <w:b/>
                <w:sz w:val="16"/>
                <w:szCs w:val="16"/>
              </w:rPr>
            </w:pPr>
          </w:p>
        </w:tc>
        <w:tc>
          <w:tcPr>
            <w:tcW w:w="463" w:type="pct"/>
            <w:tcBorders>
              <w:top w:val="single" w:sz="8" w:space="0" w:color="000000"/>
              <w:left w:val="single" w:sz="8" w:space="0" w:color="000000"/>
              <w:bottom w:val="single" w:sz="8" w:space="0" w:color="000000"/>
              <w:right w:val="single" w:sz="8" w:space="0" w:color="000000"/>
            </w:tcBorders>
            <w:vAlign w:val="center"/>
          </w:tcPr>
          <w:p w:rsidR="00BD1E7F" w:rsidRPr="00CA0AE3" w:rsidRDefault="00BD1E7F" w:rsidP="00E17D45">
            <w:pPr>
              <w:spacing w:after="0" w:line="240" w:lineRule="auto"/>
              <w:rPr>
                <w:rFonts w:eastAsia="Times New Roman"/>
                <w:b/>
                <w:sz w:val="16"/>
                <w:szCs w:val="16"/>
              </w:rPr>
            </w:pPr>
          </w:p>
        </w:tc>
        <w:tc>
          <w:tcPr>
            <w:tcW w:w="560" w:type="pct"/>
            <w:tcBorders>
              <w:top w:val="single" w:sz="8" w:space="0" w:color="000000"/>
              <w:left w:val="single" w:sz="8" w:space="0" w:color="000000"/>
              <w:bottom w:val="single" w:sz="8" w:space="0" w:color="000000"/>
              <w:right w:val="single" w:sz="8" w:space="0" w:color="000000"/>
            </w:tcBorders>
            <w:vAlign w:val="center"/>
          </w:tcPr>
          <w:p w:rsidR="00BD1E7F" w:rsidRPr="00CA0AE3" w:rsidRDefault="00BD1E7F" w:rsidP="00E17D45">
            <w:pPr>
              <w:spacing w:after="0" w:line="240" w:lineRule="auto"/>
              <w:rPr>
                <w:rFonts w:eastAsia="Times New Roman"/>
                <w:b/>
                <w:sz w:val="16"/>
                <w:szCs w:val="16"/>
              </w:rPr>
            </w:pPr>
          </w:p>
        </w:tc>
        <w:tc>
          <w:tcPr>
            <w:tcW w:w="398" w:type="pct"/>
            <w:tcBorders>
              <w:top w:val="single" w:sz="8" w:space="0" w:color="000000"/>
              <w:left w:val="single" w:sz="8" w:space="0" w:color="000000"/>
              <w:bottom w:val="single" w:sz="8" w:space="0" w:color="000000"/>
              <w:right w:val="single" w:sz="8" w:space="0" w:color="000000"/>
            </w:tcBorders>
            <w:vAlign w:val="center"/>
          </w:tcPr>
          <w:p w:rsidR="00BD1E7F" w:rsidRPr="00CA0AE3" w:rsidRDefault="00BD1E7F" w:rsidP="00E17D45">
            <w:pPr>
              <w:spacing w:after="0" w:line="240" w:lineRule="auto"/>
              <w:rPr>
                <w:rFonts w:eastAsia="Times New Roman"/>
                <w:b/>
                <w:sz w:val="16"/>
                <w:szCs w:val="16"/>
              </w:rPr>
            </w:pPr>
          </w:p>
        </w:tc>
        <w:tc>
          <w:tcPr>
            <w:tcW w:w="463" w:type="pct"/>
            <w:tcBorders>
              <w:top w:val="single" w:sz="8" w:space="0" w:color="000000"/>
              <w:left w:val="single" w:sz="8" w:space="0" w:color="000000"/>
              <w:bottom w:val="single" w:sz="8" w:space="0" w:color="000000"/>
              <w:right w:val="single" w:sz="8" w:space="0" w:color="000000"/>
            </w:tcBorders>
            <w:vAlign w:val="center"/>
          </w:tcPr>
          <w:p w:rsidR="00BD1E7F" w:rsidRPr="00CA0AE3" w:rsidRDefault="00BD1E7F" w:rsidP="00E17D45">
            <w:pPr>
              <w:spacing w:after="0" w:line="240" w:lineRule="auto"/>
              <w:rPr>
                <w:rFonts w:eastAsia="Times New Roman"/>
                <w:b/>
                <w:sz w:val="16"/>
                <w:szCs w:val="16"/>
              </w:rPr>
            </w:pPr>
          </w:p>
        </w:tc>
        <w:tc>
          <w:tcPr>
            <w:tcW w:w="426" w:type="pct"/>
            <w:tcBorders>
              <w:top w:val="single" w:sz="8" w:space="0" w:color="000000"/>
              <w:left w:val="single" w:sz="8" w:space="0" w:color="000000"/>
              <w:bottom w:val="single" w:sz="8" w:space="0" w:color="000000"/>
              <w:right w:val="single" w:sz="8" w:space="0" w:color="000000"/>
            </w:tcBorders>
            <w:vAlign w:val="center"/>
          </w:tcPr>
          <w:p w:rsidR="00BD1E7F" w:rsidRPr="00CA0AE3" w:rsidRDefault="00BD1E7F" w:rsidP="00E17D45">
            <w:pPr>
              <w:spacing w:after="0" w:line="240" w:lineRule="auto"/>
              <w:rPr>
                <w:rFonts w:eastAsia="Times New Roman"/>
                <w:b/>
                <w:sz w:val="16"/>
                <w:szCs w:val="16"/>
              </w:rPr>
            </w:pPr>
          </w:p>
        </w:tc>
        <w:tc>
          <w:tcPr>
            <w:tcW w:w="431" w:type="pct"/>
            <w:tcBorders>
              <w:top w:val="single" w:sz="8" w:space="0" w:color="000000"/>
              <w:left w:val="single" w:sz="8" w:space="0" w:color="000000"/>
              <w:bottom w:val="single" w:sz="8" w:space="0" w:color="000000"/>
              <w:right w:val="single" w:sz="8" w:space="0" w:color="000000"/>
            </w:tcBorders>
            <w:vAlign w:val="center"/>
          </w:tcPr>
          <w:p w:rsidR="00BD1E7F" w:rsidRPr="00CA0AE3" w:rsidRDefault="00BD1E7F" w:rsidP="00E17D45">
            <w:pPr>
              <w:spacing w:after="0" w:line="240" w:lineRule="auto"/>
              <w:rPr>
                <w:rFonts w:eastAsia="Times New Roman"/>
                <w:b/>
                <w:sz w:val="16"/>
                <w:szCs w:val="16"/>
              </w:rPr>
            </w:pPr>
          </w:p>
        </w:tc>
        <w:tc>
          <w:tcPr>
            <w:tcW w:w="431" w:type="pct"/>
            <w:tcBorders>
              <w:top w:val="single" w:sz="8" w:space="0" w:color="000000"/>
              <w:left w:val="single" w:sz="8" w:space="0" w:color="000000"/>
              <w:bottom w:val="single" w:sz="8" w:space="0" w:color="000000"/>
              <w:right w:val="single" w:sz="8" w:space="0" w:color="000000"/>
            </w:tcBorders>
            <w:vAlign w:val="center"/>
          </w:tcPr>
          <w:p w:rsidR="00BD1E7F" w:rsidRPr="00CA0AE3" w:rsidRDefault="00BD1E7F" w:rsidP="00E17D45">
            <w:pPr>
              <w:spacing w:after="0" w:line="240" w:lineRule="auto"/>
              <w:rPr>
                <w:rFonts w:eastAsia="Times New Roman"/>
                <w:b/>
                <w:sz w:val="16"/>
                <w:szCs w:val="16"/>
              </w:rPr>
            </w:pPr>
          </w:p>
        </w:tc>
        <w:tc>
          <w:tcPr>
            <w:tcW w:w="567" w:type="pct"/>
            <w:tcBorders>
              <w:top w:val="single" w:sz="8" w:space="0" w:color="000000"/>
              <w:left w:val="single" w:sz="8" w:space="0" w:color="000000"/>
              <w:bottom w:val="single" w:sz="8" w:space="0" w:color="000000"/>
              <w:right w:val="single" w:sz="8" w:space="0" w:color="000000"/>
            </w:tcBorders>
            <w:vAlign w:val="center"/>
          </w:tcPr>
          <w:p w:rsidR="00BD1E7F" w:rsidRPr="00CA0AE3" w:rsidRDefault="00BD1E7F" w:rsidP="00B3615C">
            <w:pPr>
              <w:spacing w:after="0" w:line="240" w:lineRule="auto"/>
              <w:rPr>
                <w:rFonts w:eastAsia="Times New Roman"/>
                <w:b/>
                <w:sz w:val="16"/>
                <w:szCs w:val="16"/>
              </w:rPr>
            </w:pPr>
          </w:p>
        </w:tc>
      </w:tr>
      <w:tr w:rsidR="00F229A7" w:rsidRPr="00CA0AE3" w:rsidTr="00945D5E">
        <w:trPr>
          <w:cantSplit/>
        </w:trPr>
        <w:tc>
          <w:tcPr>
            <w:tcW w:w="108" w:type="pct"/>
            <w:tcBorders>
              <w:top w:val="single" w:sz="8" w:space="0" w:color="000000"/>
              <w:left w:val="single" w:sz="8" w:space="0" w:color="000000"/>
              <w:bottom w:val="single" w:sz="8" w:space="0" w:color="000000"/>
              <w:right w:val="single" w:sz="8" w:space="0" w:color="000000"/>
            </w:tcBorders>
            <w:vAlign w:val="center"/>
          </w:tcPr>
          <w:p w:rsidR="00F229A7" w:rsidRPr="00CA0AE3" w:rsidRDefault="00F229A7" w:rsidP="00E17D45">
            <w:pPr>
              <w:pStyle w:val="Default"/>
              <w:rPr>
                <w:color w:val="auto"/>
                <w:sz w:val="16"/>
                <w:szCs w:val="16"/>
              </w:rPr>
            </w:pPr>
            <w:r w:rsidRPr="00CA0AE3">
              <w:rPr>
                <w:color w:val="auto"/>
                <w:sz w:val="16"/>
                <w:szCs w:val="16"/>
              </w:rPr>
              <w:t xml:space="preserve"> 1</w:t>
            </w:r>
            <w:r w:rsidR="002D394E" w:rsidRPr="00CA0AE3">
              <w:rPr>
                <w:color w:val="auto"/>
                <w:sz w:val="16"/>
                <w:szCs w:val="16"/>
              </w:rPr>
              <w:t>0</w:t>
            </w:r>
          </w:p>
        </w:tc>
        <w:tc>
          <w:tcPr>
            <w:tcW w:w="722"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tcPr>
          <w:p w:rsidR="00F229A7" w:rsidRPr="00CA0AE3" w:rsidRDefault="00F229A7" w:rsidP="00E17D45">
            <w:pPr>
              <w:pStyle w:val="Default"/>
              <w:rPr>
                <w:rFonts w:eastAsia="Cambria"/>
                <w:color w:val="auto"/>
                <w:sz w:val="16"/>
                <w:szCs w:val="16"/>
              </w:rPr>
            </w:pPr>
            <w:r w:rsidRPr="00CA0AE3">
              <w:rPr>
                <w:color w:val="auto"/>
                <w:sz w:val="16"/>
                <w:szCs w:val="16"/>
              </w:rPr>
              <w:t>Hospitalization Follow-up: The percentage of discharges for patients 18 years of age and older (with any of the following conditions  Diabetes, Hypertension  COPD, and/or CHF) who were discharged to home from public hospital’s medical/surgical inpatient services and who had an outpatient visit within 7 days or contact within 2 days with a care team member documented in EMR.</w:t>
            </w:r>
          </w:p>
        </w:tc>
        <w:tc>
          <w:tcPr>
            <w:tcW w:w="431"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F229A7" w:rsidRPr="00CA0AE3" w:rsidRDefault="00F229A7" w:rsidP="00E17D45">
            <w:pPr>
              <w:pStyle w:val="NoSpacing1"/>
              <w:jc w:val="center"/>
              <w:rPr>
                <w:rFonts w:ascii="Times New Roman" w:hAnsi="Times New Roman"/>
                <w:sz w:val="16"/>
                <w:szCs w:val="16"/>
              </w:rPr>
            </w:pPr>
            <w:r w:rsidRPr="00CA0AE3">
              <w:rPr>
                <w:rFonts w:ascii="Times New Roman" w:hAnsi="Times New Roman"/>
                <w:sz w:val="16"/>
                <w:szCs w:val="16"/>
              </w:rPr>
              <w:t>Customized Measure</w:t>
            </w:r>
          </w:p>
        </w:tc>
        <w:tc>
          <w:tcPr>
            <w:tcW w:w="463"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F229A7" w:rsidRPr="00CA0AE3" w:rsidRDefault="00F229A7" w:rsidP="00E17D45">
            <w:pPr>
              <w:spacing w:after="0" w:line="240" w:lineRule="auto"/>
              <w:jc w:val="center"/>
              <w:rPr>
                <w:sz w:val="16"/>
                <w:szCs w:val="16"/>
              </w:rPr>
            </w:pPr>
            <w:r w:rsidRPr="00CA0AE3">
              <w:rPr>
                <w:sz w:val="16"/>
                <w:szCs w:val="16"/>
              </w:rPr>
              <w:t>No external benchmark; hospital specific improvement</w:t>
            </w:r>
          </w:p>
          <w:p w:rsidR="00F229A7" w:rsidRPr="00CA0AE3" w:rsidRDefault="00F229A7" w:rsidP="00E17D45">
            <w:pPr>
              <w:pStyle w:val="Default"/>
              <w:jc w:val="center"/>
              <w:rPr>
                <w:color w:val="auto"/>
                <w:sz w:val="16"/>
                <w:szCs w:val="16"/>
              </w:rPr>
            </w:pPr>
            <w:r w:rsidRPr="00CA0AE3">
              <w:rPr>
                <w:color w:val="auto"/>
                <w:sz w:val="16"/>
                <w:szCs w:val="16"/>
              </w:rPr>
              <w:t>target = 80%</w:t>
            </w:r>
          </w:p>
          <w:p w:rsidR="00F229A7" w:rsidRPr="00CA0AE3" w:rsidRDefault="00F229A7" w:rsidP="00E17D45">
            <w:pPr>
              <w:spacing w:after="0" w:line="240" w:lineRule="auto"/>
              <w:jc w:val="center"/>
              <w:rPr>
                <w:sz w:val="16"/>
                <w:szCs w:val="16"/>
              </w:rPr>
            </w:pPr>
          </w:p>
        </w:tc>
        <w:tc>
          <w:tcPr>
            <w:tcW w:w="560"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F229A7" w:rsidRPr="00CA0AE3" w:rsidRDefault="00F229A7" w:rsidP="00E17D45">
            <w:pPr>
              <w:spacing w:after="0" w:line="240" w:lineRule="auto"/>
              <w:jc w:val="center"/>
              <w:rPr>
                <w:sz w:val="16"/>
                <w:szCs w:val="16"/>
              </w:rPr>
            </w:pPr>
            <w:r w:rsidRPr="00CA0AE3">
              <w:rPr>
                <w:sz w:val="16"/>
                <w:szCs w:val="16"/>
              </w:rPr>
              <w:t>Gap to Goal (10%) or attainment at target</w:t>
            </w:r>
          </w:p>
        </w:tc>
        <w:tc>
          <w:tcPr>
            <w:tcW w:w="398"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F229A7" w:rsidRPr="00CA0AE3" w:rsidRDefault="00F229A7" w:rsidP="00E17D45">
            <w:pPr>
              <w:spacing w:after="0" w:line="240" w:lineRule="auto"/>
              <w:jc w:val="center"/>
              <w:rPr>
                <w:b/>
                <w:sz w:val="16"/>
                <w:szCs w:val="16"/>
              </w:rPr>
            </w:pPr>
            <w:r w:rsidRPr="00CA0AE3">
              <w:rPr>
                <w:b/>
                <w:sz w:val="16"/>
                <w:szCs w:val="16"/>
              </w:rPr>
              <w:t>B</w:t>
            </w:r>
          </w:p>
        </w:tc>
        <w:tc>
          <w:tcPr>
            <w:tcW w:w="463"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F229A7" w:rsidRPr="00CA0AE3" w:rsidRDefault="00F229A7" w:rsidP="00E17D45">
            <w:pPr>
              <w:spacing w:after="0" w:line="240" w:lineRule="auto"/>
              <w:jc w:val="center"/>
              <w:rPr>
                <w:b/>
                <w:sz w:val="16"/>
                <w:szCs w:val="16"/>
              </w:rPr>
            </w:pPr>
            <w:r w:rsidRPr="00CA0AE3">
              <w:rPr>
                <w:b/>
                <w:sz w:val="16"/>
                <w:szCs w:val="16"/>
              </w:rPr>
              <w:t>O</w:t>
            </w:r>
          </w:p>
        </w:tc>
        <w:tc>
          <w:tcPr>
            <w:tcW w:w="426"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F229A7" w:rsidRPr="00CA0AE3" w:rsidRDefault="00F229A7" w:rsidP="00E17D45">
            <w:pPr>
              <w:spacing w:after="0" w:line="240" w:lineRule="auto"/>
              <w:jc w:val="center"/>
              <w:rPr>
                <w:b/>
                <w:sz w:val="16"/>
                <w:szCs w:val="16"/>
              </w:rPr>
            </w:pPr>
            <w:r w:rsidRPr="00CA0AE3">
              <w:rPr>
                <w:b/>
                <w:sz w:val="16"/>
                <w:szCs w:val="16"/>
              </w:rPr>
              <w:t>O</w:t>
            </w:r>
          </w:p>
        </w:tc>
        <w:tc>
          <w:tcPr>
            <w:tcW w:w="431"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F229A7" w:rsidRPr="00CA0AE3" w:rsidRDefault="00F229A7" w:rsidP="00E17D45">
            <w:pPr>
              <w:spacing w:after="0" w:line="240" w:lineRule="auto"/>
              <w:jc w:val="center"/>
              <w:rPr>
                <w:b/>
                <w:sz w:val="16"/>
                <w:szCs w:val="16"/>
              </w:rPr>
            </w:pPr>
            <w:r w:rsidRPr="00CA0AE3">
              <w:rPr>
                <w:b/>
                <w:sz w:val="16"/>
                <w:szCs w:val="16"/>
              </w:rPr>
              <w:t>O</w:t>
            </w:r>
          </w:p>
        </w:tc>
        <w:tc>
          <w:tcPr>
            <w:tcW w:w="431"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F229A7" w:rsidRPr="00CA0AE3" w:rsidRDefault="00F229A7" w:rsidP="00E17D45">
            <w:pPr>
              <w:spacing w:after="0" w:line="240" w:lineRule="auto"/>
              <w:jc w:val="center"/>
              <w:rPr>
                <w:b/>
                <w:sz w:val="16"/>
                <w:szCs w:val="16"/>
              </w:rPr>
            </w:pPr>
            <w:r w:rsidRPr="00CA0AE3">
              <w:rPr>
                <w:b/>
                <w:sz w:val="16"/>
                <w:szCs w:val="16"/>
              </w:rPr>
              <w:t>O</w:t>
            </w:r>
          </w:p>
        </w:tc>
        <w:tc>
          <w:tcPr>
            <w:tcW w:w="567" w:type="pct"/>
            <w:tcBorders>
              <w:top w:val="single" w:sz="8" w:space="0" w:color="000000"/>
              <w:left w:val="single" w:sz="8" w:space="0" w:color="000000"/>
              <w:bottom w:val="single" w:sz="8" w:space="0" w:color="000000"/>
              <w:right w:val="single" w:sz="8" w:space="0" w:color="000000"/>
            </w:tcBorders>
            <w:vAlign w:val="center"/>
          </w:tcPr>
          <w:p w:rsidR="00F229A7" w:rsidRPr="00CA0AE3" w:rsidRDefault="00F229A7" w:rsidP="00B3615C">
            <w:pPr>
              <w:spacing w:after="0" w:line="240" w:lineRule="auto"/>
              <w:rPr>
                <w:rFonts w:eastAsia="Times New Roman"/>
                <w:sz w:val="16"/>
                <w:szCs w:val="16"/>
              </w:rPr>
            </w:pPr>
            <w:r w:rsidRPr="00CA0AE3">
              <w:rPr>
                <w:rFonts w:eastAsia="Times New Roman"/>
                <w:sz w:val="16"/>
                <w:szCs w:val="16"/>
              </w:rPr>
              <w:t xml:space="preserve">Target derived to improve follow up after hospitalization for chronic health conditions </w:t>
            </w:r>
          </w:p>
        </w:tc>
      </w:tr>
      <w:tr w:rsidR="00F229A7" w:rsidRPr="00CA0AE3" w:rsidTr="00945D5E">
        <w:trPr>
          <w:cantSplit/>
        </w:trPr>
        <w:tc>
          <w:tcPr>
            <w:tcW w:w="108" w:type="pct"/>
            <w:tcBorders>
              <w:top w:val="single" w:sz="8" w:space="0" w:color="000000"/>
              <w:left w:val="single" w:sz="8" w:space="0" w:color="000000"/>
              <w:bottom w:val="single" w:sz="8" w:space="0" w:color="000000"/>
              <w:right w:val="single" w:sz="8" w:space="0" w:color="000000"/>
            </w:tcBorders>
            <w:vAlign w:val="center"/>
          </w:tcPr>
          <w:p w:rsidR="00F229A7" w:rsidRPr="00CA0AE3" w:rsidRDefault="00F229A7" w:rsidP="00E17D45">
            <w:pPr>
              <w:pStyle w:val="Default"/>
              <w:jc w:val="center"/>
              <w:rPr>
                <w:color w:val="auto"/>
                <w:sz w:val="16"/>
                <w:szCs w:val="16"/>
              </w:rPr>
            </w:pPr>
            <w:r w:rsidRPr="00CA0AE3">
              <w:rPr>
                <w:color w:val="auto"/>
                <w:sz w:val="16"/>
                <w:szCs w:val="16"/>
              </w:rPr>
              <w:lastRenderedPageBreak/>
              <w:t>1</w:t>
            </w:r>
            <w:r w:rsidR="002D394E" w:rsidRPr="00CA0AE3">
              <w:rPr>
                <w:color w:val="auto"/>
                <w:sz w:val="16"/>
                <w:szCs w:val="16"/>
              </w:rPr>
              <w:t>1</w:t>
            </w:r>
          </w:p>
        </w:tc>
        <w:tc>
          <w:tcPr>
            <w:tcW w:w="722"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F229A7" w:rsidRPr="00CA0AE3" w:rsidRDefault="00F229A7" w:rsidP="00E17D45">
            <w:pPr>
              <w:pStyle w:val="Default"/>
              <w:rPr>
                <w:rFonts w:eastAsia="Cambria"/>
                <w:color w:val="auto"/>
                <w:sz w:val="16"/>
                <w:szCs w:val="16"/>
              </w:rPr>
            </w:pPr>
            <w:r w:rsidRPr="00CA0AE3">
              <w:rPr>
                <w:color w:val="auto"/>
                <w:sz w:val="16"/>
                <w:szCs w:val="16"/>
              </w:rPr>
              <w:t xml:space="preserve">% of active primary care patients 3 years and older with the following conditions: Diabetes, Pediatric Asthma, Hypertension, COPD, and CHF, for whom a public hospital </w:t>
            </w:r>
            <w:r w:rsidRPr="00CA0AE3">
              <w:rPr>
                <w:rFonts w:eastAsia="Cambria"/>
                <w:color w:val="auto"/>
                <w:sz w:val="16"/>
                <w:szCs w:val="16"/>
              </w:rPr>
              <w:t>follow-up contact or visit is completed within seven calendar days post ED discharge</w:t>
            </w:r>
          </w:p>
        </w:tc>
        <w:tc>
          <w:tcPr>
            <w:tcW w:w="431"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F229A7" w:rsidRPr="00CA0AE3" w:rsidRDefault="00F229A7" w:rsidP="00E17D45">
            <w:pPr>
              <w:spacing w:after="0" w:line="240" w:lineRule="auto"/>
              <w:jc w:val="center"/>
              <w:rPr>
                <w:sz w:val="16"/>
                <w:szCs w:val="16"/>
              </w:rPr>
            </w:pPr>
            <w:r w:rsidRPr="00CA0AE3">
              <w:rPr>
                <w:sz w:val="16"/>
                <w:szCs w:val="16"/>
              </w:rPr>
              <w:t xml:space="preserve">Customized Measure </w:t>
            </w:r>
          </w:p>
        </w:tc>
        <w:tc>
          <w:tcPr>
            <w:tcW w:w="463"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F229A7" w:rsidRPr="00CA0AE3" w:rsidRDefault="00F229A7" w:rsidP="00E17D45">
            <w:pPr>
              <w:spacing w:after="0" w:line="240" w:lineRule="auto"/>
              <w:jc w:val="center"/>
              <w:rPr>
                <w:sz w:val="16"/>
                <w:szCs w:val="16"/>
              </w:rPr>
            </w:pPr>
            <w:r w:rsidRPr="00CA0AE3">
              <w:rPr>
                <w:sz w:val="16"/>
                <w:szCs w:val="16"/>
              </w:rPr>
              <w:t>No external benchmark; hospital specific improvement target =50%</w:t>
            </w:r>
          </w:p>
        </w:tc>
        <w:tc>
          <w:tcPr>
            <w:tcW w:w="560"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F229A7" w:rsidRPr="00CA0AE3" w:rsidRDefault="00F229A7" w:rsidP="00E17D45">
            <w:pPr>
              <w:pStyle w:val="Default"/>
              <w:jc w:val="center"/>
              <w:rPr>
                <w:color w:val="auto"/>
                <w:sz w:val="16"/>
                <w:szCs w:val="16"/>
              </w:rPr>
            </w:pPr>
            <w:r w:rsidRPr="00CA0AE3">
              <w:rPr>
                <w:color w:val="auto"/>
                <w:sz w:val="16"/>
                <w:szCs w:val="16"/>
              </w:rPr>
              <w:t>Gap to Goal (10%) or attainment at target</w:t>
            </w:r>
          </w:p>
        </w:tc>
        <w:tc>
          <w:tcPr>
            <w:tcW w:w="398"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F229A7" w:rsidRPr="00CA0AE3" w:rsidRDefault="00F229A7" w:rsidP="00E17D45">
            <w:pPr>
              <w:spacing w:after="0" w:line="240" w:lineRule="auto"/>
              <w:jc w:val="center"/>
              <w:rPr>
                <w:b/>
                <w:sz w:val="16"/>
                <w:szCs w:val="16"/>
              </w:rPr>
            </w:pPr>
            <w:r w:rsidRPr="00CA0AE3">
              <w:rPr>
                <w:b/>
                <w:sz w:val="16"/>
                <w:szCs w:val="16"/>
              </w:rPr>
              <w:t>B</w:t>
            </w:r>
          </w:p>
        </w:tc>
        <w:tc>
          <w:tcPr>
            <w:tcW w:w="463"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F229A7" w:rsidRPr="00CA0AE3" w:rsidRDefault="00F229A7" w:rsidP="00E17D45">
            <w:pPr>
              <w:spacing w:after="0" w:line="240" w:lineRule="auto"/>
              <w:jc w:val="center"/>
              <w:rPr>
                <w:b/>
                <w:sz w:val="16"/>
                <w:szCs w:val="16"/>
              </w:rPr>
            </w:pPr>
            <w:r w:rsidRPr="00CA0AE3">
              <w:rPr>
                <w:b/>
                <w:sz w:val="16"/>
                <w:szCs w:val="16"/>
              </w:rPr>
              <w:t>O</w:t>
            </w:r>
          </w:p>
        </w:tc>
        <w:tc>
          <w:tcPr>
            <w:tcW w:w="426"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F229A7" w:rsidRPr="00CA0AE3" w:rsidRDefault="00F229A7" w:rsidP="00E17D45">
            <w:pPr>
              <w:spacing w:after="0" w:line="240" w:lineRule="auto"/>
              <w:jc w:val="center"/>
              <w:rPr>
                <w:b/>
                <w:sz w:val="16"/>
                <w:szCs w:val="16"/>
              </w:rPr>
            </w:pPr>
            <w:r w:rsidRPr="00CA0AE3">
              <w:rPr>
                <w:b/>
                <w:sz w:val="16"/>
                <w:szCs w:val="16"/>
              </w:rPr>
              <w:t>O</w:t>
            </w:r>
          </w:p>
        </w:tc>
        <w:tc>
          <w:tcPr>
            <w:tcW w:w="431"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F229A7" w:rsidRPr="00CA0AE3" w:rsidRDefault="00F229A7" w:rsidP="00E17D45">
            <w:pPr>
              <w:spacing w:after="0" w:line="240" w:lineRule="auto"/>
              <w:jc w:val="center"/>
              <w:rPr>
                <w:b/>
                <w:sz w:val="16"/>
                <w:szCs w:val="16"/>
              </w:rPr>
            </w:pPr>
            <w:r w:rsidRPr="00CA0AE3">
              <w:rPr>
                <w:b/>
                <w:sz w:val="16"/>
                <w:szCs w:val="16"/>
              </w:rPr>
              <w:t>O</w:t>
            </w:r>
          </w:p>
        </w:tc>
        <w:tc>
          <w:tcPr>
            <w:tcW w:w="431"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F229A7" w:rsidRPr="00CA0AE3" w:rsidRDefault="00F229A7" w:rsidP="00E17D45">
            <w:pPr>
              <w:spacing w:after="0" w:line="240" w:lineRule="auto"/>
              <w:jc w:val="center"/>
              <w:rPr>
                <w:b/>
                <w:sz w:val="16"/>
                <w:szCs w:val="16"/>
              </w:rPr>
            </w:pPr>
            <w:r w:rsidRPr="00CA0AE3">
              <w:rPr>
                <w:b/>
                <w:sz w:val="16"/>
                <w:szCs w:val="16"/>
              </w:rPr>
              <w:t>O</w:t>
            </w:r>
          </w:p>
        </w:tc>
        <w:tc>
          <w:tcPr>
            <w:tcW w:w="567" w:type="pct"/>
            <w:tcBorders>
              <w:top w:val="single" w:sz="8" w:space="0" w:color="000000"/>
              <w:left w:val="single" w:sz="8" w:space="0" w:color="000000"/>
              <w:bottom w:val="single" w:sz="8" w:space="0" w:color="000000"/>
              <w:right w:val="single" w:sz="8" w:space="0" w:color="000000"/>
            </w:tcBorders>
            <w:vAlign w:val="center"/>
          </w:tcPr>
          <w:p w:rsidR="00F229A7" w:rsidRPr="00CA0AE3" w:rsidRDefault="00F229A7" w:rsidP="00B3615C">
            <w:pPr>
              <w:spacing w:after="0" w:line="240" w:lineRule="auto"/>
              <w:rPr>
                <w:rFonts w:eastAsia="Times New Roman"/>
                <w:sz w:val="16"/>
                <w:szCs w:val="16"/>
              </w:rPr>
            </w:pPr>
            <w:r w:rsidRPr="00CA0AE3">
              <w:rPr>
                <w:rFonts w:eastAsia="Times New Roman"/>
                <w:sz w:val="16"/>
                <w:szCs w:val="16"/>
              </w:rPr>
              <w:t>Target derived to improve follow up after ED visits for chronic health conditions</w:t>
            </w:r>
          </w:p>
        </w:tc>
      </w:tr>
      <w:tr w:rsidR="00F229A7" w:rsidRPr="00CA0AE3" w:rsidTr="00945D5E">
        <w:trPr>
          <w:cantSplit/>
        </w:trPr>
        <w:tc>
          <w:tcPr>
            <w:tcW w:w="108" w:type="pct"/>
            <w:tcBorders>
              <w:top w:val="single" w:sz="8" w:space="0" w:color="000000"/>
              <w:left w:val="single" w:sz="8" w:space="0" w:color="000000"/>
              <w:bottom w:val="single" w:sz="8" w:space="0" w:color="000000"/>
              <w:right w:val="single" w:sz="8" w:space="0" w:color="000000"/>
            </w:tcBorders>
            <w:vAlign w:val="center"/>
          </w:tcPr>
          <w:p w:rsidR="00F229A7" w:rsidRPr="00CA0AE3" w:rsidRDefault="00F229A7" w:rsidP="00E17D45">
            <w:pPr>
              <w:pStyle w:val="Default"/>
              <w:jc w:val="center"/>
              <w:rPr>
                <w:color w:val="auto"/>
                <w:sz w:val="16"/>
                <w:szCs w:val="16"/>
              </w:rPr>
            </w:pPr>
            <w:r w:rsidRPr="00CA0AE3">
              <w:rPr>
                <w:color w:val="auto"/>
                <w:sz w:val="16"/>
                <w:szCs w:val="16"/>
              </w:rPr>
              <w:t>1</w:t>
            </w:r>
            <w:r w:rsidR="002D394E" w:rsidRPr="00CA0AE3">
              <w:rPr>
                <w:color w:val="auto"/>
                <w:sz w:val="16"/>
                <w:szCs w:val="16"/>
              </w:rPr>
              <w:t>2</w:t>
            </w:r>
          </w:p>
        </w:tc>
        <w:tc>
          <w:tcPr>
            <w:tcW w:w="722"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F229A7" w:rsidRPr="00CA0AE3" w:rsidRDefault="00F229A7" w:rsidP="00E17D45">
            <w:pPr>
              <w:pStyle w:val="Default"/>
              <w:rPr>
                <w:color w:val="auto"/>
                <w:sz w:val="16"/>
                <w:szCs w:val="16"/>
              </w:rPr>
            </w:pPr>
            <w:r w:rsidRPr="00CA0AE3">
              <w:rPr>
                <w:color w:val="auto"/>
                <w:sz w:val="16"/>
                <w:szCs w:val="16"/>
              </w:rPr>
              <w:t>Screening for Depression in active primary care patients 18 years and older with Diabetes, HTN, CHF, and/or COPD</w:t>
            </w:r>
          </w:p>
        </w:tc>
        <w:tc>
          <w:tcPr>
            <w:tcW w:w="431"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F229A7" w:rsidRPr="00CA0AE3" w:rsidRDefault="00F229A7" w:rsidP="00E17D45">
            <w:pPr>
              <w:spacing w:after="0" w:line="240" w:lineRule="auto"/>
              <w:jc w:val="center"/>
              <w:rPr>
                <w:sz w:val="16"/>
                <w:szCs w:val="16"/>
              </w:rPr>
            </w:pPr>
            <w:r w:rsidRPr="00CA0AE3">
              <w:rPr>
                <w:sz w:val="16"/>
                <w:szCs w:val="16"/>
              </w:rPr>
              <w:t>Approximate Match- NQF 0418</w:t>
            </w:r>
          </w:p>
          <w:p w:rsidR="00F229A7" w:rsidRPr="00CA0AE3" w:rsidRDefault="00F229A7" w:rsidP="00E17D45">
            <w:pPr>
              <w:spacing w:after="0" w:line="240" w:lineRule="auto"/>
              <w:jc w:val="center"/>
              <w:rPr>
                <w:sz w:val="16"/>
                <w:szCs w:val="16"/>
              </w:rPr>
            </w:pPr>
            <w:r w:rsidRPr="00CA0AE3">
              <w:rPr>
                <w:sz w:val="16"/>
                <w:szCs w:val="16"/>
              </w:rPr>
              <w:t>(Adjusted for Chronic Conditions at high risk)</w:t>
            </w:r>
          </w:p>
        </w:tc>
        <w:tc>
          <w:tcPr>
            <w:tcW w:w="463"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F229A7" w:rsidRPr="00CA0AE3" w:rsidRDefault="00F229A7" w:rsidP="00E17D45">
            <w:pPr>
              <w:spacing w:after="0" w:line="240" w:lineRule="auto"/>
              <w:jc w:val="center"/>
              <w:rPr>
                <w:sz w:val="16"/>
                <w:szCs w:val="16"/>
              </w:rPr>
            </w:pPr>
            <w:r w:rsidRPr="00CA0AE3">
              <w:rPr>
                <w:sz w:val="16"/>
                <w:szCs w:val="16"/>
              </w:rPr>
              <w:t>No external benchmark; hospital specific improvement target = 80%</w:t>
            </w:r>
          </w:p>
        </w:tc>
        <w:tc>
          <w:tcPr>
            <w:tcW w:w="560"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F229A7" w:rsidRPr="00CA0AE3" w:rsidRDefault="00F229A7" w:rsidP="00E17D45">
            <w:pPr>
              <w:pStyle w:val="Default"/>
              <w:jc w:val="center"/>
              <w:rPr>
                <w:color w:val="auto"/>
                <w:sz w:val="16"/>
                <w:szCs w:val="16"/>
              </w:rPr>
            </w:pPr>
            <w:r w:rsidRPr="00CA0AE3">
              <w:rPr>
                <w:color w:val="auto"/>
                <w:sz w:val="16"/>
                <w:szCs w:val="16"/>
              </w:rPr>
              <w:t>Gap to Goal (10%) or attainment at target</w:t>
            </w:r>
          </w:p>
        </w:tc>
        <w:tc>
          <w:tcPr>
            <w:tcW w:w="398"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F229A7" w:rsidRPr="00CA0AE3" w:rsidRDefault="00F229A7" w:rsidP="00E17D45">
            <w:pPr>
              <w:spacing w:after="0" w:line="240" w:lineRule="auto"/>
              <w:jc w:val="center"/>
              <w:rPr>
                <w:b/>
                <w:sz w:val="16"/>
                <w:szCs w:val="16"/>
              </w:rPr>
            </w:pPr>
            <w:r w:rsidRPr="00CA0AE3">
              <w:rPr>
                <w:b/>
                <w:sz w:val="16"/>
                <w:szCs w:val="16"/>
              </w:rPr>
              <w:t>B</w:t>
            </w:r>
          </w:p>
        </w:tc>
        <w:tc>
          <w:tcPr>
            <w:tcW w:w="463"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F229A7" w:rsidRPr="00CA0AE3" w:rsidRDefault="00F229A7" w:rsidP="00E17D45">
            <w:pPr>
              <w:spacing w:after="0" w:line="240" w:lineRule="auto"/>
              <w:jc w:val="center"/>
              <w:rPr>
                <w:b/>
                <w:sz w:val="16"/>
                <w:szCs w:val="16"/>
              </w:rPr>
            </w:pPr>
            <w:r w:rsidRPr="00CA0AE3">
              <w:rPr>
                <w:b/>
                <w:sz w:val="16"/>
                <w:szCs w:val="16"/>
              </w:rPr>
              <w:t>O</w:t>
            </w:r>
          </w:p>
        </w:tc>
        <w:tc>
          <w:tcPr>
            <w:tcW w:w="426"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F229A7" w:rsidRPr="00CA0AE3" w:rsidRDefault="00F229A7" w:rsidP="00E17D45">
            <w:pPr>
              <w:spacing w:after="0" w:line="240" w:lineRule="auto"/>
              <w:jc w:val="center"/>
              <w:rPr>
                <w:b/>
                <w:sz w:val="16"/>
                <w:szCs w:val="16"/>
              </w:rPr>
            </w:pPr>
            <w:r w:rsidRPr="00CA0AE3">
              <w:rPr>
                <w:b/>
                <w:sz w:val="16"/>
                <w:szCs w:val="16"/>
              </w:rPr>
              <w:t>O</w:t>
            </w:r>
          </w:p>
        </w:tc>
        <w:tc>
          <w:tcPr>
            <w:tcW w:w="431"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F229A7" w:rsidRPr="00CA0AE3" w:rsidRDefault="00F229A7" w:rsidP="00E17D45">
            <w:pPr>
              <w:spacing w:after="0" w:line="240" w:lineRule="auto"/>
              <w:jc w:val="center"/>
              <w:rPr>
                <w:b/>
                <w:sz w:val="16"/>
                <w:szCs w:val="16"/>
              </w:rPr>
            </w:pPr>
            <w:r w:rsidRPr="00CA0AE3">
              <w:rPr>
                <w:b/>
                <w:sz w:val="16"/>
                <w:szCs w:val="16"/>
              </w:rPr>
              <w:t>O</w:t>
            </w:r>
          </w:p>
        </w:tc>
        <w:tc>
          <w:tcPr>
            <w:tcW w:w="431"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F229A7" w:rsidRPr="00CA0AE3" w:rsidRDefault="00F229A7" w:rsidP="00E17D45">
            <w:pPr>
              <w:spacing w:after="0" w:line="240" w:lineRule="auto"/>
              <w:jc w:val="center"/>
              <w:rPr>
                <w:b/>
                <w:sz w:val="16"/>
                <w:szCs w:val="16"/>
              </w:rPr>
            </w:pPr>
            <w:r w:rsidRPr="00CA0AE3">
              <w:rPr>
                <w:b/>
                <w:sz w:val="16"/>
                <w:szCs w:val="16"/>
              </w:rPr>
              <w:t>O</w:t>
            </w:r>
          </w:p>
        </w:tc>
        <w:tc>
          <w:tcPr>
            <w:tcW w:w="567" w:type="pct"/>
            <w:tcBorders>
              <w:top w:val="single" w:sz="8" w:space="0" w:color="000000"/>
              <w:left w:val="single" w:sz="8" w:space="0" w:color="000000"/>
              <w:bottom w:val="single" w:sz="8" w:space="0" w:color="000000"/>
              <w:right w:val="single" w:sz="8" w:space="0" w:color="000000"/>
            </w:tcBorders>
          </w:tcPr>
          <w:p w:rsidR="00F229A7" w:rsidRPr="00CA0AE3" w:rsidRDefault="00F229A7" w:rsidP="00B3615C">
            <w:pPr>
              <w:spacing w:after="0" w:line="240" w:lineRule="auto"/>
              <w:rPr>
                <w:rFonts w:eastAsia="Times New Roman"/>
                <w:sz w:val="16"/>
                <w:szCs w:val="16"/>
              </w:rPr>
            </w:pPr>
            <w:r w:rsidRPr="00CA0AE3">
              <w:rPr>
                <w:rFonts w:eastAsia="Times New Roman"/>
                <w:sz w:val="16"/>
                <w:szCs w:val="16"/>
              </w:rPr>
              <w:t>Target derived to improve depression screening for patients with chronic health conditions at high risk</w:t>
            </w:r>
            <w:proofErr w:type="gramStart"/>
            <w:r w:rsidRPr="00CA0AE3">
              <w:rPr>
                <w:rFonts w:eastAsia="Times New Roman"/>
                <w:sz w:val="16"/>
                <w:szCs w:val="16"/>
              </w:rPr>
              <w:t>..</w:t>
            </w:r>
            <w:proofErr w:type="gramEnd"/>
          </w:p>
        </w:tc>
      </w:tr>
      <w:tr w:rsidR="00F229A7" w:rsidRPr="00CA0AE3" w:rsidTr="00945D5E">
        <w:trPr>
          <w:cantSplit/>
        </w:trPr>
        <w:tc>
          <w:tcPr>
            <w:tcW w:w="108" w:type="pct"/>
            <w:tcBorders>
              <w:top w:val="single" w:sz="8" w:space="0" w:color="000000"/>
              <w:left w:val="single" w:sz="8" w:space="0" w:color="000000"/>
              <w:bottom w:val="single" w:sz="8" w:space="0" w:color="000000"/>
              <w:right w:val="single" w:sz="8" w:space="0" w:color="000000"/>
            </w:tcBorders>
            <w:vAlign w:val="center"/>
          </w:tcPr>
          <w:p w:rsidR="00F229A7" w:rsidRPr="00CA0AE3" w:rsidRDefault="00F229A7" w:rsidP="00E17D45">
            <w:pPr>
              <w:pStyle w:val="Default"/>
              <w:jc w:val="center"/>
              <w:rPr>
                <w:color w:val="auto"/>
                <w:sz w:val="16"/>
                <w:szCs w:val="16"/>
              </w:rPr>
            </w:pPr>
            <w:r w:rsidRPr="00CA0AE3">
              <w:rPr>
                <w:color w:val="auto"/>
                <w:sz w:val="16"/>
                <w:szCs w:val="16"/>
              </w:rPr>
              <w:t>1</w:t>
            </w:r>
            <w:r w:rsidR="002D394E" w:rsidRPr="00CA0AE3">
              <w:rPr>
                <w:color w:val="auto"/>
                <w:sz w:val="16"/>
                <w:szCs w:val="16"/>
              </w:rPr>
              <w:t>3</w:t>
            </w:r>
          </w:p>
        </w:tc>
        <w:tc>
          <w:tcPr>
            <w:tcW w:w="722"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F229A7" w:rsidRPr="00CA0AE3" w:rsidRDefault="00F229A7" w:rsidP="00E17D45">
            <w:pPr>
              <w:pStyle w:val="Default"/>
              <w:rPr>
                <w:color w:val="auto"/>
                <w:sz w:val="16"/>
                <w:szCs w:val="16"/>
              </w:rPr>
            </w:pPr>
            <w:r w:rsidRPr="00CA0AE3">
              <w:rPr>
                <w:color w:val="auto"/>
                <w:sz w:val="16"/>
                <w:szCs w:val="16"/>
              </w:rPr>
              <w:t>Co-morbid Conditions: Depression  Follow-Up in active primary care patients with Diabetes, HTN, CHF, and/or COPD</w:t>
            </w:r>
          </w:p>
        </w:tc>
        <w:tc>
          <w:tcPr>
            <w:tcW w:w="431"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F229A7" w:rsidRPr="00CA0AE3" w:rsidRDefault="00F229A7" w:rsidP="00E17D45">
            <w:pPr>
              <w:spacing w:after="0" w:line="240" w:lineRule="auto"/>
              <w:jc w:val="center"/>
              <w:rPr>
                <w:sz w:val="16"/>
                <w:szCs w:val="16"/>
              </w:rPr>
            </w:pPr>
            <w:r w:rsidRPr="00CA0AE3">
              <w:rPr>
                <w:sz w:val="16"/>
                <w:szCs w:val="16"/>
              </w:rPr>
              <w:t>Customized Measure</w:t>
            </w:r>
          </w:p>
        </w:tc>
        <w:tc>
          <w:tcPr>
            <w:tcW w:w="463"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F229A7" w:rsidRPr="00CA0AE3" w:rsidRDefault="00F229A7" w:rsidP="00E17D45">
            <w:pPr>
              <w:spacing w:after="0" w:line="240" w:lineRule="auto"/>
              <w:jc w:val="center"/>
              <w:rPr>
                <w:sz w:val="16"/>
                <w:szCs w:val="16"/>
              </w:rPr>
            </w:pPr>
            <w:r w:rsidRPr="00CA0AE3">
              <w:rPr>
                <w:sz w:val="16"/>
                <w:szCs w:val="16"/>
              </w:rPr>
              <w:t>No external benchmark; hospital specific improvement target = 60%</w:t>
            </w:r>
          </w:p>
        </w:tc>
        <w:tc>
          <w:tcPr>
            <w:tcW w:w="560"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F229A7" w:rsidRPr="00CA0AE3" w:rsidRDefault="00F229A7" w:rsidP="00E17D45">
            <w:pPr>
              <w:pStyle w:val="Default"/>
              <w:jc w:val="center"/>
              <w:rPr>
                <w:color w:val="auto"/>
                <w:sz w:val="16"/>
                <w:szCs w:val="16"/>
              </w:rPr>
            </w:pPr>
            <w:r w:rsidRPr="00CA0AE3">
              <w:rPr>
                <w:color w:val="auto"/>
                <w:sz w:val="16"/>
                <w:szCs w:val="16"/>
              </w:rPr>
              <w:t>Gap to Goal (10%) or attainment at target</w:t>
            </w:r>
          </w:p>
        </w:tc>
        <w:tc>
          <w:tcPr>
            <w:tcW w:w="398"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F229A7" w:rsidRPr="00CA0AE3" w:rsidRDefault="00F229A7" w:rsidP="00E17D45">
            <w:pPr>
              <w:spacing w:after="0" w:line="240" w:lineRule="auto"/>
              <w:jc w:val="center"/>
              <w:rPr>
                <w:b/>
                <w:sz w:val="16"/>
                <w:szCs w:val="16"/>
              </w:rPr>
            </w:pPr>
            <w:r w:rsidRPr="00CA0AE3">
              <w:rPr>
                <w:b/>
                <w:sz w:val="16"/>
                <w:szCs w:val="16"/>
              </w:rPr>
              <w:t>B</w:t>
            </w:r>
          </w:p>
        </w:tc>
        <w:tc>
          <w:tcPr>
            <w:tcW w:w="463"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F229A7" w:rsidRPr="00CA0AE3" w:rsidRDefault="00F229A7" w:rsidP="00E17D45">
            <w:pPr>
              <w:spacing w:after="0" w:line="240" w:lineRule="auto"/>
              <w:jc w:val="center"/>
              <w:rPr>
                <w:b/>
                <w:sz w:val="16"/>
                <w:szCs w:val="16"/>
              </w:rPr>
            </w:pPr>
            <w:r w:rsidRPr="00CA0AE3">
              <w:rPr>
                <w:b/>
                <w:sz w:val="16"/>
                <w:szCs w:val="16"/>
              </w:rPr>
              <w:t>O</w:t>
            </w:r>
          </w:p>
        </w:tc>
        <w:tc>
          <w:tcPr>
            <w:tcW w:w="426"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F229A7" w:rsidRPr="00CA0AE3" w:rsidRDefault="00F229A7" w:rsidP="00E17D45">
            <w:pPr>
              <w:spacing w:after="0" w:line="240" w:lineRule="auto"/>
              <w:jc w:val="center"/>
              <w:rPr>
                <w:b/>
                <w:sz w:val="16"/>
                <w:szCs w:val="16"/>
              </w:rPr>
            </w:pPr>
            <w:r w:rsidRPr="00CA0AE3">
              <w:rPr>
                <w:b/>
                <w:sz w:val="16"/>
                <w:szCs w:val="16"/>
              </w:rPr>
              <w:t>O</w:t>
            </w:r>
          </w:p>
        </w:tc>
        <w:tc>
          <w:tcPr>
            <w:tcW w:w="431"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F229A7" w:rsidRPr="00CA0AE3" w:rsidRDefault="00F229A7" w:rsidP="00E17D45">
            <w:pPr>
              <w:spacing w:after="0" w:line="240" w:lineRule="auto"/>
              <w:jc w:val="center"/>
              <w:rPr>
                <w:b/>
                <w:sz w:val="16"/>
                <w:szCs w:val="16"/>
              </w:rPr>
            </w:pPr>
            <w:r w:rsidRPr="00CA0AE3">
              <w:rPr>
                <w:b/>
                <w:sz w:val="16"/>
                <w:szCs w:val="16"/>
              </w:rPr>
              <w:t>O</w:t>
            </w:r>
          </w:p>
        </w:tc>
        <w:tc>
          <w:tcPr>
            <w:tcW w:w="431"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F229A7" w:rsidRPr="00CA0AE3" w:rsidRDefault="00F229A7" w:rsidP="00E17D45">
            <w:pPr>
              <w:spacing w:after="0" w:line="240" w:lineRule="auto"/>
              <w:jc w:val="center"/>
              <w:rPr>
                <w:b/>
                <w:sz w:val="16"/>
                <w:szCs w:val="16"/>
              </w:rPr>
            </w:pPr>
            <w:r w:rsidRPr="00CA0AE3">
              <w:rPr>
                <w:b/>
                <w:sz w:val="16"/>
                <w:szCs w:val="16"/>
              </w:rPr>
              <w:t>O</w:t>
            </w:r>
          </w:p>
        </w:tc>
        <w:tc>
          <w:tcPr>
            <w:tcW w:w="567" w:type="pct"/>
            <w:tcBorders>
              <w:top w:val="single" w:sz="8" w:space="0" w:color="000000"/>
              <w:left w:val="single" w:sz="8" w:space="0" w:color="000000"/>
              <w:bottom w:val="single" w:sz="8" w:space="0" w:color="000000"/>
              <w:right w:val="single" w:sz="8" w:space="0" w:color="000000"/>
            </w:tcBorders>
            <w:vAlign w:val="center"/>
          </w:tcPr>
          <w:p w:rsidR="00F229A7" w:rsidRPr="00CA0AE3" w:rsidRDefault="00F229A7" w:rsidP="00B3615C">
            <w:pPr>
              <w:spacing w:after="0" w:line="240" w:lineRule="auto"/>
              <w:rPr>
                <w:rFonts w:eastAsia="Times New Roman"/>
                <w:sz w:val="16"/>
                <w:szCs w:val="16"/>
              </w:rPr>
            </w:pPr>
            <w:r w:rsidRPr="00CA0AE3">
              <w:rPr>
                <w:rFonts w:eastAsia="Times New Roman"/>
                <w:sz w:val="16"/>
                <w:szCs w:val="16"/>
              </w:rPr>
              <w:t>Target derived to improve follow up for depression care for patients with chronic health conditions.</w:t>
            </w:r>
          </w:p>
        </w:tc>
      </w:tr>
    </w:tbl>
    <w:p w:rsidR="00F229A7" w:rsidRPr="00CA0AE3" w:rsidRDefault="00F229A7"/>
    <w:p w:rsidR="00ED4745" w:rsidRPr="00CA0AE3" w:rsidRDefault="00ED4745">
      <w:pPr>
        <w:spacing w:after="0" w:line="240" w:lineRule="auto"/>
        <w:sectPr w:rsidR="00ED4745" w:rsidRPr="00CA0AE3" w:rsidSect="00147DA7">
          <w:footerReference w:type="default" r:id="rId20"/>
          <w:pgSz w:w="15840" w:h="12240" w:orient="landscape"/>
          <w:pgMar w:top="1440" w:right="1260" w:bottom="1260" w:left="1260" w:header="720" w:footer="720" w:gutter="0"/>
          <w:cols w:space="720"/>
          <w:docGrid w:linePitch="360"/>
        </w:sectPr>
      </w:pP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firstRow="0" w:lastRow="0" w:firstColumn="0" w:lastColumn="0" w:noHBand="0" w:noVBand="0"/>
      </w:tblPr>
      <w:tblGrid>
        <w:gridCol w:w="1855"/>
        <w:gridCol w:w="7675"/>
      </w:tblGrid>
      <w:tr w:rsidR="001A296D" w:rsidRPr="00CA0AE3" w:rsidTr="00C947DF">
        <w:trPr>
          <w:tblHeader/>
        </w:trPr>
        <w:tc>
          <w:tcPr>
            <w:tcW w:w="973" w:type="pct"/>
            <w:tcBorders>
              <w:top w:val="single" w:sz="4" w:space="0" w:color="auto"/>
              <w:bottom w:val="single" w:sz="6" w:space="0" w:color="auto"/>
            </w:tcBorders>
            <w:shd w:val="clear" w:color="auto" w:fill="C6D9F1" w:themeFill="text2" w:themeFillTint="33"/>
            <w:vAlign w:val="center"/>
          </w:tcPr>
          <w:p w:rsidR="001A296D" w:rsidRPr="00CA0AE3" w:rsidRDefault="001A296D" w:rsidP="001A296D">
            <w:pPr>
              <w:pStyle w:val="Default"/>
              <w:rPr>
                <w:sz w:val="22"/>
                <w:szCs w:val="22"/>
              </w:rPr>
            </w:pPr>
            <w:r w:rsidRPr="00CA0AE3">
              <w:rPr>
                <w:b/>
                <w:bCs/>
                <w:sz w:val="22"/>
                <w:szCs w:val="22"/>
                <w:shd w:val="clear" w:color="auto" w:fill="C6D9F1" w:themeFill="text2" w:themeFillTint="33"/>
              </w:rPr>
              <w:lastRenderedPageBreak/>
              <w:t>Initiative Title</w:t>
            </w:r>
            <w:r w:rsidRPr="00CA0AE3">
              <w:rPr>
                <w:b/>
                <w:bCs/>
                <w:sz w:val="22"/>
                <w:szCs w:val="22"/>
              </w:rPr>
              <w:t xml:space="preserve"> </w:t>
            </w:r>
          </w:p>
        </w:tc>
        <w:tc>
          <w:tcPr>
            <w:tcW w:w="4027" w:type="pct"/>
          </w:tcPr>
          <w:p w:rsidR="001A296D" w:rsidRPr="00CA0AE3" w:rsidRDefault="00E70136" w:rsidP="00F229A7">
            <w:pPr>
              <w:pStyle w:val="Default"/>
              <w:rPr>
                <w:color w:val="auto"/>
                <w:sz w:val="22"/>
                <w:szCs w:val="22"/>
              </w:rPr>
            </w:pPr>
            <w:r w:rsidRPr="00CA0AE3">
              <w:rPr>
                <w:color w:val="auto"/>
                <w:sz w:val="22"/>
                <w:szCs w:val="22"/>
              </w:rPr>
              <w:t xml:space="preserve">5. </w:t>
            </w:r>
            <w:r w:rsidR="001A296D" w:rsidRPr="00CA0AE3">
              <w:rPr>
                <w:color w:val="auto"/>
                <w:sz w:val="22"/>
                <w:szCs w:val="22"/>
              </w:rPr>
              <w:t>Community Empowered Population Health Initiative</w:t>
            </w:r>
            <w:r w:rsidR="00952A5B" w:rsidRPr="00CA0AE3">
              <w:rPr>
                <w:color w:val="auto"/>
                <w:sz w:val="22"/>
                <w:szCs w:val="22"/>
              </w:rPr>
              <w:t xml:space="preserve">  (Not Selected)</w:t>
            </w:r>
          </w:p>
        </w:tc>
      </w:tr>
      <w:tr w:rsidR="001A296D" w:rsidRPr="00CA0AE3" w:rsidTr="00C947DF">
        <w:tc>
          <w:tcPr>
            <w:tcW w:w="5000" w:type="pct"/>
            <w:gridSpan w:val="2"/>
            <w:shd w:val="clear" w:color="auto" w:fill="C6D9F1" w:themeFill="text2" w:themeFillTint="33"/>
          </w:tcPr>
          <w:p w:rsidR="001A296D" w:rsidRPr="00CA0AE3" w:rsidRDefault="001A296D" w:rsidP="00F229A7">
            <w:pPr>
              <w:pStyle w:val="Default"/>
              <w:rPr>
                <w:sz w:val="22"/>
                <w:szCs w:val="22"/>
              </w:rPr>
            </w:pPr>
            <w:r w:rsidRPr="00CA0AE3">
              <w:rPr>
                <w:b/>
                <w:bCs/>
                <w:sz w:val="22"/>
                <w:szCs w:val="22"/>
              </w:rPr>
              <w:t xml:space="preserve">Description/Rationale </w:t>
            </w:r>
          </w:p>
        </w:tc>
      </w:tr>
      <w:tr w:rsidR="001A296D" w:rsidRPr="00CA0AE3" w:rsidTr="00C947DF">
        <w:tc>
          <w:tcPr>
            <w:tcW w:w="5000" w:type="pct"/>
            <w:gridSpan w:val="2"/>
          </w:tcPr>
          <w:p w:rsidR="001A296D" w:rsidRPr="00CA0AE3" w:rsidRDefault="001A296D" w:rsidP="001A296D">
            <w:pPr>
              <w:spacing w:after="0" w:line="240" w:lineRule="auto"/>
            </w:pPr>
            <w:r w:rsidRPr="00CA0AE3">
              <w:t xml:space="preserve">The Community Empowered Population Health Initiative builds and supports systems to address social determinants of health (SDH) and to address health disparities in patients with chronic conditions. This may be accomplished by implementing a screening and referral system for SDH, leveraging </w:t>
            </w:r>
            <w:r w:rsidRPr="00CA0AE3">
              <w:rPr>
                <w:color w:val="000000"/>
              </w:rPr>
              <w:t>close ties with social service agencies, s</w:t>
            </w:r>
            <w:r w:rsidRPr="00CA0AE3">
              <w:t>trengthening communities through collaboration with community and governmental agencies, and developing systems to improve chronic disease disparities.</w:t>
            </w:r>
          </w:p>
          <w:p w:rsidR="001A296D" w:rsidRPr="00CA0AE3" w:rsidRDefault="001A296D" w:rsidP="001A296D">
            <w:pPr>
              <w:spacing w:after="0" w:line="240" w:lineRule="auto"/>
            </w:pPr>
          </w:p>
          <w:p w:rsidR="001A296D" w:rsidRPr="00CA0AE3" w:rsidRDefault="001A296D" w:rsidP="001A296D">
            <w:pPr>
              <w:autoSpaceDE w:val="0"/>
              <w:autoSpaceDN w:val="0"/>
              <w:adjustRightInd w:val="0"/>
              <w:spacing w:after="0" w:line="240" w:lineRule="auto"/>
            </w:pPr>
            <w:r w:rsidRPr="00CA0AE3">
              <w:t xml:space="preserve">The initiative is </w:t>
            </w:r>
            <w:r w:rsidRPr="00CA0AE3">
              <w:rPr>
                <w:color w:val="222222"/>
              </w:rPr>
              <w:t>in recognition that social, behavioral and environmental factors account for 70% of what it takes to stay healthy while only 10% are attributable to direct medical care.</w:t>
            </w:r>
            <w:r w:rsidRPr="00CA0AE3">
              <w:rPr>
                <w:rStyle w:val="FootnoteReference"/>
                <w:color w:val="222222"/>
              </w:rPr>
              <w:footnoteReference w:id="98"/>
            </w:r>
            <w:r w:rsidRPr="00CA0AE3">
              <w:rPr>
                <w:color w:val="222222"/>
              </w:rPr>
              <w:t xml:space="preserve"> According</w:t>
            </w:r>
            <w:r w:rsidRPr="00CA0AE3">
              <w:t xml:space="preserve"> to the Institute of Medicine, “an aligned system with a strong interface among public health, health care, and the community and non health sectors could produce better prevention and treatment outcomes for populations living with chronic illness.”</w:t>
            </w:r>
            <w:r w:rsidRPr="00CA0AE3">
              <w:rPr>
                <w:rStyle w:val="FootnoteReference"/>
              </w:rPr>
              <w:footnoteReference w:id="99"/>
            </w:r>
            <w:r w:rsidRPr="00CA0AE3">
              <w:t xml:space="preserve"> Understanding the critical role of SDH, Healthy People 2020 highlights the importance of addressing the social determinants of health by including “Create social and physical environments that promote good health for all” as one of the four overarching goals for the decade.</w:t>
            </w:r>
            <w:r w:rsidRPr="00CA0AE3">
              <w:rPr>
                <w:rStyle w:val="FootnoteReference"/>
              </w:rPr>
              <w:footnoteReference w:id="100"/>
            </w:r>
            <w:r w:rsidRPr="00CA0AE3">
              <w:t xml:space="preserve">  Based on emerging evidence that addressing social needs through enhanced clinical-community linkages can improve health outcomes and reduce costs, CMS has prioritized addressing SDH through the Accountable Health Communities model to address critical gaps between clinical care and community services.</w:t>
            </w:r>
            <w:r w:rsidRPr="00CA0AE3">
              <w:rPr>
                <w:rStyle w:val="FootnoteReference"/>
              </w:rPr>
              <w:footnoteReference w:id="101"/>
            </w:r>
            <w:r w:rsidRPr="00CA0AE3">
              <w:t xml:space="preserve">  The initiative also recognizes that </w:t>
            </w:r>
            <w:r w:rsidRPr="00CA0AE3">
              <w:rPr>
                <w:rFonts w:cs="Adobe Garamond Pro"/>
              </w:rPr>
              <w:t>health</w:t>
            </w:r>
            <w:r w:rsidRPr="00CA0AE3">
              <w:rPr>
                <w:rFonts w:cs="Adobe Garamond Pro"/>
                <w:color w:val="000000"/>
              </w:rPr>
              <w:t xml:space="preserve"> disparities have persisted for </w:t>
            </w:r>
            <w:r w:rsidRPr="00CA0AE3">
              <w:rPr>
                <w:rFonts w:cs="Univers 47 CondensedLight"/>
                <w:color w:val="000000"/>
              </w:rPr>
              <w:t>families and communities that have systematically experienced social</w:t>
            </w:r>
            <w:r w:rsidR="00175454" w:rsidRPr="00CA0AE3">
              <w:rPr>
                <w:rFonts w:cs="Univers 47 CondensedLight"/>
                <w:color w:val="000000"/>
              </w:rPr>
              <w:t xml:space="preserve"> and economic disadvantage and </w:t>
            </w:r>
            <w:r w:rsidRPr="00CA0AE3">
              <w:rPr>
                <w:rFonts w:cs="Univers 47 CondensedLight"/>
                <w:color w:val="000000"/>
              </w:rPr>
              <w:t xml:space="preserve">consequently face greater obstacles to optimal health. </w:t>
            </w:r>
            <w:r w:rsidRPr="00CA0AE3">
              <w:rPr>
                <w:rFonts w:cs="Adobe Garamond Pro"/>
                <w:color w:val="000000"/>
              </w:rPr>
              <w:t xml:space="preserve"> In appreciation of the importance of addressing health disparities, CMS has laid out work</w:t>
            </w:r>
            <w:proofErr w:type="gramStart"/>
            <w:r w:rsidRPr="00CA0AE3">
              <w:rPr>
                <w:rFonts w:cs="Adobe Garamond Pro"/>
                <w:color w:val="000000"/>
              </w:rPr>
              <w:t>.</w:t>
            </w:r>
            <w:r w:rsidRPr="00CA0AE3">
              <w:rPr>
                <w:rStyle w:val="FootnoteReference"/>
                <w:rFonts w:cs="Adobe Garamond Pro"/>
                <w:color w:val="000000"/>
              </w:rPr>
              <w:footnoteReference w:id="102"/>
            </w:r>
            <w:r w:rsidRPr="00CA0AE3">
              <w:rPr>
                <w:rFonts w:cs="Adobe Garamond Pro"/>
                <w:color w:val="000000"/>
                <w:vertAlign w:val="superscript"/>
              </w:rPr>
              <w:t>,</w:t>
            </w:r>
            <w:proofErr w:type="gramEnd"/>
            <w:r w:rsidRPr="00CA0AE3">
              <w:rPr>
                <w:rStyle w:val="FootnoteReference"/>
                <w:rFonts w:cs="Adobe Garamond Pro"/>
                <w:color w:val="000000"/>
              </w:rPr>
              <w:footnoteReference w:id="103"/>
            </w:r>
          </w:p>
          <w:p w:rsidR="001A296D" w:rsidRPr="00CA0AE3" w:rsidRDefault="001A296D" w:rsidP="001A296D">
            <w:pPr>
              <w:pStyle w:val="Default"/>
              <w:rPr>
                <w:color w:val="auto"/>
                <w:sz w:val="22"/>
                <w:szCs w:val="22"/>
              </w:rPr>
            </w:pPr>
          </w:p>
          <w:p w:rsidR="001A296D" w:rsidRPr="00CA0AE3" w:rsidRDefault="001A296D" w:rsidP="001A296D">
            <w:pPr>
              <w:spacing w:after="0" w:line="240" w:lineRule="auto"/>
              <w:rPr>
                <w:color w:val="000000"/>
              </w:rPr>
            </w:pPr>
            <w:r w:rsidRPr="00CA0AE3">
              <w:rPr>
                <w:color w:val="000000"/>
              </w:rPr>
              <w:t xml:space="preserve">Improving SDH and health disparities requires supporting communities in addressing their health needs, implementing screening and referral processes to social service agencies and building programs that identify and address health disparities. Community health improvement teams will work with community based organizations and governmental entities to support their efforts to improve community health.   Clinical and community health improvement teams will work together to screen for SDH, refer patients with social needs to existing community services, and rescreen patients with social needs. Clinical and community health improvement teams will also work closely to identify populations with </w:t>
            </w:r>
            <w:r w:rsidRPr="00CA0AE3">
              <w:t>disproportionately higher rates of poor control of chronic health conditions</w:t>
            </w:r>
            <w:r w:rsidRPr="00CA0AE3">
              <w:rPr>
                <w:color w:val="000000"/>
              </w:rPr>
              <w:t xml:space="preserve">, monitor and improve their care through ensuring they receive interventions such as education, outreach, and linkage to primary, specialty and other ambulatory care services. </w:t>
            </w:r>
          </w:p>
        </w:tc>
      </w:tr>
      <w:tr w:rsidR="001A296D" w:rsidRPr="00CA0AE3" w:rsidTr="00C947DF">
        <w:tc>
          <w:tcPr>
            <w:tcW w:w="5000" w:type="pct"/>
            <w:gridSpan w:val="2"/>
            <w:shd w:val="clear" w:color="auto" w:fill="C6D9F1" w:themeFill="text2" w:themeFillTint="33"/>
            <w:vAlign w:val="center"/>
          </w:tcPr>
          <w:p w:rsidR="001A296D" w:rsidRPr="00CA0AE3" w:rsidRDefault="001A296D" w:rsidP="001A296D">
            <w:pPr>
              <w:pStyle w:val="Default"/>
              <w:rPr>
                <w:b/>
                <w:sz w:val="22"/>
                <w:szCs w:val="22"/>
              </w:rPr>
            </w:pPr>
            <w:r w:rsidRPr="00CA0AE3">
              <w:rPr>
                <w:b/>
                <w:sz w:val="22"/>
                <w:szCs w:val="22"/>
              </w:rPr>
              <w:t>Goals/Objectives</w:t>
            </w:r>
          </w:p>
        </w:tc>
      </w:tr>
      <w:tr w:rsidR="001A296D" w:rsidRPr="00CA0AE3" w:rsidTr="00C947DF">
        <w:tc>
          <w:tcPr>
            <w:tcW w:w="5000" w:type="pct"/>
            <w:gridSpan w:val="2"/>
            <w:tcBorders>
              <w:bottom w:val="single" w:sz="6" w:space="0" w:color="auto"/>
            </w:tcBorders>
            <w:shd w:val="clear" w:color="auto" w:fill="auto"/>
          </w:tcPr>
          <w:p w:rsidR="001A296D" w:rsidRPr="00CA0AE3" w:rsidRDefault="001A296D" w:rsidP="001A296D">
            <w:pPr>
              <w:spacing w:after="0" w:line="240" w:lineRule="auto"/>
              <w:textAlignment w:val="baseline"/>
              <w:rPr>
                <w:color w:val="000000"/>
              </w:rPr>
            </w:pPr>
            <w:r w:rsidRPr="00CA0AE3">
              <w:rPr>
                <w:color w:val="000000"/>
              </w:rPr>
              <w:t xml:space="preserve">This initiative will build on community relationships and clinical care infrastructure to drive coordinated care across the medical to community continuum for panel patients and to improve the health of the communities we serve. The initiative aims to increase screening for social determinants of health, referral to social service agencies, and improvement in chronic disease care for patients with disproportionately lower rates of chronic disease control. Thus, this project is intended to support high quality patient-centered care by more completely addressing the full spectrum of needs for patients. This will in turn support efforts to improve the health of patients and communities.  </w:t>
            </w:r>
          </w:p>
          <w:p w:rsidR="001A296D" w:rsidRPr="00CA0AE3" w:rsidRDefault="001A296D" w:rsidP="001A296D">
            <w:pPr>
              <w:pStyle w:val="Default"/>
              <w:rPr>
                <w:b/>
                <w:sz w:val="22"/>
                <w:szCs w:val="22"/>
              </w:rPr>
            </w:pPr>
          </w:p>
          <w:p w:rsidR="001A296D" w:rsidRPr="00CA0AE3" w:rsidRDefault="001A296D" w:rsidP="001A296D">
            <w:pPr>
              <w:pStyle w:val="Default"/>
              <w:rPr>
                <w:sz w:val="22"/>
                <w:szCs w:val="22"/>
              </w:rPr>
            </w:pPr>
            <w:r w:rsidRPr="00CA0AE3">
              <w:rPr>
                <w:sz w:val="22"/>
                <w:szCs w:val="22"/>
              </w:rPr>
              <w:t>Specific objectives include:</w:t>
            </w:r>
          </w:p>
          <w:p w:rsidR="001A296D" w:rsidRPr="00CA0AE3" w:rsidRDefault="001A296D" w:rsidP="001A296D">
            <w:pPr>
              <w:pStyle w:val="Default"/>
              <w:numPr>
                <w:ilvl w:val="0"/>
                <w:numId w:val="46"/>
              </w:numPr>
              <w:rPr>
                <w:sz w:val="22"/>
                <w:szCs w:val="22"/>
              </w:rPr>
            </w:pPr>
            <w:r w:rsidRPr="00CA0AE3">
              <w:rPr>
                <w:sz w:val="22"/>
                <w:szCs w:val="22"/>
              </w:rPr>
              <w:lastRenderedPageBreak/>
              <w:t>Address social determinants of health through screening of defined patient panel population in order to refer to responsive community and social services</w:t>
            </w:r>
          </w:p>
          <w:p w:rsidR="001A296D" w:rsidRPr="00CA0AE3" w:rsidRDefault="001A296D" w:rsidP="00175454">
            <w:pPr>
              <w:pStyle w:val="Default"/>
              <w:numPr>
                <w:ilvl w:val="0"/>
                <w:numId w:val="46"/>
              </w:numPr>
              <w:rPr>
                <w:sz w:val="22"/>
                <w:szCs w:val="22"/>
              </w:rPr>
            </w:pPr>
            <w:r w:rsidRPr="00CA0AE3">
              <w:rPr>
                <w:sz w:val="22"/>
                <w:szCs w:val="22"/>
              </w:rPr>
              <w:t xml:space="preserve">Increase use of social determinant screening tools and implement follow-up rescreening to </w:t>
            </w:r>
            <w:r w:rsidRPr="00CA0AE3">
              <w:rPr>
                <w:bCs/>
                <w:sz w:val="22"/>
                <w:szCs w:val="22"/>
              </w:rPr>
              <w:t>assess social determinants of health and progress made through active referrals to community and social supports.</w:t>
            </w:r>
          </w:p>
          <w:p w:rsidR="001A296D" w:rsidRPr="00CA0AE3" w:rsidRDefault="001A296D" w:rsidP="00175454">
            <w:pPr>
              <w:pStyle w:val="Default"/>
              <w:numPr>
                <w:ilvl w:val="0"/>
                <w:numId w:val="46"/>
              </w:numPr>
              <w:rPr>
                <w:sz w:val="22"/>
                <w:szCs w:val="22"/>
              </w:rPr>
            </w:pPr>
            <w:r w:rsidRPr="00CA0AE3">
              <w:rPr>
                <w:bCs/>
                <w:sz w:val="22"/>
                <w:szCs w:val="22"/>
              </w:rPr>
              <w:t>Develop systems for referrals to community and social service organizations.</w:t>
            </w:r>
          </w:p>
          <w:p w:rsidR="001A296D" w:rsidRPr="00CA0AE3" w:rsidRDefault="001A296D" w:rsidP="00175454">
            <w:pPr>
              <w:pStyle w:val="Default"/>
              <w:numPr>
                <w:ilvl w:val="0"/>
                <w:numId w:val="46"/>
              </w:numPr>
              <w:rPr>
                <w:sz w:val="22"/>
                <w:szCs w:val="22"/>
              </w:rPr>
            </w:pPr>
            <w:r w:rsidRPr="00CA0AE3">
              <w:rPr>
                <w:bCs/>
                <w:sz w:val="22"/>
                <w:szCs w:val="22"/>
              </w:rPr>
              <w:t>Explore and initiate the use of innovative technologies for social determinant screening, referrals to community and social service resources, patient education and/or self-management support.</w:t>
            </w:r>
          </w:p>
          <w:p w:rsidR="001A296D" w:rsidRPr="00CA0AE3" w:rsidRDefault="001A296D" w:rsidP="00175454">
            <w:pPr>
              <w:pStyle w:val="Default"/>
              <w:numPr>
                <w:ilvl w:val="0"/>
                <w:numId w:val="46"/>
              </w:numPr>
              <w:rPr>
                <w:sz w:val="22"/>
                <w:szCs w:val="22"/>
              </w:rPr>
            </w:pPr>
            <w:r w:rsidRPr="00CA0AE3">
              <w:rPr>
                <w:sz w:val="22"/>
                <w:szCs w:val="22"/>
              </w:rPr>
              <w:t>Evaluate patient panel for health disparities as defined by disproportionately higher rates of poor control of chronic health conditions such as hypertension and diabetes control to select target population(s) for improvement initiatives.</w:t>
            </w:r>
          </w:p>
          <w:p w:rsidR="001A296D" w:rsidRPr="00CA0AE3" w:rsidRDefault="001A296D" w:rsidP="00175454">
            <w:pPr>
              <w:pStyle w:val="Default"/>
              <w:numPr>
                <w:ilvl w:val="0"/>
                <w:numId w:val="46"/>
              </w:numPr>
              <w:rPr>
                <w:sz w:val="22"/>
                <w:szCs w:val="22"/>
              </w:rPr>
            </w:pPr>
            <w:r w:rsidRPr="00CA0AE3">
              <w:rPr>
                <w:sz w:val="22"/>
                <w:szCs w:val="22"/>
              </w:rPr>
              <w:t>As measured by nationally validated measures for hypertension control and diabetes blood glucose control, monitor and improve health outcomes for targeted patient population(s) identified with disproportionately poorer control of their health condition.</w:t>
            </w:r>
          </w:p>
          <w:p w:rsidR="001A296D" w:rsidRPr="00CA0AE3" w:rsidRDefault="001A296D" w:rsidP="00175454">
            <w:pPr>
              <w:pStyle w:val="Default"/>
              <w:numPr>
                <w:ilvl w:val="0"/>
                <w:numId w:val="46"/>
              </w:numPr>
              <w:rPr>
                <w:sz w:val="22"/>
                <w:szCs w:val="22"/>
              </w:rPr>
            </w:pPr>
            <w:r w:rsidRPr="00CA0AE3">
              <w:rPr>
                <w:sz w:val="22"/>
                <w:szCs w:val="22"/>
              </w:rPr>
              <w:t xml:space="preserve">Develop and implement patient-centered education, outreach, and/or other interventions to support the effective management of chronic health conditions. </w:t>
            </w:r>
          </w:p>
          <w:p w:rsidR="001A296D" w:rsidRPr="00CA0AE3" w:rsidRDefault="001A296D" w:rsidP="00175454">
            <w:pPr>
              <w:pStyle w:val="Default"/>
              <w:numPr>
                <w:ilvl w:val="0"/>
                <w:numId w:val="46"/>
              </w:numPr>
              <w:rPr>
                <w:sz w:val="22"/>
                <w:szCs w:val="22"/>
              </w:rPr>
            </w:pPr>
            <w:r w:rsidRPr="00CA0AE3">
              <w:rPr>
                <w:sz w:val="22"/>
                <w:szCs w:val="22"/>
              </w:rPr>
              <w:t>Increase community-based, primary care, specialty care, complex care management and ambulatory care utilization for targeted patient populations with higher rates of poor control of their chronic health condition.</w:t>
            </w:r>
          </w:p>
          <w:p w:rsidR="001A296D" w:rsidRPr="00CA0AE3" w:rsidRDefault="001A296D" w:rsidP="001A296D">
            <w:pPr>
              <w:pStyle w:val="Default"/>
              <w:numPr>
                <w:ilvl w:val="0"/>
                <w:numId w:val="46"/>
              </w:numPr>
              <w:rPr>
                <w:sz w:val="22"/>
                <w:szCs w:val="22"/>
              </w:rPr>
            </w:pPr>
            <w:r w:rsidRPr="00CA0AE3">
              <w:rPr>
                <w:sz w:val="22"/>
                <w:szCs w:val="22"/>
              </w:rPr>
              <w:t>Foster community partnerships that link community and public health with patient panel health promotion initiatives.</w:t>
            </w:r>
          </w:p>
        </w:tc>
      </w:tr>
      <w:tr w:rsidR="001A296D" w:rsidRPr="00CA0AE3" w:rsidTr="00C947DF">
        <w:tc>
          <w:tcPr>
            <w:tcW w:w="5000" w:type="pct"/>
            <w:gridSpan w:val="2"/>
            <w:tcBorders>
              <w:top w:val="single" w:sz="6" w:space="0" w:color="auto"/>
              <w:bottom w:val="single" w:sz="6" w:space="0" w:color="auto"/>
            </w:tcBorders>
            <w:shd w:val="clear" w:color="auto" w:fill="C6D9F1" w:themeFill="text2" w:themeFillTint="33"/>
            <w:vAlign w:val="center"/>
          </w:tcPr>
          <w:p w:rsidR="001A296D" w:rsidRPr="00CA0AE3" w:rsidRDefault="001A296D" w:rsidP="001A296D">
            <w:pPr>
              <w:pStyle w:val="Default"/>
              <w:rPr>
                <w:b/>
                <w:sz w:val="22"/>
                <w:szCs w:val="22"/>
              </w:rPr>
            </w:pPr>
            <w:r w:rsidRPr="00CA0AE3">
              <w:rPr>
                <w:b/>
                <w:sz w:val="22"/>
                <w:szCs w:val="22"/>
              </w:rPr>
              <w:lastRenderedPageBreak/>
              <w:t>Core Components</w:t>
            </w:r>
          </w:p>
        </w:tc>
      </w:tr>
      <w:tr w:rsidR="001A296D" w:rsidRPr="00CA0AE3" w:rsidTr="00C947DF">
        <w:tc>
          <w:tcPr>
            <w:tcW w:w="5000" w:type="pct"/>
            <w:gridSpan w:val="2"/>
            <w:tcBorders>
              <w:top w:val="single" w:sz="6" w:space="0" w:color="auto"/>
            </w:tcBorders>
          </w:tcPr>
          <w:p w:rsidR="001A296D" w:rsidRPr="00CA0AE3" w:rsidRDefault="001A296D" w:rsidP="001A296D">
            <w:pPr>
              <w:spacing w:after="0" w:line="240" w:lineRule="auto"/>
              <w:textAlignment w:val="baseline"/>
              <w:rPr>
                <w:color w:val="000000"/>
              </w:rPr>
            </w:pPr>
            <w:r w:rsidRPr="00CA0AE3">
              <w:rPr>
                <w:color w:val="000000"/>
              </w:rPr>
              <w:t>This initiative, if undertaken, may include the following components:</w:t>
            </w:r>
          </w:p>
          <w:p w:rsidR="001A296D" w:rsidRPr="00CA0AE3" w:rsidRDefault="001A296D" w:rsidP="001A296D">
            <w:pPr>
              <w:pStyle w:val="ListParagraph"/>
              <w:numPr>
                <w:ilvl w:val="0"/>
                <w:numId w:val="45"/>
              </w:numPr>
              <w:spacing w:after="0" w:line="240" w:lineRule="auto"/>
              <w:ind w:left="360"/>
              <w:textAlignment w:val="baseline"/>
              <w:rPr>
                <w:color w:val="000000"/>
              </w:rPr>
            </w:pPr>
            <w:r w:rsidRPr="00CA0AE3">
              <w:rPr>
                <w:color w:val="000000"/>
              </w:rPr>
              <w:t xml:space="preserve">Build systems to screen for social determinants of health across defined patient panel population segment(s), such as vulnerable patients with chronic conditions and/or behavioral health conditions, high risk/ high utilizers, clinical practice sites and/or others. </w:t>
            </w:r>
          </w:p>
          <w:p w:rsidR="001A296D" w:rsidRPr="00CA0AE3" w:rsidRDefault="001A296D" w:rsidP="001A296D">
            <w:pPr>
              <w:pStyle w:val="ListParagraph"/>
              <w:numPr>
                <w:ilvl w:val="0"/>
                <w:numId w:val="45"/>
              </w:numPr>
              <w:spacing w:after="0" w:line="240" w:lineRule="auto"/>
              <w:ind w:left="360"/>
              <w:textAlignment w:val="baseline"/>
              <w:rPr>
                <w:color w:val="000000"/>
              </w:rPr>
            </w:pPr>
            <w:r w:rsidRPr="00CA0AE3">
              <w:rPr>
                <w:bCs/>
                <w:color w:val="000000"/>
              </w:rPr>
              <w:t>Identify social determinant(s) tools and develop and implement processes for screening and follow-up rescreening to assess social determinants of health and progress made through active referrals to community and social supports.</w:t>
            </w:r>
          </w:p>
          <w:p w:rsidR="001A296D" w:rsidRPr="00CA0AE3" w:rsidRDefault="001A296D" w:rsidP="001A296D">
            <w:pPr>
              <w:pStyle w:val="ListParagraph"/>
              <w:numPr>
                <w:ilvl w:val="1"/>
                <w:numId w:val="45"/>
              </w:numPr>
              <w:spacing w:after="0" w:line="240" w:lineRule="auto"/>
              <w:ind w:left="1080"/>
              <w:textAlignment w:val="baseline"/>
              <w:rPr>
                <w:color w:val="000000"/>
              </w:rPr>
            </w:pPr>
            <w:r w:rsidRPr="00CA0AE3">
              <w:rPr>
                <w:bCs/>
                <w:color w:val="000000"/>
              </w:rPr>
              <w:t>Implementation of innovative technology for initial and reassessment of social determinants of health for selected patient populations.</w:t>
            </w:r>
          </w:p>
          <w:p w:rsidR="001A296D" w:rsidRPr="00CA0AE3" w:rsidRDefault="001A296D" w:rsidP="001A296D">
            <w:pPr>
              <w:pStyle w:val="ListParagraph"/>
              <w:numPr>
                <w:ilvl w:val="0"/>
                <w:numId w:val="45"/>
              </w:numPr>
              <w:spacing w:after="0" w:line="240" w:lineRule="auto"/>
              <w:ind w:left="360"/>
              <w:textAlignment w:val="baseline"/>
              <w:rPr>
                <w:bCs/>
                <w:color w:val="000000"/>
              </w:rPr>
            </w:pPr>
            <w:r w:rsidRPr="00CA0AE3">
              <w:rPr>
                <w:bCs/>
                <w:color w:val="000000"/>
              </w:rPr>
              <w:t xml:space="preserve">Develop and implement a referral system to community and social services and supports, which may include a range of services such as organizations addressing food insecurity, housing concerns, legal assistance. Establish relationships and referral systems with community services and social services organizations in order to refer patients for services, including those who have been screened for social determinants of health. </w:t>
            </w:r>
          </w:p>
          <w:p w:rsidR="001A296D" w:rsidRPr="00CA0AE3" w:rsidRDefault="001A296D" w:rsidP="001A296D">
            <w:pPr>
              <w:pStyle w:val="ListParagraph"/>
              <w:numPr>
                <w:ilvl w:val="0"/>
                <w:numId w:val="45"/>
              </w:numPr>
              <w:spacing w:after="0" w:line="240" w:lineRule="auto"/>
              <w:ind w:left="360"/>
              <w:textAlignment w:val="baseline"/>
              <w:rPr>
                <w:color w:val="000000"/>
              </w:rPr>
            </w:pPr>
            <w:r w:rsidRPr="00CA0AE3">
              <w:rPr>
                <w:color w:val="000000"/>
              </w:rPr>
              <w:t xml:space="preserve">Based on an assessment of patient populations with disproportionately poorer outcomes on effective control of health conditions such as hypertension and diabetes, develop strategies which may include small tests of change and other population-specific initiatives, to improve how the health care delivery system in partnership with community and social services support patients in managing their health condition(s) and impacts the defined health outcome measure(s). </w:t>
            </w:r>
          </w:p>
          <w:p w:rsidR="001A296D" w:rsidRPr="00CA0AE3" w:rsidRDefault="001A296D" w:rsidP="001A296D">
            <w:pPr>
              <w:pStyle w:val="ListParagraph"/>
              <w:numPr>
                <w:ilvl w:val="0"/>
                <w:numId w:val="45"/>
              </w:numPr>
              <w:spacing w:after="0" w:line="240" w:lineRule="auto"/>
              <w:ind w:left="360"/>
              <w:textAlignment w:val="baseline"/>
              <w:rPr>
                <w:color w:val="000000"/>
              </w:rPr>
            </w:pPr>
            <w:r w:rsidRPr="00CA0AE3">
              <w:rPr>
                <w:color w:val="000000"/>
              </w:rPr>
              <w:t>Implement and measure the proportion of patients in the defined patient panel population(s) with disproportionately poorer health outcomes for hypertension and diabetes control that receive patient education, outreach, or another intervention to support effective chronic health condition management.</w:t>
            </w:r>
          </w:p>
          <w:p w:rsidR="001A296D" w:rsidRPr="00CA0AE3" w:rsidRDefault="001A296D" w:rsidP="001A296D">
            <w:pPr>
              <w:pStyle w:val="ListParagraph"/>
              <w:numPr>
                <w:ilvl w:val="0"/>
                <w:numId w:val="45"/>
              </w:numPr>
              <w:spacing w:after="0" w:line="240" w:lineRule="auto"/>
              <w:ind w:left="360"/>
              <w:textAlignment w:val="baseline"/>
              <w:rPr>
                <w:color w:val="000000"/>
              </w:rPr>
            </w:pPr>
            <w:r w:rsidRPr="00CA0AE3">
              <w:rPr>
                <w:color w:val="000000"/>
              </w:rPr>
              <w:t>Devise and implement activities to increase primary care and other ambulatory care utilization for the defined patient population(s) with health disparities as a usual source of care.</w:t>
            </w:r>
          </w:p>
          <w:p w:rsidR="001A296D" w:rsidRPr="00CA0AE3" w:rsidRDefault="001A296D" w:rsidP="001A296D">
            <w:pPr>
              <w:pStyle w:val="ListParagraph"/>
              <w:numPr>
                <w:ilvl w:val="0"/>
                <w:numId w:val="45"/>
              </w:numPr>
              <w:spacing w:after="0" w:line="240" w:lineRule="auto"/>
              <w:ind w:left="360"/>
              <w:textAlignment w:val="baseline"/>
              <w:rPr>
                <w:color w:val="000000"/>
              </w:rPr>
            </w:pPr>
            <w:r w:rsidRPr="00CA0AE3">
              <w:rPr>
                <w:color w:val="000000"/>
              </w:rPr>
              <w:t xml:space="preserve">Build on relationships with communities to: </w:t>
            </w:r>
          </w:p>
          <w:p w:rsidR="001A296D" w:rsidRPr="00CA0AE3" w:rsidRDefault="001A296D" w:rsidP="001A296D">
            <w:pPr>
              <w:pStyle w:val="ListParagraph"/>
              <w:numPr>
                <w:ilvl w:val="1"/>
                <w:numId w:val="45"/>
              </w:numPr>
              <w:spacing w:after="0" w:line="240" w:lineRule="auto"/>
              <w:ind w:left="1080"/>
              <w:textAlignment w:val="baseline"/>
              <w:rPr>
                <w:color w:val="000000"/>
              </w:rPr>
            </w:pPr>
            <w:r w:rsidRPr="00CA0AE3">
              <w:rPr>
                <w:color w:val="000000"/>
              </w:rPr>
              <w:t>Provide communities with information about the health and well being of their community by providing a health assessment in targeted communities</w:t>
            </w:r>
          </w:p>
          <w:p w:rsidR="001A296D" w:rsidRPr="00CA0AE3" w:rsidRDefault="001A296D" w:rsidP="001A296D">
            <w:pPr>
              <w:pStyle w:val="ListParagraph"/>
              <w:numPr>
                <w:ilvl w:val="1"/>
                <w:numId w:val="45"/>
              </w:numPr>
              <w:spacing w:after="0" w:line="240" w:lineRule="auto"/>
              <w:ind w:left="1080"/>
              <w:textAlignment w:val="baseline"/>
              <w:rPr>
                <w:color w:val="000000"/>
              </w:rPr>
            </w:pPr>
            <w:r w:rsidRPr="00CA0AE3">
              <w:rPr>
                <w:color w:val="000000"/>
              </w:rPr>
              <w:lastRenderedPageBreak/>
              <w:t>Provide educational programs in the targeted communities on topics to prevent or address chronic medical conditions, such as hypertension/heart health, diabetes, chronic obstructive pulmonary disease, asthma, and/or mental health and substance use.</w:t>
            </w:r>
          </w:p>
          <w:p w:rsidR="001A296D" w:rsidRPr="00CA0AE3" w:rsidRDefault="001A296D" w:rsidP="001A296D">
            <w:pPr>
              <w:pStyle w:val="ListParagraph"/>
              <w:numPr>
                <w:ilvl w:val="1"/>
                <w:numId w:val="45"/>
              </w:numPr>
              <w:spacing w:after="0" w:line="240" w:lineRule="auto"/>
              <w:ind w:left="1080"/>
              <w:textAlignment w:val="baseline"/>
              <w:rPr>
                <w:color w:val="000000"/>
              </w:rPr>
            </w:pPr>
            <w:r w:rsidRPr="00CA0AE3">
              <w:rPr>
                <w:color w:val="000000"/>
              </w:rPr>
              <w:t>Foster community and clinically-linked population efforts through ongoing collaborations with community, public health and social services organizations to discuss common health priorities, the needs of their communities and to work together on responsive efforts.</w:t>
            </w:r>
          </w:p>
          <w:p w:rsidR="005F46C3" w:rsidRPr="00CA0AE3" w:rsidRDefault="001A296D">
            <w:pPr>
              <w:pStyle w:val="ListParagraph"/>
              <w:numPr>
                <w:ilvl w:val="1"/>
                <w:numId w:val="45"/>
              </w:numPr>
              <w:spacing w:after="0" w:line="240" w:lineRule="auto"/>
              <w:textAlignment w:val="baseline"/>
              <w:rPr>
                <w:color w:val="000000"/>
              </w:rPr>
            </w:pPr>
            <w:r w:rsidRPr="00CA0AE3">
              <w:rPr>
                <w:color w:val="000000"/>
              </w:rPr>
              <w:t xml:space="preserve">Work with community, public health and social services organizations to support efforts to address healthy living, physical activity, nutrition and mental illness/substance abuse </w:t>
            </w:r>
          </w:p>
          <w:p w:rsidR="001A296D" w:rsidRPr="00CA0AE3" w:rsidRDefault="001A296D" w:rsidP="001A296D">
            <w:pPr>
              <w:pStyle w:val="ListParagraph"/>
              <w:numPr>
                <w:ilvl w:val="1"/>
                <w:numId w:val="45"/>
              </w:numPr>
              <w:spacing w:after="0" w:line="240" w:lineRule="auto"/>
              <w:ind w:left="1080"/>
              <w:textAlignment w:val="baseline"/>
              <w:rPr>
                <w:rFonts w:ascii="Arial" w:hAnsi="Arial" w:cs="Arial"/>
              </w:rPr>
            </w:pPr>
            <w:r w:rsidRPr="00CA0AE3">
              <w:rPr>
                <w:color w:val="000000"/>
              </w:rPr>
              <w:t>Incorporates social service partners into care planning, coordination and case review efforts to facilitate resolution of identified social determinants for specific regionally-based patient populations.</w:t>
            </w:r>
          </w:p>
        </w:tc>
      </w:tr>
    </w:tbl>
    <w:p w:rsidR="001A296D" w:rsidRPr="00CA0AE3" w:rsidRDefault="001A296D"/>
    <w:p w:rsidR="00ED4745" w:rsidRPr="00CA0AE3" w:rsidRDefault="00ED4745" w:rsidP="00E37119">
      <w:pPr>
        <w:pStyle w:val="ListParagraph"/>
        <w:autoSpaceDE w:val="0"/>
        <w:autoSpaceDN w:val="0"/>
        <w:adjustRightInd w:val="0"/>
        <w:spacing w:after="0" w:line="240" w:lineRule="auto"/>
        <w:ind w:left="1080"/>
        <w:jc w:val="both"/>
        <w:sectPr w:rsidR="00ED4745" w:rsidRPr="00CA0AE3" w:rsidSect="00147DA7">
          <w:footerReference w:type="default" r:id="rId21"/>
          <w:pgSz w:w="12240" w:h="15840"/>
          <w:pgMar w:top="1260" w:right="1260" w:bottom="1260" w:left="1440" w:header="720" w:footer="720" w:gutter="0"/>
          <w:cols w:space="720"/>
          <w:docGrid w:linePitch="360"/>
        </w:sectPr>
      </w:pPr>
    </w:p>
    <w:tbl>
      <w:tblPr>
        <w:tblW w:w="13146" w:type="dxa"/>
        <w:tblInd w:w="-83" w:type="dxa"/>
        <w:tblLayout w:type="fixed"/>
        <w:tblCellMar>
          <w:left w:w="0" w:type="dxa"/>
          <w:right w:w="0" w:type="dxa"/>
        </w:tblCellMar>
        <w:tblLook w:val="04A0" w:firstRow="1" w:lastRow="0" w:firstColumn="1" w:lastColumn="0" w:noHBand="0" w:noVBand="1"/>
      </w:tblPr>
      <w:tblGrid>
        <w:gridCol w:w="316"/>
        <w:gridCol w:w="1937"/>
        <w:gridCol w:w="1080"/>
        <w:gridCol w:w="1350"/>
        <w:gridCol w:w="1530"/>
        <w:gridCol w:w="900"/>
        <w:gridCol w:w="1170"/>
        <w:gridCol w:w="1170"/>
        <w:gridCol w:w="1170"/>
        <w:gridCol w:w="1170"/>
        <w:gridCol w:w="1353"/>
      </w:tblGrid>
      <w:tr w:rsidR="001A296D" w:rsidRPr="00CA0AE3" w:rsidTr="001A296D">
        <w:trPr>
          <w:cantSplit/>
          <w:trHeight w:val="398"/>
          <w:tblHeader/>
        </w:trPr>
        <w:tc>
          <w:tcPr>
            <w:tcW w:w="13146" w:type="dxa"/>
            <w:gridSpan w:val="11"/>
            <w:tcBorders>
              <w:top w:val="single" w:sz="8" w:space="0" w:color="000000"/>
              <w:left w:val="single" w:sz="8" w:space="0" w:color="000000"/>
              <w:bottom w:val="single" w:sz="8" w:space="0" w:color="000000"/>
              <w:right w:val="single" w:sz="8" w:space="0" w:color="000000"/>
            </w:tcBorders>
            <w:shd w:val="clear" w:color="auto" w:fill="C6D9F1" w:themeFill="text2" w:themeFillTint="33"/>
            <w:vAlign w:val="center"/>
          </w:tcPr>
          <w:p w:rsidR="001A296D" w:rsidRPr="00CA0AE3" w:rsidRDefault="001A296D" w:rsidP="001A296D">
            <w:pPr>
              <w:spacing w:after="0" w:line="240" w:lineRule="auto"/>
              <w:rPr>
                <w:rFonts w:eastAsia="Times New Roman"/>
                <w:b/>
                <w:bCs/>
                <w:color w:val="000000"/>
                <w:kern w:val="24"/>
                <w:sz w:val="20"/>
              </w:rPr>
            </w:pPr>
            <w:r w:rsidRPr="00CA0AE3">
              <w:rPr>
                <w:rFonts w:eastAsia="Times New Roman"/>
                <w:b/>
                <w:bCs/>
                <w:color w:val="000000"/>
                <w:kern w:val="24"/>
                <w:sz w:val="20"/>
              </w:rPr>
              <w:lastRenderedPageBreak/>
              <w:t>Required Measure Slate:  Improvement and Outcomes Measures –</w:t>
            </w:r>
            <w:r w:rsidR="00952A5B" w:rsidRPr="00CA0AE3">
              <w:rPr>
                <w:rFonts w:eastAsia="Times New Roman"/>
                <w:b/>
                <w:bCs/>
                <w:color w:val="000000"/>
                <w:kern w:val="24"/>
                <w:sz w:val="20"/>
              </w:rPr>
              <w:t xml:space="preserve"> (Not Selected)</w:t>
            </w:r>
          </w:p>
          <w:p w:rsidR="001A296D" w:rsidRPr="00CA0AE3" w:rsidRDefault="001A296D" w:rsidP="001A296D">
            <w:pPr>
              <w:spacing w:after="0" w:line="240" w:lineRule="auto"/>
              <w:rPr>
                <w:rFonts w:eastAsia="Times New Roman"/>
                <w:b/>
                <w:bCs/>
                <w:color w:val="000000"/>
                <w:kern w:val="24"/>
                <w:sz w:val="20"/>
              </w:rPr>
            </w:pPr>
            <w:r w:rsidRPr="00CA0AE3">
              <w:rPr>
                <w:b/>
                <w:i/>
                <w:sz w:val="20"/>
              </w:rPr>
              <w:t>(Achieve 3 of 9 Outcome Measures in Year 2, 5 of 9 in Year 3, 5 of 9 in Year 4, and 6 of 9 in Year 5).</w:t>
            </w:r>
          </w:p>
        </w:tc>
      </w:tr>
      <w:tr w:rsidR="001A296D" w:rsidRPr="00CA0AE3" w:rsidTr="001A296D">
        <w:trPr>
          <w:cantSplit/>
          <w:trHeight w:val="398"/>
          <w:tblHeader/>
        </w:trPr>
        <w:tc>
          <w:tcPr>
            <w:tcW w:w="2253" w:type="dxa"/>
            <w:gridSpan w:val="2"/>
            <w:tcBorders>
              <w:top w:val="single" w:sz="8" w:space="0" w:color="000000"/>
              <w:left w:val="single" w:sz="8" w:space="0" w:color="000000"/>
              <w:bottom w:val="single" w:sz="8" w:space="0" w:color="000000"/>
              <w:right w:val="single" w:sz="8" w:space="0" w:color="000000"/>
            </w:tcBorders>
            <w:shd w:val="clear" w:color="auto" w:fill="C6D9F1" w:themeFill="text2" w:themeFillTint="33"/>
            <w:vAlign w:val="center"/>
          </w:tcPr>
          <w:p w:rsidR="001A296D" w:rsidRPr="00CA0AE3" w:rsidRDefault="001A296D" w:rsidP="001A296D">
            <w:pPr>
              <w:spacing w:after="0" w:line="240" w:lineRule="auto"/>
              <w:jc w:val="center"/>
              <w:rPr>
                <w:rFonts w:eastAsia="Times New Roman"/>
                <w:b/>
                <w:bCs/>
                <w:color w:val="000000"/>
                <w:kern w:val="24"/>
                <w:sz w:val="20"/>
              </w:rPr>
            </w:pPr>
            <w:r w:rsidRPr="00CA0AE3">
              <w:rPr>
                <w:rFonts w:eastAsia="Times New Roman"/>
                <w:b/>
                <w:bCs/>
                <w:color w:val="000000"/>
                <w:kern w:val="24"/>
                <w:sz w:val="20"/>
              </w:rPr>
              <w:t>Measure Slate 5</w:t>
            </w:r>
          </w:p>
        </w:tc>
        <w:tc>
          <w:tcPr>
            <w:tcW w:w="3960" w:type="dxa"/>
            <w:gridSpan w:val="3"/>
            <w:tcBorders>
              <w:top w:val="single" w:sz="8" w:space="0" w:color="000000"/>
              <w:left w:val="single" w:sz="8" w:space="0" w:color="000000"/>
              <w:bottom w:val="single" w:sz="8" w:space="0" w:color="000000"/>
              <w:right w:val="single" w:sz="8" w:space="0" w:color="000000"/>
            </w:tcBorders>
            <w:shd w:val="clear" w:color="auto" w:fill="C6D9F1" w:themeFill="text2" w:themeFillTint="33"/>
            <w:tcMar>
              <w:top w:w="13" w:type="dxa"/>
              <w:left w:w="93" w:type="dxa"/>
              <w:bottom w:w="0" w:type="dxa"/>
              <w:right w:w="93" w:type="dxa"/>
            </w:tcMar>
            <w:vAlign w:val="center"/>
            <w:hideMark/>
          </w:tcPr>
          <w:p w:rsidR="001A296D" w:rsidRPr="00CA0AE3" w:rsidRDefault="003B1E4A" w:rsidP="001A296D">
            <w:pPr>
              <w:spacing w:after="0" w:line="240" w:lineRule="auto"/>
              <w:jc w:val="center"/>
              <w:rPr>
                <w:rFonts w:eastAsia="Times New Roman"/>
                <w:b/>
                <w:bCs/>
                <w:color w:val="000000"/>
                <w:kern w:val="24"/>
                <w:sz w:val="20"/>
              </w:rPr>
            </w:pPr>
            <w:r w:rsidRPr="00CA0AE3">
              <w:rPr>
                <w:rFonts w:eastAsia="Times New Roman"/>
                <w:b/>
                <w:bCs/>
                <w:color w:val="000000"/>
                <w:kern w:val="24"/>
                <w:sz w:val="20"/>
              </w:rPr>
              <w:t xml:space="preserve">5: </w:t>
            </w:r>
            <w:r w:rsidR="001A296D" w:rsidRPr="00CA0AE3">
              <w:rPr>
                <w:rFonts w:eastAsia="Times New Roman"/>
                <w:b/>
                <w:bCs/>
                <w:color w:val="000000"/>
                <w:kern w:val="24"/>
                <w:sz w:val="20"/>
              </w:rPr>
              <w:t>Community Empowered Population Health Initiative</w:t>
            </w:r>
          </w:p>
        </w:tc>
        <w:tc>
          <w:tcPr>
            <w:tcW w:w="900" w:type="dxa"/>
            <w:tcBorders>
              <w:top w:val="single" w:sz="8" w:space="0" w:color="000000"/>
              <w:left w:val="single" w:sz="8" w:space="0" w:color="000000"/>
              <w:bottom w:val="single" w:sz="8" w:space="0" w:color="000000"/>
              <w:right w:val="single" w:sz="8" w:space="0" w:color="000000"/>
            </w:tcBorders>
            <w:shd w:val="clear" w:color="auto" w:fill="C6D9F1" w:themeFill="text2" w:themeFillTint="33"/>
            <w:vAlign w:val="center"/>
          </w:tcPr>
          <w:p w:rsidR="001A296D" w:rsidRPr="00CA0AE3" w:rsidRDefault="001A296D" w:rsidP="001A296D">
            <w:pPr>
              <w:spacing w:after="0" w:line="240" w:lineRule="auto"/>
              <w:jc w:val="center"/>
              <w:rPr>
                <w:rFonts w:eastAsia="Times New Roman"/>
                <w:b/>
                <w:bCs/>
                <w:color w:val="000000"/>
                <w:kern w:val="24"/>
                <w:sz w:val="20"/>
              </w:rPr>
            </w:pPr>
            <w:r w:rsidRPr="00CA0AE3">
              <w:rPr>
                <w:rFonts w:eastAsia="Times New Roman"/>
                <w:b/>
                <w:bCs/>
                <w:color w:val="000000"/>
                <w:kern w:val="24"/>
                <w:sz w:val="20"/>
              </w:rPr>
              <w:t>Baseline</w:t>
            </w:r>
          </w:p>
        </w:tc>
        <w:tc>
          <w:tcPr>
            <w:tcW w:w="1170" w:type="dxa"/>
            <w:tcBorders>
              <w:top w:val="single" w:sz="8" w:space="0" w:color="000000"/>
              <w:left w:val="single" w:sz="8" w:space="0" w:color="000000"/>
              <w:bottom w:val="single" w:sz="8" w:space="0" w:color="000000"/>
              <w:right w:val="single" w:sz="8" w:space="0" w:color="000000"/>
            </w:tcBorders>
            <w:shd w:val="clear" w:color="auto" w:fill="C6D9F1" w:themeFill="text2" w:themeFillTint="33"/>
            <w:tcMar>
              <w:top w:w="13" w:type="dxa"/>
              <w:left w:w="93" w:type="dxa"/>
              <w:bottom w:w="0" w:type="dxa"/>
              <w:right w:w="93" w:type="dxa"/>
            </w:tcMar>
            <w:vAlign w:val="center"/>
            <w:hideMark/>
          </w:tcPr>
          <w:p w:rsidR="001A296D" w:rsidRPr="00CA0AE3" w:rsidRDefault="001A296D" w:rsidP="001A296D">
            <w:pPr>
              <w:spacing w:after="0" w:line="240" w:lineRule="auto"/>
              <w:jc w:val="center"/>
              <w:rPr>
                <w:rFonts w:eastAsia="Times New Roman"/>
                <w:b/>
                <w:bCs/>
                <w:color w:val="000000"/>
                <w:kern w:val="24"/>
                <w:sz w:val="20"/>
              </w:rPr>
            </w:pPr>
            <w:r w:rsidRPr="00CA0AE3">
              <w:rPr>
                <w:rFonts w:eastAsia="Times New Roman"/>
                <w:b/>
                <w:bCs/>
                <w:color w:val="000000"/>
                <w:kern w:val="24"/>
                <w:sz w:val="20"/>
              </w:rPr>
              <w:t>Achieve 3 of 9 Measures</w:t>
            </w:r>
          </w:p>
        </w:tc>
        <w:tc>
          <w:tcPr>
            <w:tcW w:w="1170" w:type="dxa"/>
            <w:tcBorders>
              <w:top w:val="single" w:sz="8" w:space="0" w:color="000000"/>
              <w:left w:val="single" w:sz="8" w:space="0" w:color="000000"/>
              <w:bottom w:val="single" w:sz="8" w:space="0" w:color="000000"/>
              <w:right w:val="single" w:sz="8" w:space="0" w:color="000000"/>
            </w:tcBorders>
            <w:shd w:val="clear" w:color="auto" w:fill="C6D9F1" w:themeFill="text2" w:themeFillTint="33"/>
            <w:tcMar>
              <w:top w:w="13" w:type="dxa"/>
              <w:left w:w="93" w:type="dxa"/>
              <w:bottom w:w="0" w:type="dxa"/>
              <w:right w:w="93" w:type="dxa"/>
            </w:tcMar>
            <w:vAlign w:val="center"/>
            <w:hideMark/>
          </w:tcPr>
          <w:p w:rsidR="001A296D" w:rsidRPr="00CA0AE3" w:rsidRDefault="001A296D" w:rsidP="001A296D">
            <w:pPr>
              <w:spacing w:after="0" w:line="240" w:lineRule="auto"/>
              <w:jc w:val="center"/>
              <w:rPr>
                <w:rFonts w:eastAsia="Times New Roman"/>
                <w:b/>
                <w:bCs/>
                <w:color w:val="000000"/>
                <w:kern w:val="24"/>
                <w:sz w:val="20"/>
              </w:rPr>
            </w:pPr>
            <w:r w:rsidRPr="00CA0AE3">
              <w:rPr>
                <w:rFonts w:eastAsia="Times New Roman"/>
                <w:b/>
                <w:bCs/>
                <w:color w:val="000000"/>
                <w:kern w:val="24"/>
                <w:sz w:val="20"/>
              </w:rPr>
              <w:t>Achieve 5 of 9 Measures</w:t>
            </w:r>
          </w:p>
        </w:tc>
        <w:tc>
          <w:tcPr>
            <w:tcW w:w="1170" w:type="dxa"/>
            <w:tcBorders>
              <w:top w:val="single" w:sz="8" w:space="0" w:color="000000"/>
              <w:left w:val="single" w:sz="8" w:space="0" w:color="000000"/>
              <w:bottom w:val="single" w:sz="8" w:space="0" w:color="000000"/>
              <w:right w:val="single" w:sz="8" w:space="0" w:color="000000"/>
            </w:tcBorders>
            <w:shd w:val="clear" w:color="auto" w:fill="C6D9F1" w:themeFill="text2" w:themeFillTint="33"/>
            <w:tcMar>
              <w:top w:w="13" w:type="dxa"/>
              <w:left w:w="93" w:type="dxa"/>
              <w:bottom w:w="0" w:type="dxa"/>
              <w:right w:w="93" w:type="dxa"/>
            </w:tcMar>
            <w:vAlign w:val="center"/>
            <w:hideMark/>
          </w:tcPr>
          <w:p w:rsidR="001A296D" w:rsidRPr="00CA0AE3" w:rsidRDefault="001A296D" w:rsidP="001A296D">
            <w:pPr>
              <w:spacing w:after="0" w:line="240" w:lineRule="auto"/>
              <w:jc w:val="center"/>
              <w:rPr>
                <w:rFonts w:eastAsia="Times New Roman"/>
                <w:b/>
                <w:bCs/>
                <w:color w:val="000000"/>
                <w:kern w:val="24"/>
                <w:sz w:val="20"/>
              </w:rPr>
            </w:pPr>
            <w:r w:rsidRPr="00CA0AE3">
              <w:rPr>
                <w:rFonts w:eastAsia="Times New Roman"/>
                <w:b/>
                <w:bCs/>
                <w:color w:val="000000"/>
                <w:kern w:val="24"/>
                <w:sz w:val="20"/>
              </w:rPr>
              <w:t>Achieve 5 of 9 Measures</w:t>
            </w:r>
          </w:p>
        </w:tc>
        <w:tc>
          <w:tcPr>
            <w:tcW w:w="1170" w:type="dxa"/>
            <w:tcBorders>
              <w:top w:val="single" w:sz="8" w:space="0" w:color="000000"/>
              <w:left w:val="single" w:sz="8" w:space="0" w:color="000000"/>
              <w:bottom w:val="single" w:sz="8" w:space="0" w:color="000000"/>
              <w:right w:val="single" w:sz="8" w:space="0" w:color="000000"/>
            </w:tcBorders>
            <w:shd w:val="clear" w:color="auto" w:fill="C6D9F1" w:themeFill="text2" w:themeFillTint="33"/>
            <w:tcMar>
              <w:top w:w="13" w:type="dxa"/>
              <w:left w:w="93" w:type="dxa"/>
              <w:bottom w:w="0" w:type="dxa"/>
              <w:right w:w="93" w:type="dxa"/>
            </w:tcMar>
            <w:vAlign w:val="center"/>
            <w:hideMark/>
          </w:tcPr>
          <w:p w:rsidR="001A296D" w:rsidRPr="00CA0AE3" w:rsidRDefault="001A296D" w:rsidP="001A296D">
            <w:pPr>
              <w:spacing w:after="0" w:line="240" w:lineRule="auto"/>
              <w:jc w:val="center"/>
              <w:rPr>
                <w:rFonts w:eastAsia="Times New Roman"/>
                <w:b/>
                <w:bCs/>
                <w:color w:val="000000"/>
                <w:kern w:val="24"/>
                <w:sz w:val="20"/>
              </w:rPr>
            </w:pPr>
            <w:r w:rsidRPr="00CA0AE3">
              <w:rPr>
                <w:rFonts w:eastAsia="Times New Roman"/>
                <w:b/>
                <w:bCs/>
                <w:color w:val="000000"/>
                <w:kern w:val="24"/>
                <w:sz w:val="20"/>
              </w:rPr>
              <w:t>Achieve 6 of 9 Measures</w:t>
            </w:r>
          </w:p>
        </w:tc>
        <w:tc>
          <w:tcPr>
            <w:tcW w:w="1353" w:type="dxa"/>
            <w:tcBorders>
              <w:top w:val="single" w:sz="8" w:space="0" w:color="000000"/>
              <w:left w:val="single" w:sz="8" w:space="0" w:color="000000"/>
              <w:bottom w:val="single" w:sz="8" w:space="0" w:color="000000"/>
              <w:right w:val="single" w:sz="8" w:space="0" w:color="000000"/>
            </w:tcBorders>
            <w:shd w:val="clear" w:color="auto" w:fill="C6D9F1" w:themeFill="text2" w:themeFillTint="33"/>
            <w:vAlign w:val="center"/>
          </w:tcPr>
          <w:p w:rsidR="001A296D" w:rsidRPr="00CA0AE3" w:rsidRDefault="001A296D" w:rsidP="001A296D">
            <w:pPr>
              <w:spacing w:after="0" w:line="240" w:lineRule="auto"/>
              <w:jc w:val="center"/>
              <w:rPr>
                <w:rFonts w:eastAsia="Times New Roman"/>
                <w:b/>
                <w:bCs/>
                <w:color w:val="000000"/>
                <w:kern w:val="24"/>
                <w:sz w:val="20"/>
              </w:rPr>
            </w:pPr>
          </w:p>
        </w:tc>
      </w:tr>
      <w:tr w:rsidR="001A296D" w:rsidRPr="00CA0AE3" w:rsidTr="001A296D">
        <w:trPr>
          <w:cantSplit/>
          <w:trHeight w:val="398"/>
          <w:tblHeader/>
        </w:trPr>
        <w:tc>
          <w:tcPr>
            <w:tcW w:w="316" w:type="dxa"/>
            <w:tcBorders>
              <w:top w:val="single" w:sz="8" w:space="0" w:color="000000"/>
              <w:left w:val="single" w:sz="8" w:space="0" w:color="000000"/>
              <w:bottom w:val="single" w:sz="8" w:space="0" w:color="000000"/>
              <w:right w:val="single" w:sz="8" w:space="0" w:color="000000"/>
            </w:tcBorders>
            <w:shd w:val="clear" w:color="auto" w:fill="C6D9F1" w:themeFill="text2" w:themeFillTint="33"/>
            <w:vAlign w:val="center"/>
          </w:tcPr>
          <w:p w:rsidR="001A296D" w:rsidRPr="00CA0AE3" w:rsidRDefault="001A296D" w:rsidP="001A296D">
            <w:pPr>
              <w:spacing w:after="0" w:line="240" w:lineRule="auto"/>
              <w:jc w:val="center"/>
              <w:rPr>
                <w:rFonts w:eastAsia="Times New Roman"/>
                <w:b/>
                <w:bCs/>
                <w:color w:val="000000"/>
                <w:kern w:val="24"/>
                <w:sz w:val="20"/>
              </w:rPr>
            </w:pPr>
            <w:r w:rsidRPr="00CA0AE3">
              <w:rPr>
                <w:rFonts w:eastAsia="Times New Roman"/>
                <w:b/>
                <w:bCs/>
                <w:color w:val="000000"/>
                <w:kern w:val="24"/>
                <w:sz w:val="20"/>
              </w:rPr>
              <w:t>#</w:t>
            </w:r>
          </w:p>
        </w:tc>
        <w:tc>
          <w:tcPr>
            <w:tcW w:w="1937" w:type="dxa"/>
            <w:tcBorders>
              <w:top w:val="single" w:sz="8" w:space="0" w:color="000000"/>
              <w:left w:val="single" w:sz="8" w:space="0" w:color="000000"/>
              <w:bottom w:val="single" w:sz="8" w:space="0" w:color="000000"/>
              <w:right w:val="single" w:sz="8" w:space="0" w:color="000000"/>
            </w:tcBorders>
            <w:shd w:val="clear" w:color="auto" w:fill="C6D9F1" w:themeFill="text2" w:themeFillTint="33"/>
            <w:tcMar>
              <w:top w:w="13" w:type="dxa"/>
              <w:left w:w="93" w:type="dxa"/>
              <w:bottom w:w="0" w:type="dxa"/>
              <w:right w:w="93" w:type="dxa"/>
            </w:tcMar>
            <w:vAlign w:val="center"/>
            <w:hideMark/>
          </w:tcPr>
          <w:p w:rsidR="001A296D" w:rsidRPr="00CA0AE3" w:rsidRDefault="001A296D" w:rsidP="001A296D">
            <w:pPr>
              <w:spacing w:after="0" w:line="240" w:lineRule="auto"/>
              <w:jc w:val="center"/>
              <w:rPr>
                <w:rFonts w:eastAsia="Times New Roman"/>
                <w:sz w:val="20"/>
              </w:rPr>
            </w:pPr>
            <w:r w:rsidRPr="00CA0AE3">
              <w:rPr>
                <w:rFonts w:eastAsia="Times New Roman"/>
                <w:b/>
                <w:bCs/>
                <w:color w:val="000000"/>
                <w:kern w:val="24"/>
                <w:sz w:val="20"/>
              </w:rPr>
              <w:t>Measure Description</w:t>
            </w:r>
          </w:p>
        </w:tc>
        <w:tc>
          <w:tcPr>
            <w:tcW w:w="1080" w:type="dxa"/>
            <w:tcBorders>
              <w:top w:val="single" w:sz="8" w:space="0" w:color="000000"/>
              <w:left w:val="single" w:sz="8" w:space="0" w:color="000000"/>
              <w:bottom w:val="single" w:sz="8" w:space="0" w:color="000000"/>
              <w:right w:val="single" w:sz="8" w:space="0" w:color="000000"/>
            </w:tcBorders>
            <w:shd w:val="clear" w:color="auto" w:fill="C6D9F1" w:themeFill="text2" w:themeFillTint="33"/>
            <w:tcMar>
              <w:top w:w="13" w:type="dxa"/>
              <w:left w:w="93" w:type="dxa"/>
              <w:bottom w:w="0" w:type="dxa"/>
              <w:right w:w="93" w:type="dxa"/>
            </w:tcMar>
            <w:vAlign w:val="center"/>
            <w:hideMark/>
          </w:tcPr>
          <w:p w:rsidR="001A296D" w:rsidRPr="00CA0AE3" w:rsidRDefault="001A296D" w:rsidP="001A296D">
            <w:pPr>
              <w:spacing w:after="0" w:line="240" w:lineRule="auto"/>
              <w:jc w:val="center"/>
              <w:rPr>
                <w:rFonts w:eastAsia="Times New Roman"/>
                <w:color w:val="000000"/>
                <w:kern w:val="24"/>
                <w:sz w:val="20"/>
              </w:rPr>
            </w:pPr>
            <w:r w:rsidRPr="00CA0AE3">
              <w:rPr>
                <w:rFonts w:eastAsia="Times New Roman"/>
                <w:b/>
                <w:bCs/>
                <w:color w:val="000000"/>
                <w:kern w:val="24"/>
                <w:sz w:val="20"/>
              </w:rPr>
              <w:t>Measure Steward</w:t>
            </w:r>
          </w:p>
          <w:p w:rsidR="001A296D" w:rsidRPr="00CA0AE3" w:rsidRDefault="001A296D" w:rsidP="001A296D">
            <w:pPr>
              <w:spacing w:after="0" w:line="240" w:lineRule="auto"/>
              <w:jc w:val="center"/>
              <w:rPr>
                <w:rFonts w:eastAsia="Times New Roman"/>
                <w:b/>
                <w:sz w:val="20"/>
              </w:rPr>
            </w:pPr>
            <w:r w:rsidRPr="00CA0AE3">
              <w:rPr>
                <w:rFonts w:eastAsia="Times New Roman"/>
                <w:b/>
                <w:color w:val="000000"/>
                <w:kern w:val="24"/>
                <w:sz w:val="20"/>
              </w:rPr>
              <w:t>NQF#</w:t>
            </w:r>
          </w:p>
        </w:tc>
        <w:tc>
          <w:tcPr>
            <w:tcW w:w="1350" w:type="dxa"/>
            <w:tcBorders>
              <w:top w:val="single" w:sz="8" w:space="0" w:color="000000"/>
              <w:left w:val="single" w:sz="8" w:space="0" w:color="000000"/>
              <w:bottom w:val="single" w:sz="8" w:space="0" w:color="000000"/>
              <w:right w:val="single" w:sz="8" w:space="0" w:color="000000"/>
            </w:tcBorders>
            <w:shd w:val="clear" w:color="auto" w:fill="C6D9F1" w:themeFill="text2" w:themeFillTint="33"/>
            <w:tcMar>
              <w:top w:w="13" w:type="dxa"/>
              <w:left w:w="93" w:type="dxa"/>
              <w:bottom w:w="0" w:type="dxa"/>
              <w:right w:w="93" w:type="dxa"/>
            </w:tcMar>
            <w:vAlign w:val="center"/>
            <w:hideMark/>
          </w:tcPr>
          <w:p w:rsidR="001A296D" w:rsidRPr="00CA0AE3" w:rsidRDefault="001A296D" w:rsidP="001A296D">
            <w:pPr>
              <w:spacing w:after="0" w:line="240" w:lineRule="auto"/>
              <w:jc w:val="center"/>
              <w:rPr>
                <w:rFonts w:eastAsia="Times New Roman"/>
                <w:sz w:val="20"/>
              </w:rPr>
            </w:pPr>
            <w:r w:rsidRPr="00CA0AE3">
              <w:rPr>
                <w:rFonts w:eastAsia="Times New Roman"/>
                <w:b/>
                <w:bCs/>
                <w:color w:val="000000"/>
                <w:kern w:val="24"/>
                <w:sz w:val="20"/>
              </w:rPr>
              <w:t>Benchmark</w:t>
            </w:r>
          </w:p>
        </w:tc>
        <w:tc>
          <w:tcPr>
            <w:tcW w:w="1530" w:type="dxa"/>
            <w:tcBorders>
              <w:top w:val="single" w:sz="8" w:space="0" w:color="000000"/>
              <w:left w:val="single" w:sz="8" w:space="0" w:color="000000"/>
              <w:bottom w:val="single" w:sz="8" w:space="0" w:color="000000"/>
              <w:right w:val="single" w:sz="8" w:space="0" w:color="000000"/>
            </w:tcBorders>
            <w:shd w:val="clear" w:color="auto" w:fill="C6D9F1" w:themeFill="text2" w:themeFillTint="33"/>
            <w:tcMar>
              <w:top w:w="13" w:type="dxa"/>
              <w:left w:w="93" w:type="dxa"/>
              <w:bottom w:w="0" w:type="dxa"/>
              <w:right w:w="93" w:type="dxa"/>
            </w:tcMar>
            <w:vAlign w:val="center"/>
            <w:hideMark/>
          </w:tcPr>
          <w:p w:rsidR="001A296D" w:rsidRPr="00CA0AE3" w:rsidRDefault="001A296D" w:rsidP="001A296D">
            <w:pPr>
              <w:spacing w:after="0" w:line="240" w:lineRule="auto"/>
              <w:jc w:val="center"/>
              <w:rPr>
                <w:rFonts w:eastAsia="Times New Roman"/>
                <w:sz w:val="20"/>
              </w:rPr>
            </w:pPr>
            <w:r w:rsidRPr="00CA0AE3">
              <w:rPr>
                <w:rFonts w:eastAsia="Times New Roman"/>
                <w:b/>
                <w:bCs/>
                <w:color w:val="000000"/>
                <w:kern w:val="24"/>
                <w:sz w:val="20"/>
              </w:rPr>
              <w:t>Improvement Methodology</w:t>
            </w:r>
          </w:p>
        </w:tc>
        <w:tc>
          <w:tcPr>
            <w:tcW w:w="900" w:type="dxa"/>
            <w:tcBorders>
              <w:top w:val="single" w:sz="8" w:space="0" w:color="000000"/>
              <w:left w:val="single" w:sz="8" w:space="0" w:color="000000"/>
              <w:bottom w:val="single" w:sz="8" w:space="0" w:color="000000"/>
              <w:right w:val="single" w:sz="8" w:space="0" w:color="000000"/>
            </w:tcBorders>
            <w:shd w:val="clear" w:color="auto" w:fill="C6D9F1" w:themeFill="text2" w:themeFillTint="33"/>
            <w:tcMar>
              <w:top w:w="13" w:type="dxa"/>
              <w:left w:w="93" w:type="dxa"/>
              <w:bottom w:w="0" w:type="dxa"/>
              <w:right w:w="93" w:type="dxa"/>
            </w:tcMar>
            <w:vAlign w:val="center"/>
            <w:hideMark/>
          </w:tcPr>
          <w:p w:rsidR="001A296D" w:rsidRPr="00CA0AE3" w:rsidRDefault="001A296D" w:rsidP="001A296D">
            <w:pPr>
              <w:spacing w:after="0" w:line="240" w:lineRule="auto"/>
              <w:jc w:val="center"/>
              <w:rPr>
                <w:rFonts w:eastAsia="Times New Roman"/>
                <w:color w:val="000000"/>
                <w:kern w:val="24"/>
                <w:sz w:val="20"/>
              </w:rPr>
            </w:pPr>
            <w:r w:rsidRPr="00CA0AE3">
              <w:rPr>
                <w:rFonts w:eastAsia="Times New Roman"/>
                <w:b/>
                <w:bCs/>
                <w:color w:val="000000"/>
                <w:kern w:val="24"/>
                <w:sz w:val="20"/>
              </w:rPr>
              <w:t>Year 1</w:t>
            </w:r>
          </w:p>
          <w:p w:rsidR="001A296D" w:rsidRPr="00CA0AE3" w:rsidRDefault="001A296D" w:rsidP="001A296D">
            <w:pPr>
              <w:spacing w:after="0" w:line="240" w:lineRule="auto"/>
              <w:jc w:val="center"/>
              <w:rPr>
                <w:rFonts w:eastAsia="Times New Roman"/>
                <w:color w:val="000000"/>
                <w:kern w:val="24"/>
                <w:sz w:val="20"/>
              </w:rPr>
            </w:pPr>
            <w:r w:rsidRPr="00CA0AE3">
              <w:rPr>
                <w:rFonts w:eastAsia="Times New Roman"/>
                <w:color w:val="000000"/>
                <w:kern w:val="24"/>
                <w:sz w:val="20"/>
              </w:rPr>
              <w:t>SFY</w:t>
            </w:r>
          </w:p>
          <w:p w:rsidR="001A296D" w:rsidRPr="00CA0AE3" w:rsidRDefault="001A296D" w:rsidP="001A296D">
            <w:pPr>
              <w:spacing w:after="0" w:line="240" w:lineRule="auto"/>
              <w:jc w:val="center"/>
              <w:rPr>
                <w:rFonts w:eastAsia="Times New Roman"/>
                <w:sz w:val="20"/>
              </w:rPr>
            </w:pPr>
            <w:r w:rsidRPr="00CA0AE3">
              <w:rPr>
                <w:rFonts w:eastAsia="Times New Roman"/>
                <w:color w:val="000000"/>
                <w:kern w:val="24"/>
                <w:sz w:val="20"/>
              </w:rPr>
              <w:t>2018</w:t>
            </w:r>
          </w:p>
        </w:tc>
        <w:tc>
          <w:tcPr>
            <w:tcW w:w="1170" w:type="dxa"/>
            <w:tcBorders>
              <w:top w:val="single" w:sz="8" w:space="0" w:color="000000"/>
              <w:left w:val="single" w:sz="8" w:space="0" w:color="000000"/>
              <w:bottom w:val="single" w:sz="8" w:space="0" w:color="000000"/>
              <w:right w:val="single" w:sz="8" w:space="0" w:color="000000"/>
            </w:tcBorders>
            <w:shd w:val="clear" w:color="auto" w:fill="C6D9F1" w:themeFill="text2" w:themeFillTint="33"/>
            <w:tcMar>
              <w:top w:w="13" w:type="dxa"/>
              <w:left w:w="93" w:type="dxa"/>
              <w:bottom w:w="0" w:type="dxa"/>
              <w:right w:w="93" w:type="dxa"/>
            </w:tcMar>
            <w:vAlign w:val="center"/>
            <w:hideMark/>
          </w:tcPr>
          <w:p w:rsidR="001A296D" w:rsidRPr="00CA0AE3" w:rsidRDefault="001A296D" w:rsidP="001A296D">
            <w:pPr>
              <w:spacing w:after="0" w:line="240" w:lineRule="auto"/>
              <w:jc w:val="center"/>
              <w:rPr>
                <w:rFonts w:eastAsia="Times New Roman"/>
                <w:color w:val="000000"/>
                <w:kern w:val="24"/>
                <w:sz w:val="20"/>
              </w:rPr>
            </w:pPr>
            <w:r w:rsidRPr="00CA0AE3">
              <w:rPr>
                <w:rFonts w:eastAsia="Times New Roman"/>
                <w:b/>
                <w:bCs/>
                <w:color w:val="000000"/>
                <w:kern w:val="24"/>
                <w:sz w:val="20"/>
              </w:rPr>
              <w:t>Year 2</w:t>
            </w:r>
          </w:p>
          <w:p w:rsidR="001A296D" w:rsidRPr="00CA0AE3" w:rsidRDefault="001A296D" w:rsidP="001A296D">
            <w:pPr>
              <w:spacing w:after="0" w:line="240" w:lineRule="auto"/>
              <w:jc w:val="center"/>
              <w:rPr>
                <w:rFonts w:eastAsia="Times New Roman"/>
                <w:color w:val="000000"/>
                <w:kern w:val="24"/>
                <w:sz w:val="20"/>
              </w:rPr>
            </w:pPr>
            <w:r w:rsidRPr="00CA0AE3">
              <w:rPr>
                <w:rFonts w:eastAsia="Times New Roman"/>
                <w:color w:val="000000"/>
                <w:kern w:val="24"/>
                <w:sz w:val="20"/>
              </w:rPr>
              <w:t xml:space="preserve">SFY </w:t>
            </w:r>
          </w:p>
          <w:p w:rsidR="001A296D" w:rsidRPr="00CA0AE3" w:rsidRDefault="001A296D" w:rsidP="001A296D">
            <w:pPr>
              <w:spacing w:after="0" w:line="240" w:lineRule="auto"/>
              <w:jc w:val="center"/>
              <w:rPr>
                <w:rFonts w:eastAsia="Times New Roman"/>
                <w:sz w:val="20"/>
              </w:rPr>
            </w:pPr>
            <w:r w:rsidRPr="00CA0AE3">
              <w:rPr>
                <w:rFonts w:eastAsia="Times New Roman"/>
                <w:color w:val="000000"/>
                <w:kern w:val="24"/>
                <w:sz w:val="20"/>
              </w:rPr>
              <w:t>2019</w:t>
            </w:r>
          </w:p>
        </w:tc>
        <w:tc>
          <w:tcPr>
            <w:tcW w:w="1170" w:type="dxa"/>
            <w:tcBorders>
              <w:top w:val="single" w:sz="8" w:space="0" w:color="000000"/>
              <w:left w:val="single" w:sz="8" w:space="0" w:color="000000"/>
              <w:bottom w:val="single" w:sz="8" w:space="0" w:color="000000"/>
              <w:right w:val="single" w:sz="8" w:space="0" w:color="000000"/>
            </w:tcBorders>
            <w:shd w:val="clear" w:color="auto" w:fill="C6D9F1" w:themeFill="text2" w:themeFillTint="33"/>
            <w:tcMar>
              <w:top w:w="13" w:type="dxa"/>
              <w:left w:w="93" w:type="dxa"/>
              <w:bottom w:w="0" w:type="dxa"/>
              <w:right w:w="93" w:type="dxa"/>
            </w:tcMar>
            <w:vAlign w:val="center"/>
            <w:hideMark/>
          </w:tcPr>
          <w:p w:rsidR="001A296D" w:rsidRPr="00CA0AE3" w:rsidRDefault="001A296D" w:rsidP="001A296D">
            <w:pPr>
              <w:spacing w:after="0" w:line="240" w:lineRule="auto"/>
              <w:jc w:val="center"/>
              <w:rPr>
                <w:rFonts w:eastAsia="Times New Roman"/>
                <w:color w:val="000000"/>
                <w:kern w:val="24"/>
                <w:sz w:val="20"/>
              </w:rPr>
            </w:pPr>
            <w:r w:rsidRPr="00CA0AE3">
              <w:rPr>
                <w:rFonts w:eastAsia="Times New Roman"/>
                <w:b/>
                <w:bCs/>
                <w:color w:val="000000"/>
                <w:kern w:val="24"/>
                <w:sz w:val="20"/>
              </w:rPr>
              <w:t>Year 3</w:t>
            </w:r>
          </w:p>
          <w:p w:rsidR="001A296D" w:rsidRPr="00CA0AE3" w:rsidRDefault="001A296D" w:rsidP="001A296D">
            <w:pPr>
              <w:spacing w:after="0" w:line="240" w:lineRule="auto"/>
              <w:jc w:val="center"/>
              <w:rPr>
                <w:rFonts w:eastAsia="Times New Roman"/>
                <w:color w:val="000000"/>
                <w:kern w:val="24"/>
                <w:sz w:val="20"/>
              </w:rPr>
            </w:pPr>
            <w:r w:rsidRPr="00CA0AE3">
              <w:rPr>
                <w:rFonts w:eastAsia="Times New Roman"/>
                <w:color w:val="000000"/>
                <w:kern w:val="24"/>
                <w:sz w:val="20"/>
              </w:rPr>
              <w:t>SFY</w:t>
            </w:r>
          </w:p>
          <w:p w:rsidR="001A296D" w:rsidRPr="00CA0AE3" w:rsidRDefault="001A296D" w:rsidP="001A296D">
            <w:pPr>
              <w:spacing w:after="0" w:line="240" w:lineRule="auto"/>
              <w:jc w:val="center"/>
              <w:rPr>
                <w:rFonts w:eastAsia="Times New Roman"/>
                <w:sz w:val="20"/>
              </w:rPr>
            </w:pPr>
            <w:r w:rsidRPr="00CA0AE3">
              <w:rPr>
                <w:rFonts w:eastAsia="Times New Roman"/>
                <w:color w:val="000000"/>
                <w:kern w:val="24"/>
                <w:sz w:val="20"/>
              </w:rPr>
              <w:t>2020</w:t>
            </w:r>
          </w:p>
        </w:tc>
        <w:tc>
          <w:tcPr>
            <w:tcW w:w="1170" w:type="dxa"/>
            <w:tcBorders>
              <w:top w:val="single" w:sz="8" w:space="0" w:color="000000"/>
              <w:left w:val="single" w:sz="8" w:space="0" w:color="000000"/>
              <w:bottom w:val="single" w:sz="8" w:space="0" w:color="000000"/>
              <w:right w:val="single" w:sz="8" w:space="0" w:color="000000"/>
            </w:tcBorders>
            <w:shd w:val="clear" w:color="auto" w:fill="C6D9F1" w:themeFill="text2" w:themeFillTint="33"/>
            <w:tcMar>
              <w:top w:w="13" w:type="dxa"/>
              <w:left w:w="93" w:type="dxa"/>
              <w:bottom w:w="0" w:type="dxa"/>
              <w:right w:w="93" w:type="dxa"/>
            </w:tcMar>
            <w:vAlign w:val="center"/>
            <w:hideMark/>
          </w:tcPr>
          <w:p w:rsidR="001A296D" w:rsidRPr="00CA0AE3" w:rsidRDefault="001A296D" w:rsidP="001A296D">
            <w:pPr>
              <w:spacing w:after="0" w:line="240" w:lineRule="auto"/>
              <w:jc w:val="center"/>
              <w:rPr>
                <w:rFonts w:eastAsia="Times New Roman"/>
                <w:color w:val="000000"/>
                <w:kern w:val="24"/>
                <w:sz w:val="20"/>
              </w:rPr>
            </w:pPr>
            <w:r w:rsidRPr="00CA0AE3">
              <w:rPr>
                <w:rFonts w:eastAsia="Times New Roman"/>
                <w:b/>
                <w:bCs/>
                <w:color w:val="000000"/>
                <w:kern w:val="24"/>
                <w:sz w:val="20"/>
              </w:rPr>
              <w:t>Year 4</w:t>
            </w:r>
          </w:p>
          <w:p w:rsidR="001A296D" w:rsidRPr="00CA0AE3" w:rsidRDefault="001A296D" w:rsidP="001A296D">
            <w:pPr>
              <w:spacing w:after="0" w:line="240" w:lineRule="auto"/>
              <w:jc w:val="center"/>
              <w:rPr>
                <w:rFonts w:eastAsia="Times New Roman"/>
                <w:color w:val="000000"/>
                <w:kern w:val="24"/>
                <w:sz w:val="20"/>
              </w:rPr>
            </w:pPr>
            <w:r w:rsidRPr="00CA0AE3">
              <w:rPr>
                <w:rFonts w:eastAsia="Times New Roman"/>
                <w:color w:val="000000"/>
                <w:kern w:val="24"/>
                <w:sz w:val="20"/>
              </w:rPr>
              <w:t>SFY</w:t>
            </w:r>
          </w:p>
          <w:p w:rsidR="001A296D" w:rsidRPr="00CA0AE3" w:rsidRDefault="001A296D" w:rsidP="001A296D">
            <w:pPr>
              <w:spacing w:after="0" w:line="240" w:lineRule="auto"/>
              <w:jc w:val="center"/>
              <w:rPr>
                <w:rFonts w:eastAsia="Times New Roman"/>
                <w:sz w:val="20"/>
              </w:rPr>
            </w:pPr>
            <w:r w:rsidRPr="00CA0AE3">
              <w:rPr>
                <w:rFonts w:eastAsia="Times New Roman"/>
                <w:color w:val="000000"/>
                <w:kern w:val="24"/>
                <w:sz w:val="20"/>
              </w:rPr>
              <w:t>2021</w:t>
            </w:r>
          </w:p>
        </w:tc>
        <w:tc>
          <w:tcPr>
            <w:tcW w:w="1170" w:type="dxa"/>
            <w:tcBorders>
              <w:top w:val="single" w:sz="8" w:space="0" w:color="000000"/>
              <w:left w:val="single" w:sz="8" w:space="0" w:color="000000"/>
              <w:bottom w:val="single" w:sz="8" w:space="0" w:color="000000"/>
              <w:right w:val="single" w:sz="8" w:space="0" w:color="000000"/>
            </w:tcBorders>
            <w:shd w:val="clear" w:color="auto" w:fill="C6D9F1" w:themeFill="text2" w:themeFillTint="33"/>
            <w:tcMar>
              <w:top w:w="13" w:type="dxa"/>
              <w:left w:w="93" w:type="dxa"/>
              <w:bottom w:w="0" w:type="dxa"/>
              <w:right w:w="93" w:type="dxa"/>
            </w:tcMar>
            <w:vAlign w:val="center"/>
            <w:hideMark/>
          </w:tcPr>
          <w:p w:rsidR="001A296D" w:rsidRPr="00CA0AE3" w:rsidRDefault="001A296D" w:rsidP="001A296D">
            <w:pPr>
              <w:spacing w:after="0" w:line="240" w:lineRule="auto"/>
              <w:jc w:val="center"/>
              <w:rPr>
                <w:rFonts w:eastAsia="Times New Roman"/>
                <w:color w:val="000000"/>
                <w:kern w:val="24"/>
                <w:sz w:val="20"/>
              </w:rPr>
            </w:pPr>
            <w:r w:rsidRPr="00CA0AE3">
              <w:rPr>
                <w:rFonts w:eastAsia="Times New Roman"/>
                <w:b/>
                <w:bCs/>
                <w:color w:val="000000"/>
                <w:kern w:val="24"/>
                <w:sz w:val="20"/>
              </w:rPr>
              <w:t>Year 5</w:t>
            </w:r>
          </w:p>
          <w:p w:rsidR="001A296D" w:rsidRPr="00CA0AE3" w:rsidRDefault="001A296D" w:rsidP="001A296D">
            <w:pPr>
              <w:spacing w:after="0" w:line="240" w:lineRule="auto"/>
              <w:jc w:val="center"/>
              <w:rPr>
                <w:rFonts w:eastAsia="Times New Roman"/>
                <w:color w:val="000000"/>
                <w:kern w:val="24"/>
                <w:sz w:val="20"/>
              </w:rPr>
            </w:pPr>
            <w:r w:rsidRPr="00CA0AE3">
              <w:rPr>
                <w:rFonts w:eastAsia="Times New Roman"/>
                <w:color w:val="000000"/>
                <w:kern w:val="24"/>
                <w:sz w:val="20"/>
              </w:rPr>
              <w:t>SFY</w:t>
            </w:r>
          </w:p>
          <w:p w:rsidR="001A296D" w:rsidRPr="00CA0AE3" w:rsidRDefault="001A296D" w:rsidP="001A296D">
            <w:pPr>
              <w:spacing w:after="0" w:line="240" w:lineRule="auto"/>
              <w:jc w:val="center"/>
              <w:rPr>
                <w:rFonts w:eastAsia="Times New Roman"/>
                <w:sz w:val="20"/>
              </w:rPr>
            </w:pPr>
            <w:r w:rsidRPr="00CA0AE3">
              <w:rPr>
                <w:rFonts w:eastAsia="Times New Roman"/>
                <w:color w:val="000000"/>
                <w:kern w:val="24"/>
                <w:sz w:val="20"/>
              </w:rPr>
              <w:t>2022</w:t>
            </w:r>
          </w:p>
        </w:tc>
        <w:tc>
          <w:tcPr>
            <w:tcW w:w="1353" w:type="dxa"/>
            <w:tcBorders>
              <w:top w:val="single" w:sz="8" w:space="0" w:color="000000"/>
              <w:left w:val="single" w:sz="8" w:space="0" w:color="000000"/>
              <w:bottom w:val="single" w:sz="8" w:space="0" w:color="000000"/>
              <w:right w:val="single" w:sz="8" w:space="0" w:color="000000"/>
            </w:tcBorders>
            <w:shd w:val="clear" w:color="auto" w:fill="C6D9F1" w:themeFill="text2" w:themeFillTint="33"/>
            <w:vAlign w:val="center"/>
          </w:tcPr>
          <w:p w:rsidR="001A296D" w:rsidRPr="00CA0AE3" w:rsidRDefault="001A296D" w:rsidP="001A296D">
            <w:pPr>
              <w:spacing w:after="0" w:line="240" w:lineRule="auto"/>
              <w:jc w:val="center"/>
              <w:rPr>
                <w:rFonts w:eastAsia="Times New Roman"/>
                <w:b/>
                <w:bCs/>
                <w:color w:val="000000"/>
                <w:kern w:val="24"/>
                <w:sz w:val="20"/>
              </w:rPr>
            </w:pPr>
            <w:r w:rsidRPr="00CA0AE3">
              <w:rPr>
                <w:rFonts w:eastAsia="Times New Roman"/>
                <w:b/>
                <w:bCs/>
                <w:color w:val="000000"/>
                <w:kern w:val="24"/>
                <w:sz w:val="20"/>
              </w:rPr>
              <w:t>Rationale for Improvement Target</w:t>
            </w:r>
          </w:p>
        </w:tc>
      </w:tr>
      <w:tr w:rsidR="001A296D" w:rsidRPr="00CA0AE3" w:rsidTr="005E6DD5">
        <w:trPr>
          <w:cantSplit/>
          <w:trHeight w:val="1605"/>
        </w:trPr>
        <w:tc>
          <w:tcPr>
            <w:tcW w:w="316" w:type="dxa"/>
            <w:tcBorders>
              <w:top w:val="single" w:sz="8" w:space="0" w:color="000000"/>
              <w:left w:val="single" w:sz="8" w:space="0" w:color="000000"/>
              <w:bottom w:val="single" w:sz="8" w:space="0" w:color="000000"/>
              <w:right w:val="single" w:sz="8" w:space="0" w:color="000000"/>
            </w:tcBorders>
            <w:vAlign w:val="center"/>
          </w:tcPr>
          <w:p w:rsidR="001A296D" w:rsidRPr="00CA0AE3" w:rsidRDefault="001A296D" w:rsidP="001A296D">
            <w:pPr>
              <w:spacing w:after="0" w:line="240" w:lineRule="auto"/>
              <w:jc w:val="center"/>
              <w:rPr>
                <w:sz w:val="16"/>
                <w:szCs w:val="16"/>
              </w:rPr>
            </w:pPr>
            <w:r w:rsidRPr="00CA0AE3">
              <w:rPr>
                <w:sz w:val="16"/>
                <w:szCs w:val="16"/>
              </w:rPr>
              <w:t>1</w:t>
            </w:r>
          </w:p>
        </w:tc>
        <w:tc>
          <w:tcPr>
            <w:tcW w:w="1937"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1A296D" w:rsidRPr="00CA0AE3" w:rsidRDefault="001A296D" w:rsidP="00C947DF">
            <w:pPr>
              <w:pStyle w:val="NormalWeb"/>
              <w:spacing w:before="0" w:beforeAutospacing="0" w:after="0" w:afterAutospacing="0"/>
              <w:rPr>
                <w:sz w:val="16"/>
                <w:szCs w:val="16"/>
              </w:rPr>
            </w:pPr>
            <w:r w:rsidRPr="00CA0AE3">
              <w:rPr>
                <w:b/>
                <w:bCs/>
                <w:kern w:val="24"/>
                <w:sz w:val="16"/>
                <w:szCs w:val="16"/>
              </w:rPr>
              <w:t>Social Determinant Screenings:</w:t>
            </w:r>
            <w:r w:rsidRPr="00CA0AE3">
              <w:rPr>
                <w:bCs/>
                <w:kern w:val="24"/>
                <w:sz w:val="16"/>
                <w:szCs w:val="16"/>
              </w:rPr>
              <w:t xml:space="preserve"> Utilizing implemented social determinant(s) screening tool, increase percentage of defined patient panel population segment(s) (such as patients with chronic conditions and/or behavioral health conditions, high risk/high utilizers, specific primary or specialty practices) within the ACO/public payor population) screened for selected Social Determinants</w:t>
            </w:r>
          </w:p>
        </w:tc>
        <w:tc>
          <w:tcPr>
            <w:tcW w:w="1080"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1A296D" w:rsidRPr="00CA0AE3" w:rsidRDefault="001A296D" w:rsidP="001A296D">
            <w:pPr>
              <w:spacing w:after="0" w:line="240" w:lineRule="auto"/>
              <w:jc w:val="center"/>
              <w:rPr>
                <w:sz w:val="16"/>
                <w:szCs w:val="16"/>
              </w:rPr>
            </w:pPr>
            <w:r w:rsidRPr="00CA0AE3">
              <w:rPr>
                <w:sz w:val="16"/>
                <w:szCs w:val="16"/>
              </w:rPr>
              <w:t>Customized Measure</w:t>
            </w:r>
          </w:p>
        </w:tc>
        <w:tc>
          <w:tcPr>
            <w:tcW w:w="1350"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1A296D" w:rsidRPr="00CA0AE3" w:rsidRDefault="001A296D" w:rsidP="001A296D">
            <w:pPr>
              <w:spacing w:after="0" w:line="240" w:lineRule="auto"/>
              <w:jc w:val="center"/>
              <w:rPr>
                <w:sz w:val="16"/>
                <w:szCs w:val="16"/>
              </w:rPr>
            </w:pPr>
            <w:r w:rsidRPr="00CA0AE3">
              <w:rPr>
                <w:sz w:val="16"/>
                <w:szCs w:val="16"/>
              </w:rPr>
              <w:t>No external benchmark;</w:t>
            </w:r>
          </w:p>
          <w:p w:rsidR="001A296D" w:rsidRPr="00CA0AE3" w:rsidRDefault="001A296D" w:rsidP="001A296D">
            <w:pPr>
              <w:spacing w:after="0" w:line="240" w:lineRule="auto"/>
              <w:jc w:val="center"/>
              <w:rPr>
                <w:bCs/>
                <w:sz w:val="16"/>
                <w:szCs w:val="16"/>
              </w:rPr>
            </w:pPr>
            <w:r w:rsidRPr="00CA0AE3">
              <w:rPr>
                <w:sz w:val="16"/>
                <w:szCs w:val="16"/>
              </w:rPr>
              <w:t>hospital specific improvement target =70%</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1A296D" w:rsidRPr="00CA0AE3" w:rsidRDefault="001A296D" w:rsidP="001A296D">
            <w:pPr>
              <w:spacing w:after="0" w:line="240" w:lineRule="auto"/>
              <w:jc w:val="center"/>
              <w:rPr>
                <w:sz w:val="16"/>
                <w:szCs w:val="16"/>
              </w:rPr>
            </w:pPr>
            <w:r w:rsidRPr="00CA0AE3">
              <w:rPr>
                <w:bCs/>
                <w:sz w:val="16"/>
                <w:szCs w:val="16"/>
              </w:rPr>
              <w:t>Gap to Goal (10%) or attainment at target</w:t>
            </w:r>
          </w:p>
        </w:tc>
        <w:tc>
          <w:tcPr>
            <w:tcW w:w="900"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1A296D" w:rsidRPr="00CA0AE3" w:rsidRDefault="001A296D" w:rsidP="001A296D">
            <w:pPr>
              <w:spacing w:after="0" w:line="240" w:lineRule="auto"/>
              <w:jc w:val="center"/>
              <w:rPr>
                <w:sz w:val="16"/>
                <w:szCs w:val="16"/>
              </w:rPr>
            </w:pPr>
            <w:r w:rsidRPr="00CA0AE3">
              <w:rPr>
                <w:sz w:val="16"/>
                <w:szCs w:val="16"/>
              </w:rPr>
              <w:t>B</w:t>
            </w:r>
          </w:p>
        </w:tc>
        <w:tc>
          <w:tcPr>
            <w:tcW w:w="1170"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1A296D" w:rsidRPr="00CA0AE3" w:rsidRDefault="001A296D" w:rsidP="001A296D">
            <w:pPr>
              <w:spacing w:after="0" w:line="240" w:lineRule="auto"/>
              <w:jc w:val="center"/>
              <w:rPr>
                <w:sz w:val="16"/>
                <w:szCs w:val="16"/>
              </w:rPr>
            </w:pPr>
            <w:r w:rsidRPr="00CA0AE3">
              <w:rPr>
                <w:sz w:val="16"/>
                <w:szCs w:val="16"/>
              </w:rPr>
              <w:t>O</w:t>
            </w:r>
          </w:p>
        </w:tc>
        <w:tc>
          <w:tcPr>
            <w:tcW w:w="1170"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1A296D" w:rsidRPr="00CA0AE3" w:rsidRDefault="001A296D" w:rsidP="001A296D">
            <w:pPr>
              <w:spacing w:after="0" w:line="240" w:lineRule="auto"/>
              <w:jc w:val="center"/>
              <w:rPr>
                <w:sz w:val="16"/>
                <w:szCs w:val="16"/>
              </w:rPr>
            </w:pPr>
            <w:r w:rsidRPr="00CA0AE3">
              <w:rPr>
                <w:sz w:val="16"/>
                <w:szCs w:val="16"/>
              </w:rPr>
              <w:t>O</w:t>
            </w:r>
          </w:p>
        </w:tc>
        <w:tc>
          <w:tcPr>
            <w:tcW w:w="1170"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1A296D" w:rsidRPr="00CA0AE3" w:rsidRDefault="001A296D" w:rsidP="001A296D">
            <w:pPr>
              <w:spacing w:after="0" w:line="240" w:lineRule="auto"/>
              <w:jc w:val="center"/>
              <w:rPr>
                <w:sz w:val="16"/>
                <w:szCs w:val="16"/>
              </w:rPr>
            </w:pPr>
            <w:r w:rsidRPr="00CA0AE3">
              <w:rPr>
                <w:sz w:val="16"/>
                <w:szCs w:val="16"/>
              </w:rPr>
              <w:t>O</w:t>
            </w:r>
          </w:p>
        </w:tc>
        <w:tc>
          <w:tcPr>
            <w:tcW w:w="1170"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1A296D" w:rsidRPr="00CA0AE3" w:rsidRDefault="001A296D" w:rsidP="001A296D">
            <w:pPr>
              <w:spacing w:after="0" w:line="240" w:lineRule="auto"/>
              <w:jc w:val="center"/>
              <w:rPr>
                <w:sz w:val="16"/>
                <w:szCs w:val="16"/>
              </w:rPr>
            </w:pPr>
          </w:p>
          <w:p w:rsidR="001A296D" w:rsidRPr="00CA0AE3" w:rsidRDefault="001A296D" w:rsidP="001A296D">
            <w:pPr>
              <w:spacing w:after="0" w:line="240" w:lineRule="auto"/>
              <w:jc w:val="center"/>
              <w:rPr>
                <w:sz w:val="16"/>
                <w:szCs w:val="16"/>
              </w:rPr>
            </w:pPr>
            <w:r w:rsidRPr="00CA0AE3">
              <w:rPr>
                <w:sz w:val="16"/>
                <w:szCs w:val="16"/>
              </w:rPr>
              <w:t>O</w:t>
            </w:r>
          </w:p>
          <w:p w:rsidR="001A296D" w:rsidRPr="00CA0AE3" w:rsidRDefault="001A296D" w:rsidP="001A296D">
            <w:pPr>
              <w:spacing w:after="0" w:line="240" w:lineRule="auto"/>
              <w:jc w:val="center"/>
              <w:rPr>
                <w:sz w:val="16"/>
                <w:szCs w:val="16"/>
              </w:rPr>
            </w:pPr>
          </w:p>
        </w:tc>
        <w:tc>
          <w:tcPr>
            <w:tcW w:w="1353" w:type="dxa"/>
            <w:tcBorders>
              <w:top w:val="single" w:sz="8" w:space="0" w:color="000000"/>
              <w:left w:val="single" w:sz="8" w:space="0" w:color="000000"/>
              <w:bottom w:val="single" w:sz="8" w:space="0" w:color="000000"/>
              <w:right w:val="single" w:sz="8" w:space="0" w:color="000000"/>
            </w:tcBorders>
            <w:vAlign w:val="center"/>
          </w:tcPr>
          <w:p w:rsidR="001A296D" w:rsidRPr="00CA0AE3" w:rsidRDefault="005E6DD5" w:rsidP="005E6DD5">
            <w:pPr>
              <w:spacing w:after="0" w:line="240" w:lineRule="auto"/>
              <w:rPr>
                <w:rFonts w:eastAsia="Times New Roman"/>
                <w:sz w:val="16"/>
                <w:szCs w:val="16"/>
              </w:rPr>
            </w:pPr>
            <w:r w:rsidRPr="00CA0AE3">
              <w:rPr>
                <w:rFonts w:eastAsia="Times New Roman"/>
                <w:sz w:val="16"/>
                <w:szCs w:val="16"/>
              </w:rPr>
              <w:t xml:space="preserve">Target is based on population screening measures for this new initiative. </w:t>
            </w:r>
          </w:p>
        </w:tc>
      </w:tr>
      <w:tr w:rsidR="001A296D" w:rsidRPr="00CA0AE3" w:rsidTr="005E6DD5">
        <w:trPr>
          <w:cantSplit/>
          <w:trHeight w:val="1317"/>
        </w:trPr>
        <w:tc>
          <w:tcPr>
            <w:tcW w:w="316" w:type="dxa"/>
            <w:tcBorders>
              <w:top w:val="single" w:sz="8" w:space="0" w:color="000000"/>
              <w:left w:val="single" w:sz="8" w:space="0" w:color="000000"/>
              <w:bottom w:val="single" w:sz="8" w:space="0" w:color="000000"/>
              <w:right w:val="single" w:sz="8" w:space="0" w:color="000000"/>
            </w:tcBorders>
            <w:vAlign w:val="center"/>
          </w:tcPr>
          <w:p w:rsidR="001A296D" w:rsidRPr="00CA0AE3" w:rsidRDefault="001A296D" w:rsidP="001A296D">
            <w:pPr>
              <w:spacing w:after="0" w:line="240" w:lineRule="auto"/>
              <w:jc w:val="center"/>
              <w:rPr>
                <w:sz w:val="16"/>
                <w:szCs w:val="16"/>
              </w:rPr>
            </w:pPr>
            <w:r w:rsidRPr="00CA0AE3">
              <w:rPr>
                <w:sz w:val="16"/>
                <w:szCs w:val="16"/>
              </w:rPr>
              <w:t>2</w:t>
            </w:r>
          </w:p>
          <w:p w:rsidR="001A296D" w:rsidRPr="00CA0AE3" w:rsidRDefault="001A296D" w:rsidP="001A296D">
            <w:pPr>
              <w:spacing w:after="0" w:line="240" w:lineRule="auto"/>
              <w:jc w:val="center"/>
              <w:rPr>
                <w:sz w:val="16"/>
                <w:szCs w:val="16"/>
              </w:rPr>
            </w:pPr>
          </w:p>
        </w:tc>
        <w:tc>
          <w:tcPr>
            <w:tcW w:w="1937"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1A296D" w:rsidRPr="00CA0AE3" w:rsidRDefault="001A296D" w:rsidP="00C947DF">
            <w:pPr>
              <w:pStyle w:val="NormalWeb"/>
              <w:spacing w:before="0" w:beforeAutospacing="0" w:after="0" w:afterAutospacing="0"/>
              <w:rPr>
                <w:sz w:val="16"/>
                <w:szCs w:val="16"/>
              </w:rPr>
            </w:pPr>
            <w:r w:rsidRPr="00CA0AE3">
              <w:rPr>
                <w:b/>
                <w:bCs/>
                <w:kern w:val="24"/>
                <w:sz w:val="16"/>
                <w:szCs w:val="16"/>
              </w:rPr>
              <w:t>Referrals to Community and Social Services:</w:t>
            </w:r>
            <w:r w:rsidRPr="00CA0AE3">
              <w:rPr>
                <w:bCs/>
                <w:kern w:val="24"/>
                <w:sz w:val="16"/>
                <w:szCs w:val="16"/>
              </w:rPr>
              <w:t xml:space="preserve"> The percentage of defined patient panel screened for social determinant(s) (in measure 1 above) with referrals  to community and social services and supports</w:t>
            </w:r>
          </w:p>
        </w:tc>
        <w:tc>
          <w:tcPr>
            <w:tcW w:w="1080"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1A296D" w:rsidRPr="00CA0AE3" w:rsidRDefault="001A296D" w:rsidP="001A296D">
            <w:pPr>
              <w:spacing w:after="0" w:line="240" w:lineRule="auto"/>
              <w:jc w:val="center"/>
              <w:rPr>
                <w:sz w:val="16"/>
                <w:szCs w:val="16"/>
              </w:rPr>
            </w:pPr>
            <w:r w:rsidRPr="00CA0AE3">
              <w:rPr>
                <w:sz w:val="16"/>
                <w:szCs w:val="16"/>
              </w:rPr>
              <w:t>Customized Measure</w:t>
            </w:r>
          </w:p>
        </w:tc>
        <w:tc>
          <w:tcPr>
            <w:tcW w:w="1350"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1A296D" w:rsidRPr="00CA0AE3" w:rsidRDefault="001A296D" w:rsidP="001A296D">
            <w:pPr>
              <w:spacing w:after="0" w:line="240" w:lineRule="auto"/>
              <w:jc w:val="center"/>
              <w:rPr>
                <w:sz w:val="16"/>
                <w:szCs w:val="16"/>
              </w:rPr>
            </w:pPr>
            <w:r w:rsidRPr="00CA0AE3">
              <w:rPr>
                <w:sz w:val="16"/>
                <w:szCs w:val="16"/>
              </w:rPr>
              <w:t>No external benchmark;</w:t>
            </w:r>
          </w:p>
          <w:p w:rsidR="001A296D" w:rsidRPr="00CA0AE3" w:rsidRDefault="001A296D" w:rsidP="001A296D">
            <w:pPr>
              <w:spacing w:after="0" w:line="240" w:lineRule="auto"/>
              <w:jc w:val="center"/>
              <w:rPr>
                <w:bCs/>
                <w:sz w:val="16"/>
                <w:szCs w:val="16"/>
              </w:rPr>
            </w:pPr>
            <w:r w:rsidRPr="00CA0AE3">
              <w:rPr>
                <w:sz w:val="16"/>
                <w:szCs w:val="16"/>
              </w:rPr>
              <w:t>hospital specific improvement target =60%</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1A296D" w:rsidRPr="00CA0AE3" w:rsidRDefault="001A296D" w:rsidP="001A296D">
            <w:pPr>
              <w:spacing w:after="0" w:line="240" w:lineRule="auto"/>
              <w:jc w:val="center"/>
              <w:rPr>
                <w:sz w:val="16"/>
                <w:szCs w:val="16"/>
              </w:rPr>
            </w:pPr>
            <w:r w:rsidRPr="00CA0AE3">
              <w:rPr>
                <w:bCs/>
                <w:sz w:val="16"/>
                <w:szCs w:val="16"/>
              </w:rPr>
              <w:t>Gap to Goal (10%) or attainment at target</w:t>
            </w:r>
          </w:p>
        </w:tc>
        <w:tc>
          <w:tcPr>
            <w:tcW w:w="900"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1A296D" w:rsidRPr="00CA0AE3" w:rsidRDefault="001A296D" w:rsidP="001A296D">
            <w:pPr>
              <w:spacing w:after="0" w:line="240" w:lineRule="auto"/>
              <w:jc w:val="center"/>
              <w:rPr>
                <w:sz w:val="16"/>
                <w:szCs w:val="16"/>
              </w:rPr>
            </w:pPr>
            <w:r w:rsidRPr="00CA0AE3">
              <w:rPr>
                <w:sz w:val="16"/>
                <w:szCs w:val="16"/>
              </w:rPr>
              <w:t xml:space="preserve">B </w:t>
            </w:r>
          </w:p>
        </w:tc>
        <w:tc>
          <w:tcPr>
            <w:tcW w:w="1170"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1A296D" w:rsidRPr="00CA0AE3" w:rsidRDefault="001A296D" w:rsidP="001A296D">
            <w:pPr>
              <w:spacing w:after="0" w:line="240" w:lineRule="auto"/>
              <w:jc w:val="center"/>
              <w:rPr>
                <w:sz w:val="16"/>
                <w:szCs w:val="16"/>
              </w:rPr>
            </w:pPr>
            <w:r w:rsidRPr="00CA0AE3">
              <w:rPr>
                <w:sz w:val="16"/>
                <w:szCs w:val="16"/>
              </w:rPr>
              <w:t>O</w:t>
            </w:r>
          </w:p>
        </w:tc>
        <w:tc>
          <w:tcPr>
            <w:tcW w:w="1170"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1A296D" w:rsidRPr="00CA0AE3" w:rsidRDefault="001A296D" w:rsidP="001A296D">
            <w:pPr>
              <w:spacing w:after="0" w:line="240" w:lineRule="auto"/>
              <w:jc w:val="center"/>
              <w:rPr>
                <w:sz w:val="16"/>
                <w:szCs w:val="16"/>
              </w:rPr>
            </w:pPr>
            <w:r w:rsidRPr="00CA0AE3">
              <w:rPr>
                <w:sz w:val="16"/>
                <w:szCs w:val="16"/>
              </w:rPr>
              <w:t>O</w:t>
            </w:r>
          </w:p>
        </w:tc>
        <w:tc>
          <w:tcPr>
            <w:tcW w:w="1170"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1A296D" w:rsidRPr="00CA0AE3" w:rsidRDefault="001A296D" w:rsidP="001A296D">
            <w:pPr>
              <w:spacing w:after="0" w:line="240" w:lineRule="auto"/>
              <w:jc w:val="center"/>
              <w:rPr>
                <w:sz w:val="16"/>
                <w:szCs w:val="16"/>
              </w:rPr>
            </w:pPr>
            <w:r w:rsidRPr="00CA0AE3">
              <w:rPr>
                <w:sz w:val="16"/>
                <w:szCs w:val="16"/>
              </w:rPr>
              <w:t>O</w:t>
            </w:r>
          </w:p>
        </w:tc>
        <w:tc>
          <w:tcPr>
            <w:tcW w:w="1170"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1A296D" w:rsidRPr="00CA0AE3" w:rsidRDefault="001A296D" w:rsidP="001A296D">
            <w:pPr>
              <w:spacing w:after="0" w:line="240" w:lineRule="auto"/>
              <w:jc w:val="center"/>
              <w:rPr>
                <w:sz w:val="16"/>
                <w:szCs w:val="16"/>
              </w:rPr>
            </w:pPr>
          </w:p>
          <w:p w:rsidR="001A296D" w:rsidRPr="00CA0AE3" w:rsidRDefault="001A296D" w:rsidP="001A296D">
            <w:pPr>
              <w:spacing w:after="0" w:line="240" w:lineRule="auto"/>
              <w:jc w:val="center"/>
              <w:rPr>
                <w:sz w:val="16"/>
                <w:szCs w:val="16"/>
              </w:rPr>
            </w:pPr>
            <w:r w:rsidRPr="00CA0AE3">
              <w:rPr>
                <w:sz w:val="16"/>
                <w:szCs w:val="16"/>
              </w:rPr>
              <w:t>O</w:t>
            </w:r>
          </w:p>
          <w:p w:rsidR="001A296D" w:rsidRPr="00CA0AE3" w:rsidRDefault="001A296D" w:rsidP="001A296D">
            <w:pPr>
              <w:spacing w:after="0" w:line="240" w:lineRule="auto"/>
              <w:jc w:val="center"/>
              <w:rPr>
                <w:sz w:val="16"/>
                <w:szCs w:val="16"/>
              </w:rPr>
            </w:pPr>
          </w:p>
        </w:tc>
        <w:tc>
          <w:tcPr>
            <w:tcW w:w="1353" w:type="dxa"/>
            <w:tcBorders>
              <w:top w:val="single" w:sz="8" w:space="0" w:color="000000"/>
              <w:left w:val="single" w:sz="8" w:space="0" w:color="000000"/>
              <w:bottom w:val="single" w:sz="8" w:space="0" w:color="000000"/>
              <w:right w:val="single" w:sz="8" w:space="0" w:color="000000"/>
            </w:tcBorders>
            <w:vAlign w:val="center"/>
          </w:tcPr>
          <w:p w:rsidR="001A296D" w:rsidRPr="00CA0AE3" w:rsidRDefault="005E6DD5" w:rsidP="005E6DD5">
            <w:pPr>
              <w:spacing w:after="0" w:line="240" w:lineRule="auto"/>
              <w:rPr>
                <w:rFonts w:eastAsia="Times New Roman"/>
                <w:sz w:val="16"/>
                <w:szCs w:val="16"/>
              </w:rPr>
            </w:pPr>
            <w:r w:rsidRPr="00CA0AE3">
              <w:rPr>
                <w:rFonts w:eastAsia="Times New Roman"/>
                <w:sz w:val="16"/>
                <w:szCs w:val="16"/>
              </w:rPr>
              <w:t xml:space="preserve">Target is informed by referrals to community and social services. </w:t>
            </w:r>
          </w:p>
        </w:tc>
      </w:tr>
      <w:tr w:rsidR="001A296D" w:rsidRPr="00CA0AE3" w:rsidTr="005E6DD5">
        <w:trPr>
          <w:cantSplit/>
          <w:trHeight w:val="417"/>
        </w:trPr>
        <w:tc>
          <w:tcPr>
            <w:tcW w:w="316" w:type="dxa"/>
            <w:tcBorders>
              <w:top w:val="single" w:sz="8" w:space="0" w:color="000000"/>
              <w:left w:val="single" w:sz="8" w:space="0" w:color="000000"/>
              <w:bottom w:val="single" w:sz="8" w:space="0" w:color="000000"/>
              <w:right w:val="single" w:sz="8" w:space="0" w:color="000000"/>
            </w:tcBorders>
            <w:vAlign w:val="center"/>
          </w:tcPr>
          <w:p w:rsidR="001A296D" w:rsidRPr="00CA0AE3" w:rsidRDefault="001A296D" w:rsidP="001A296D">
            <w:pPr>
              <w:spacing w:after="0" w:line="240" w:lineRule="auto"/>
              <w:jc w:val="center"/>
              <w:rPr>
                <w:sz w:val="16"/>
                <w:szCs w:val="16"/>
              </w:rPr>
            </w:pPr>
            <w:r w:rsidRPr="00CA0AE3">
              <w:rPr>
                <w:sz w:val="16"/>
                <w:szCs w:val="16"/>
              </w:rPr>
              <w:t>3</w:t>
            </w:r>
          </w:p>
        </w:tc>
        <w:tc>
          <w:tcPr>
            <w:tcW w:w="1937"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1A296D" w:rsidRPr="00CA0AE3" w:rsidRDefault="001A296D" w:rsidP="00C947DF">
            <w:pPr>
              <w:pStyle w:val="NormalWeb"/>
              <w:spacing w:before="0" w:beforeAutospacing="0" w:after="0" w:afterAutospacing="0"/>
              <w:rPr>
                <w:b/>
                <w:sz w:val="16"/>
                <w:szCs w:val="16"/>
              </w:rPr>
            </w:pPr>
            <w:r w:rsidRPr="00CA0AE3">
              <w:rPr>
                <w:b/>
                <w:sz w:val="16"/>
                <w:szCs w:val="16"/>
              </w:rPr>
              <w:t>Expansion of Social Determinant Screening to Additional Patient Cohorts:</w:t>
            </w:r>
          </w:p>
          <w:p w:rsidR="001A296D" w:rsidRPr="00CA0AE3" w:rsidRDefault="001A296D" w:rsidP="00C947DF">
            <w:pPr>
              <w:pStyle w:val="NormalWeb"/>
              <w:spacing w:before="0" w:beforeAutospacing="0" w:after="0" w:afterAutospacing="0"/>
              <w:rPr>
                <w:sz w:val="16"/>
                <w:szCs w:val="16"/>
              </w:rPr>
            </w:pPr>
            <w:r w:rsidRPr="00CA0AE3">
              <w:rPr>
                <w:sz w:val="16"/>
                <w:szCs w:val="16"/>
              </w:rPr>
              <w:t>Expand patient panel  subpopulations or practice sites whose patients receive social determinant screening</w:t>
            </w:r>
          </w:p>
        </w:tc>
        <w:tc>
          <w:tcPr>
            <w:tcW w:w="1080"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1A296D" w:rsidRPr="00CA0AE3" w:rsidRDefault="001A296D" w:rsidP="001A296D">
            <w:pPr>
              <w:spacing w:after="0" w:line="240" w:lineRule="auto"/>
              <w:jc w:val="center"/>
              <w:rPr>
                <w:sz w:val="16"/>
                <w:szCs w:val="16"/>
              </w:rPr>
            </w:pPr>
            <w:r w:rsidRPr="00CA0AE3">
              <w:rPr>
                <w:sz w:val="16"/>
                <w:szCs w:val="16"/>
              </w:rPr>
              <w:t>Customized Measure</w:t>
            </w:r>
          </w:p>
        </w:tc>
        <w:tc>
          <w:tcPr>
            <w:tcW w:w="1350"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1A296D" w:rsidRPr="00CA0AE3" w:rsidRDefault="001A296D" w:rsidP="001A296D">
            <w:pPr>
              <w:spacing w:after="0" w:line="240" w:lineRule="auto"/>
              <w:jc w:val="center"/>
              <w:rPr>
                <w:bCs/>
                <w:sz w:val="16"/>
                <w:szCs w:val="16"/>
              </w:rPr>
            </w:pPr>
            <w:r w:rsidRPr="00CA0AE3">
              <w:rPr>
                <w:sz w:val="16"/>
                <w:szCs w:val="16"/>
              </w:rPr>
              <w:t>No external benchmark; hospital specific target = Add at least 1 additional patient subpopulation or practice site per year</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1A296D" w:rsidRPr="00CA0AE3" w:rsidRDefault="001A296D" w:rsidP="001A296D">
            <w:pPr>
              <w:spacing w:after="0" w:line="240" w:lineRule="auto"/>
              <w:jc w:val="center"/>
              <w:rPr>
                <w:sz w:val="16"/>
                <w:szCs w:val="16"/>
              </w:rPr>
            </w:pPr>
            <w:r w:rsidRPr="00CA0AE3">
              <w:rPr>
                <w:bCs/>
                <w:sz w:val="16"/>
                <w:szCs w:val="16"/>
              </w:rPr>
              <w:t>Defined Increase Per Year</w:t>
            </w:r>
          </w:p>
        </w:tc>
        <w:tc>
          <w:tcPr>
            <w:tcW w:w="900"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1A296D" w:rsidRPr="00CA0AE3" w:rsidRDefault="001A296D" w:rsidP="001A296D">
            <w:pPr>
              <w:spacing w:after="0" w:line="240" w:lineRule="auto"/>
              <w:jc w:val="center"/>
              <w:rPr>
                <w:sz w:val="16"/>
                <w:szCs w:val="16"/>
              </w:rPr>
            </w:pPr>
            <w:r w:rsidRPr="00CA0AE3">
              <w:rPr>
                <w:sz w:val="16"/>
                <w:szCs w:val="16"/>
              </w:rPr>
              <w:t>B</w:t>
            </w:r>
          </w:p>
        </w:tc>
        <w:tc>
          <w:tcPr>
            <w:tcW w:w="1170"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1A296D" w:rsidRPr="00CA0AE3" w:rsidRDefault="001A296D" w:rsidP="001A296D">
            <w:pPr>
              <w:spacing w:after="0" w:line="240" w:lineRule="auto"/>
              <w:jc w:val="center"/>
              <w:rPr>
                <w:sz w:val="16"/>
                <w:szCs w:val="16"/>
              </w:rPr>
            </w:pPr>
            <w:r w:rsidRPr="00CA0AE3">
              <w:rPr>
                <w:sz w:val="16"/>
                <w:szCs w:val="16"/>
              </w:rPr>
              <w:t>O</w:t>
            </w:r>
          </w:p>
        </w:tc>
        <w:tc>
          <w:tcPr>
            <w:tcW w:w="1170"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1A296D" w:rsidRPr="00CA0AE3" w:rsidRDefault="001A296D" w:rsidP="001A296D">
            <w:pPr>
              <w:spacing w:after="0" w:line="240" w:lineRule="auto"/>
              <w:jc w:val="center"/>
              <w:rPr>
                <w:sz w:val="16"/>
                <w:szCs w:val="16"/>
              </w:rPr>
            </w:pPr>
            <w:r w:rsidRPr="00CA0AE3">
              <w:rPr>
                <w:sz w:val="16"/>
                <w:szCs w:val="16"/>
              </w:rPr>
              <w:t>O</w:t>
            </w:r>
          </w:p>
        </w:tc>
        <w:tc>
          <w:tcPr>
            <w:tcW w:w="1170"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1A296D" w:rsidRPr="00CA0AE3" w:rsidRDefault="001A296D" w:rsidP="001A296D">
            <w:pPr>
              <w:spacing w:after="0" w:line="240" w:lineRule="auto"/>
              <w:jc w:val="center"/>
              <w:rPr>
                <w:sz w:val="16"/>
                <w:szCs w:val="16"/>
              </w:rPr>
            </w:pPr>
            <w:r w:rsidRPr="00CA0AE3">
              <w:rPr>
                <w:sz w:val="16"/>
                <w:szCs w:val="16"/>
              </w:rPr>
              <w:t>O</w:t>
            </w:r>
          </w:p>
        </w:tc>
        <w:tc>
          <w:tcPr>
            <w:tcW w:w="1170"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1A296D" w:rsidRPr="00CA0AE3" w:rsidRDefault="001A296D" w:rsidP="001A296D">
            <w:pPr>
              <w:spacing w:after="0" w:line="240" w:lineRule="auto"/>
              <w:jc w:val="center"/>
              <w:rPr>
                <w:sz w:val="16"/>
                <w:szCs w:val="16"/>
              </w:rPr>
            </w:pPr>
            <w:r w:rsidRPr="00CA0AE3">
              <w:rPr>
                <w:sz w:val="16"/>
                <w:szCs w:val="16"/>
              </w:rPr>
              <w:t>O</w:t>
            </w:r>
          </w:p>
        </w:tc>
        <w:tc>
          <w:tcPr>
            <w:tcW w:w="1353" w:type="dxa"/>
            <w:tcBorders>
              <w:top w:val="single" w:sz="8" w:space="0" w:color="000000"/>
              <w:left w:val="single" w:sz="8" w:space="0" w:color="000000"/>
              <w:bottom w:val="single" w:sz="8" w:space="0" w:color="000000"/>
              <w:right w:val="single" w:sz="8" w:space="0" w:color="000000"/>
            </w:tcBorders>
            <w:vAlign w:val="center"/>
          </w:tcPr>
          <w:p w:rsidR="001A296D" w:rsidRPr="00CA0AE3" w:rsidRDefault="005E6DD5" w:rsidP="005E6DD5">
            <w:pPr>
              <w:spacing w:after="0" w:line="240" w:lineRule="auto"/>
              <w:rPr>
                <w:rFonts w:eastAsia="Times New Roman"/>
                <w:sz w:val="16"/>
                <w:szCs w:val="16"/>
              </w:rPr>
            </w:pPr>
            <w:r w:rsidRPr="00CA0AE3">
              <w:rPr>
                <w:rFonts w:eastAsia="Times New Roman"/>
                <w:sz w:val="16"/>
                <w:szCs w:val="16"/>
              </w:rPr>
              <w:t xml:space="preserve">Target based on phased implementation of new social determinants initiative. </w:t>
            </w:r>
          </w:p>
        </w:tc>
      </w:tr>
      <w:tr w:rsidR="001A296D" w:rsidRPr="00CA0AE3" w:rsidTr="005E6DD5">
        <w:trPr>
          <w:cantSplit/>
          <w:trHeight w:val="1632"/>
        </w:trPr>
        <w:tc>
          <w:tcPr>
            <w:tcW w:w="316" w:type="dxa"/>
            <w:tcBorders>
              <w:top w:val="single" w:sz="8" w:space="0" w:color="000000"/>
              <w:left w:val="single" w:sz="8" w:space="0" w:color="000000"/>
              <w:bottom w:val="single" w:sz="8" w:space="0" w:color="000000"/>
              <w:right w:val="single" w:sz="8" w:space="0" w:color="000000"/>
            </w:tcBorders>
            <w:vAlign w:val="center"/>
          </w:tcPr>
          <w:p w:rsidR="001A296D" w:rsidRPr="00CA0AE3" w:rsidRDefault="001A296D" w:rsidP="001A296D">
            <w:pPr>
              <w:spacing w:after="0" w:line="240" w:lineRule="auto"/>
              <w:jc w:val="center"/>
              <w:rPr>
                <w:sz w:val="16"/>
                <w:szCs w:val="16"/>
              </w:rPr>
            </w:pPr>
            <w:r w:rsidRPr="00CA0AE3">
              <w:rPr>
                <w:sz w:val="16"/>
                <w:szCs w:val="16"/>
              </w:rPr>
              <w:lastRenderedPageBreak/>
              <w:t>4</w:t>
            </w:r>
          </w:p>
        </w:tc>
        <w:tc>
          <w:tcPr>
            <w:tcW w:w="1937"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1A296D" w:rsidRPr="00CA0AE3" w:rsidRDefault="001A296D" w:rsidP="00C947DF">
            <w:pPr>
              <w:spacing w:after="0" w:line="240" w:lineRule="auto"/>
              <w:rPr>
                <w:sz w:val="16"/>
                <w:szCs w:val="16"/>
              </w:rPr>
            </w:pPr>
            <w:r w:rsidRPr="00CA0AE3">
              <w:rPr>
                <w:b/>
                <w:bCs/>
                <w:kern w:val="24"/>
                <w:sz w:val="16"/>
                <w:szCs w:val="16"/>
              </w:rPr>
              <w:t>Follow-up Social Determinant Screening:</w:t>
            </w:r>
            <w:r w:rsidRPr="00CA0AE3">
              <w:rPr>
                <w:bCs/>
                <w:kern w:val="24"/>
                <w:sz w:val="16"/>
                <w:szCs w:val="16"/>
              </w:rPr>
              <w:t xml:space="preserve"> </w:t>
            </w:r>
            <w:r w:rsidRPr="00CA0AE3">
              <w:rPr>
                <w:bCs/>
                <w:sz w:val="16"/>
                <w:szCs w:val="16"/>
              </w:rPr>
              <w:t>Percentage of identified &amp; active patient panel populations with follow-up social determinant(s) rescreening for appropriate determinants</w:t>
            </w:r>
          </w:p>
        </w:tc>
        <w:tc>
          <w:tcPr>
            <w:tcW w:w="1080"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1A296D" w:rsidRPr="00CA0AE3" w:rsidRDefault="001A296D" w:rsidP="001A296D">
            <w:pPr>
              <w:spacing w:after="0" w:line="240" w:lineRule="auto"/>
              <w:jc w:val="center"/>
              <w:rPr>
                <w:sz w:val="16"/>
                <w:szCs w:val="16"/>
              </w:rPr>
            </w:pPr>
            <w:r w:rsidRPr="00CA0AE3">
              <w:rPr>
                <w:sz w:val="16"/>
                <w:szCs w:val="16"/>
              </w:rPr>
              <w:t>Customized Measure</w:t>
            </w:r>
          </w:p>
        </w:tc>
        <w:tc>
          <w:tcPr>
            <w:tcW w:w="1350"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1A296D" w:rsidRPr="00CA0AE3" w:rsidRDefault="001A296D" w:rsidP="001A296D">
            <w:pPr>
              <w:spacing w:after="0" w:line="240" w:lineRule="auto"/>
              <w:jc w:val="center"/>
              <w:rPr>
                <w:sz w:val="16"/>
                <w:szCs w:val="16"/>
              </w:rPr>
            </w:pPr>
            <w:r w:rsidRPr="00CA0AE3">
              <w:rPr>
                <w:sz w:val="16"/>
                <w:szCs w:val="16"/>
              </w:rPr>
              <w:t>No external benchmark;</w:t>
            </w:r>
          </w:p>
          <w:p w:rsidR="001A296D" w:rsidRPr="00CA0AE3" w:rsidRDefault="001A296D" w:rsidP="001A296D">
            <w:pPr>
              <w:spacing w:after="0" w:line="240" w:lineRule="auto"/>
              <w:jc w:val="center"/>
              <w:rPr>
                <w:sz w:val="16"/>
                <w:szCs w:val="16"/>
              </w:rPr>
            </w:pPr>
            <w:r w:rsidRPr="00CA0AE3">
              <w:rPr>
                <w:sz w:val="16"/>
                <w:szCs w:val="16"/>
              </w:rPr>
              <w:t>hospital specific improvement</w:t>
            </w:r>
          </w:p>
          <w:p w:rsidR="001A296D" w:rsidRPr="00CA0AE3" w:rsidRDefault="001A296D" w:rsidP="001A296D">
            <w:pPr>
              <w:spacing w:after="0" w:line="240" w:lineRule="auto"/>
              <w:jc w:val="center"/>
              <w:rPr>
                <w:color w:val="00B050"/>
                <w:sz w:val="16"/>
                <w:szCs w:val="16"/>
              </w:rPr>
            </w:pPr>
            <w:r w:rsidRPr="00CA0AE3">
              <w:rPr>
                <w:sz w:val="16"/>
                <w:szCs w:val="16"/>
              </w:rPr>
              <w:t>Target= 50%</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1A296D" w:rsidRPr="00CA0AE3" w:rsidRDefault="001A296D" w:rsidP="001A296D">
            <w:pPr>
              <w:spacing w:after="0" w:line="240" w:lineRule="auto"/>
              <w:jc w:val="center"/>
              <w:rPr>
                <w:bCs/>
                <w:sz w:val="16"/>
                <w:szCs w:val="16"/>
              </w:rPr>
            </w:pPr>
            <w:r w:rsidRPr="00CA0AE3">
              <w:rPr>
                <w:bCs/>
                <w:sz w:val="16"/>
                <w:szCs w:val="16"/>
              </w:rPr>
              <w:t>Gap to Goal (10%) or attainment at target</w:t>
            </w:r>
          </w:p>
          <w:p w:rsidR="001A296D" w:rsidRPr="00CA0AE3" w:rsidRDefault="001A296D" w:rsidP="001A296D">
            <w:pPr>
              <w:spacing w:after="0" w:line="240" w:lineRule="auto"/>
              <w:jc w:val="center"/>
              <w:rPr>
                <w:bCs/>
                <w:sz w:val="16"/>
                <w:szCs w:val="16"/>
              </w:rPr>
            </w:pPr>
          </w:p>
        </w:tc>
        <w:tc>
          <w:tcPr>
            <w:tcW w:w="900"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1A296D" w:rsidRPr="00CA0AE3" w:rsidRDefault="001A296D" w:rsidP="001A296D">
            <w:pPr>
              <w:spacing w:after="0" w:line="240" w:lineRule="auto"/>
              <w:jc w:val="center"/>
              <w:rPr>
                <w:sz w:val="16"/>
                <w:szCs w:val="16"/>
              </w:rPr>
            </w:pPr>
          </w:p>
        </w:tc>
        <w:tc>
          <w:tcPr>
            <w:tcW w:w="1170"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1A296D" w:rsidRPr="00CA0AE3" w:rsidRDefault="001A296D" w:rsidP="001A296D">
            <w:pPr>
              <w:spacing w:after="0" w:line="240" w:lineRule="auto"/>
              <w:jc w:val="center"/>
              <w:rPr>
                <w:sz w:val="16"/>
                <w:szCs w:val="16"/>
              </w:rPr>
            </w:pPr>
            <w:r w:rsidRPr="00CA0AE3">
              <w:rPr>
                <w:sz w:val="16"/>
                <w:szCs w:val="16"/>
              </w:rPr>
              <w:t>B</w:t>
            </w:r>
          </w:p>
        </w:tc>
        <w:tc>
          <w:tcPr>
            <w:tcW w:w="1170"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1A296D" w:rsidRPr="00CA0AE3" w:rsidRDefault="001A296D" w:rsidP="001A296D">
            <w:pPr>
              <w:spacing w:after="0" w:line="240" w:lineRule="auto"/>
              <w:jc w:val="center"/>
              <w:rPr>
                <w:sz w:val="16"/>
                <w:szCs w:val="16"/>
              </w:rPr>
            </w:pPr>
            <w:r w:rsidRPr="00CA0AE3">
              <w:rPr>
                <w:sz w:val="16"/>
                <w:szCs w:val="16"/>
              </w:rPr>
              <w:t>O</w:t>
            </w:r>
          </w:p>
        </w:tc>
        <w:tc>
          <w:tcPr>
            <w:tcW w:w="1170"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1A296D" w:rsidRPr="00CA0AE3" w:rsidRDefault="001A296D" w:rsidP="001A296D">
            <w:pPr>
              <w:spacing w:after="0" w:line="240" w:lineRule="auto"/>
              <w:jc w:val="center"/>
              <w:rPr>
                <w:sz w:val="16"/>
                <w:szCs w:val="16"/>
              </w:rPr>
            </w:pPr>
            <w:r w:rsidRPr="00CA0AE3">
              <w:rPr>
                <w:sz w:val="16"/>
                <w:szCs w:val="16"/>
              </w:rPr>
              <w:t>O</w:t>
            </w:r>
          </w:p>
        </w:tc>
        <w:tc>
          <w:tcPr>
            <w:tcW w:w="1170"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1A296D" w:rsidRPr="00CA0AE3" w:rsidRDefault="001A296D" w:rsidP="001A296D">
            <w:pPr>
              <w:spacing w:after="0" w:line="240" w:lineRule="auto"/>
              <w:jc w:val="center"/>
              <w:rPr>
                <w:sz w:val="16"/>
                <w:szCs w:val="16"/>
              </w:rPr>
            </w:pPr>
            <w:r w:rsidRPr="00CA0AE3">
              <w:rPr>
                <w:sz w:val="16"/>
                <w:szCs w:val="16"/>
              </w:rPr>
              <w:t>O</w:t>
            </w:r>
          </w:p>
        </w:tc>
        <w:tc>
          <w:tcPr>
            <w:tcW w:w="1353" w:type="dxa"/>
            <w:tcBorders>
              <w:top w:val="single" w:sz="8" w:space="0" w:color="000000"/>
              <w:left w:val="single" w:sz="8" w:space="0" w:color="000000"/>
              <w:bottom w:val="single" w:sz="8" w:space="0" w:color="000000"/>
              <w:right w:val="single" w:sz="8" w:space="0" w:color="000000"/>
            </w:tcBorders>
            <w:vAlign w:val="center"/>
          </w:tcPr>
          <w:p w:rsidR="001A296D" w:rsidRPr="00CA0AE3" w:rsidRDefault="001A296D" w:rsidP="005E6DD5">
            <w:pPr>
              <w:spacing w:after="0" w:line="240" w:lineRule="auto"/>
              <w:rPr>
                <w:rFonts w:eastAsia="Times New Roman"/>
                <w:sz w:val="16"/>
                <w:szCs w:val="16"/>
              </w:rPr>
            </w:pPr>
            <w:r w:rsidRPr="00CA0AE3">
              <w:rPr>
                <w:rFonts w:eastAsia="Times New Roman"/>
                <w:sz w:val="16"/>
                <w:szCs w:val="16"/>
              </w:rPr>
              <w:t>Rescree</w:t>
            </w:r>
            <w:r w:rsidR="005E6DD5" w:rsidRPr="00CA0AE3">
              <w:rPr>
                <w:rFonts w:eastAsia="Times New Roman"/>
                <w:sz w:val="16"/>
                <w:szCs w:val="16"/>
              </w:rPr>
              <w:t>ning rates to begin in year two</w:t>
            </w:r>
            <w:r w:rsidRPr="00CA0AE3">
              <w:rPr>
                <w:rFonts w:eastAsia="Times New Roman"/>
                <w:sz w:val="16"/>
                <w:szCs w:val="16"/>
              </w:rPr>
              <w:t xml:space="preserve"> to measure presence or resolution of social determinants</w:t>
            </w:r>
          </w:p>
        </w:tc>
      </w:tr>
      <w:tr w:rsidR="001A296D" w:rsidRPr="00CA0AE3" w:rsidTr="005E6DD5">
        <w:trPr>
          <w:cantSplit/>
          <w:trHeight w:val="948"/>
        </w:trPr>
        <w:tc>
          <w:tcPr>
            <w:tcW w:w="316" w:type="dxa"/>
            <w:tcBorders>
              <w:top w:val="single" w:sz="8" w:space="0" w:color="000000"/>
              <w:left w:val="single" w:sz="8" w:space="0" w:color="000000"/>
              <w:bottom w:val="single" w:sz="8" w:space="0" w:color="000000"/>
              <w:right w:val="single" w:sz="8" w:space="0" w:color="000000"/>
            </w:tcBorders>
            <w:vAlign w:val="center"/>
          </w:tcPr>
          <w:p w:rsidR="001A296D" w:rsidRPr="00CA0AE3" w:rsidRDefault="001A296D" w:rsidP="001A296D">
            <w:pPr>
              <w:spacing w:after="0" w:line="240" w:lineRule="auto"/>
              <w:jc w:val="center"/>
              <w:rPr>
                <w:sz w:val="16"/>
                <w:szCs w:val="16"/>
              </w:rPr>
            </w:pPr>
            <w:r w:rsidRPr="00CA0AE3">
              <w:rPr>
                <w:sz w:val="16"/>
                <w:szCs w:val="16"/>
              </w:rPr>
              <w:t>5</w:t>
            </w:r>
          </w:p>
        </w:tc>
        <w:tc>
          <w:tcPr>
            <w:tcW w:w="1937"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1A296D" w:rsidRPr="00CA0AE3" w:rsidRDefault="001A296D" w:rsidP="00C947DF">
            <w:pPr>
              <w:pStyle w:val="NormalWeb"/>
              <w:spacing w:before="0" w:beforeAutospacing="0" w:after="0" w:afterAutospacing="0"/>
              <w:rPr>
                <w:sz w:val="16"/>
                <w:szCs w:val="16"/>
              </w:rPr>
            </w:pPr>
            <w:r w:rsidRPr="00CA0AE3">
              <w:rPr>
                <w:b/>
                <w:bCs/>
                <w:kern w:val="24"/>
                <w:sz w:val="16"/>
                <w:szCs w:val="16"/>
              </w:rPr>
              <w:t>Reducing Health Disparities for Hypertension:</w:t>
            </w:r>
            <w:r w:rsidRPr="00CA0AE3">
              <w:rPr>
                <w:bCs/>
                <w:kern w:val="24"/>
                <w:sz w:val="16"/>
                <w:szCs w:val="16"/>
              </w:rPr>
              <w:t xml:space="preserve"> Controlling High Blood Pressure Measure (2015 HEDIS Definition) for defined patient panel population(s) with disproportionately poorer outcomes for good control of hypertension</w:t>
            </w:r>
          </w:p>
        </w:tc>
        <w:tc>
          <w:tcPr>
            <w:tcW w:w="1080"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1A296D" w:rsidRPr="00CA0AE3" w:rsidRDefault="001A296D" w:rsidP="001A296D">
            <w:pPr>
              <w:spacing w:after="0" w:line="240" w:lineRule="auto"/>
              <w:jc w:val="center"/>
              <w:rPr>
                <w:sz w:val="16"/>
                <w:szCs w:val="16"/>
              </w:rPr>
            </w:pPr>
            <w:r w:rsidRPr="00CA0AE3">
              <w:rPr>
                <w:sz w:val="16"/>
                <w:szCs w:val="16"/>
              </w:rPr>
              <w:t>NQF 0018</w:t>
            </w:r>
          </w:p>
          <w:p w:rsidR="001A296D" w:rsidRPr="00CA0AE3" w:rsidRDefault="001A296D" w:rsidP="001A296D">
            <w:pPr>
              <w:spacing w:after="0" w:line="240" w:lineRule="auto"/>
              <w:jc w:val="center"/>
              <w:rPr>
                <w:sz w:val="16"/>
                <w:szCs w:val="16"/>
              </w:rPr>
            </w:pPr>
            <w:r w:rsidRPr="00CA0AE3">
              <w:rPr>
                <w:sz w:val="16"/>
                <w:szCs w:val="16"/>
              </w:rPr>
              <w:t>(for hospital-defined patient panel population(s) with health disparities</w:t>
            </w:r>
          </w:p>
        </w:tc>
        <w:tc>
          <w:tcPr>
            <w:tcW w:w="1350"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1A296D" w:rsidRPr="00CA0AE3" w:rsidRDefault="001A296D" w:rsidP="001A296D">
            <w:pPr>
              <w:spacing w:after="0" w:line="240" w:lineRule="auto"/>
              <w:jc w:val="center"/>
              <w:rPr>
                <w:bCs/>
                <w:sz w:val="16"/>
                <w:szCs w:val="16"/>
              </w:rPr>
            </w:pPr>
            <w:r w:rsidRPr="00CA0AE3">
              <w:rPr>
                <w:sz w:val="16"/>
                <w:szCs w:val="16"/>
              </w:rPr>
              <w:t>MA Medicaid (HEDIS) 2014 90</w:t>
            </w:r>
            <w:r w:rsidRPr="00CA0AE3">
              <w:rPr>
                <w:sz w:val="16"/>
                <w:szCs w:val="16"/>
                <w:vertAlign w:val="superscript"/>
              </w:rPr>
              <w:t>th</w:t>
            </w:r>
            <w:r w:rsidRPr="00CA0AE3">
              <w:rPr>
                <w:sz w:val="16"/>
                <w:szCs w:val="16"/>
              </w:rPr>
              <w:t xml:space="preserve"> percentile = 85.67%</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1A296D" w:rsidRPr="00CA0AE3" w:rsidRDefault="001A296D" w:rsidP="001A296D">
            <w:pPr>
              <w:spacing w:after="0" w:line="240" w:lineRule="auto"/>
              <w:jc w:val="center"/>
              <w:rPr>
                <w:sz w:val="16"/>
                <w:szCs w:val="16"/>
              </w:rPr>
            </w:pPr>
            <w:r w:rsidRPr="00CA0AE3">
              <w:rPr>
                <w:bCs/>
                <w:sz w:val="16"/>
                <w:szCs w:val="16"/>
              </w:rPr>
              <w:t>Gap to Goal (5%) or attainment at target</w:t>
            </w:r>
          </w:p>
        </w:tc>
        <w:tc>
          <w:tcPr>
            <w:tcW w:w="900"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1A296D" w:rsidRPr="00CA0AE3" w:rsidRDefault="001A296D" w:rsidP="001A296D">
            <w:pPr>
              <w:spacing w:after="0" w:line="240" w:lineRule="auto"/>
              <w:jc w:val="center"/>
              <w:rPr>
                <w:sz w:val="16"/>
                <w:szCs w:val="16"/>
              </w:rPr>
            </w:pPr>
            <w:r w:rsidRPr="00CA0AE3">
              <w:rPr>
                <w:sz w:val="16"/>
                <w:szCs w:val="16"/>
              </w:rPr>
              <w:t>B</w:t>
            </w:r>
          </w:p>
        </w:tc>
        <w:tc>
          <w:tcPr>
            <w:tcW w:w="1170"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1A296D" w:rsidRPr="00CA0AE3" w:rsidRDefault="001A296D" w:rsidP="001A296D">
            <w:pPr>
              <w:spacing w:after="0" w:line="240" w:lineRule="auto"/>
              <w:jc w:val="center"/>
              <w:rPr>
                <w:sz w:val="16"/>
                <w:szCs w:val="16"/>
              </w:rPr>
            </w:pPr>
            <w:r w:rsidRPr="00CA0AE3">
              <w:rPr>
                <w:sz w:val="16"/>
                <w:szCs w:val="16"/>
              </w:rPr>
              <w:t>O</w:t>
            </w:r>
          </w:p>
        </w:tc>
        <w:tc>
          <w:tcPr>
            <w:tcW w:w="1170"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1A296D" w:rsidRPr="00CA0AE3" w:rsidRDefault="001A296D" w:rsidP="001A296D">
            <w:pPr>
              <w:spacing w:after="0" w:line="240" w:lineRule="auto"/>
              <w:jc w:val="center"/>
              <w:rPr>
                <w:sz w:val="16"/>
                <w:szCs w:val="16"/>
              </w:rPr>
            </w:pPr>
            <w:r w:rsidRPr="00CA0AE3">
              <w:rPr>
                <w:sz w:val="16"/>
                <w:szCs w:val="16"/>
              </w:rPr>
              <w:t>O</w:t>
            </w:r>
          </w:p>
        </w:tc>
        <w:tc>
          <w:tcPr>
            <w:tcW w:w="1170"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1A296D" w:rsidRPr="00CA0AE3" w:rsidRDefault="001A296D" w:rsidP="001A296D">
            <w:pPr>
              <w:spacing w:after="0" w:line="240" w:lineRule="auto"/>
              <w:jc w:val="center"/>
              <w:rPr>
                <w:sz w:val="16"/>
                <w:szCs w:val="16"/>
              </w:rPr>
            </w:pPr>
            <w:r w:rsidRPr="00CA0AE3">
              <w:rPr>
                <w:sz w:val="16"/>
                <w:szCs w:val="16"/>
              </w:rPr>
              <w:t>O</w:t>
            </w:r>
          </w:p>
        </w:tc>
        <w:tc>
          <w:tcPr>
            <w:tcW w:w="1170"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1A296D" w:rsidRPr="00CA0AE3" w:rsidRDefault="001A296D" w:rsidP="001A296D">
            <w:pPr>
              <w:spacing w:after="0" w:line="240" w:lineRule="auto"/>
              <w:jc w:val="center"/>
              <w:rPr>
                <w:sz w:val="16"/>
                <w:szCs w:val="16"/>
              </w:rPr>
            </w:pPr>
            <w:r w:rsidRPr="00CA0AE3">
              <w:rPr>
                <w:sz w:val="16"/>
                <w:szCs w:val="16"/>
              </w:rPr>
              <w:t>O</w:t>
            </w:r>
          </w:p>
        </w:tc>
        <w:tc>
          <w:tcPr>
            <w:tcW w:w="1353" w:type="dxa"/>
            <w:tcBorders>
              <w:top w:val="single" w:sz="8" w:space="0" w:color="000000"/>
              <w:left w:val="single" w:sz="8" w:space="0" w:color="000000"/>
              <w:bottom w:val="single" w:sz="8" w:space="0" w:color="000000"/>
              <w:right w:val="single" w:sz="8" w:space="0" w:color="000000"/>
            </w:tcBorders>
            <w:vAlign w:val="center"/>
          </w:tcPr>
          <w:p w:rsidR="001A296D" w:rsidRPr="00CA0AE3" w:rsidRDefault="005E6DD5" w:rsidP="005E6DD5">
            <w:pPr>
              <w:spacing w:after="0" w:line="240" w:lineRule="auto"/>
              <w:rPr>
                <w:rFonts w:eastAsia="Times New Roman"/>
                <w:sz w:val="16"/>
                <w:szCs w:val="16"/>
              </w:rPr>
            </w:pPr>
            <w:r w:rsidRPr="00CA0AE3">
              <w:rPr>
                <w:rFonts w:eastAsia="Times New Roman"/>
                <w:sz w:val="16"/>
                <w:szCs w:val="16"/>
              </w:rPr>
              <w:t xml:space="preserve">Gap to Goal adjusted to reflect populations with health disparities. </w:t>
            </w:r>
          </w:p>
        </w:tc>
      </w:tr>
      <w:tr w:rsidR="001A296D" w:rsidRPr="00CA0AE3" w:rsidTr="005E6DD5">
        <w:trPr>
          <w:cantSplit/>
          <w:trHeight w:val="948"/>
        </w:trPr>
        <w:tc>
          <w:tcPr>
            <w:tcW w:w="316" w:type="dxa"/>
            <w:tcBorders>
              <w:top w:val="single" w:sz="8" w:space="0" w:color="000000"/>
              <w:left w:val="single" w:sz="8" w:space="0" w:color="000000"/>
              <w:bottom w:val="single" w:sz="8" w:space="0" w:color="000000"/>
              <w:right w:val="single" w:sz="8" w:space="0" w:color="000000"/>
            </w:tcBorders>
            <w:vAlign w:val="center"/>
          </w:tcPr>
          <w:p w:rsidR="001A296D" w:rsidRPr="00CA0AE3" w:rsidRDefault="001A296D" w:rsidP="001A296D">
            <w:pPr>
              <w:spacing w:after="0" w:line="240" w:lineRule="auto"/>
              <w:jc w:val="center"/>
              <w:rPr>
                <w:sz w:val="16"/>
                <w:szCs w:val="16"/>
              </w:rPr>
            </w:pPr>
            <w:r w:rsidRPr="00CA0AE3">
              <w:rPr>
                <w:sz w:val="16"/>
                <w:szCs w:val="16"/>
              </w:rPr>
              <w:t>6</w:t>
            </w:r>
          </w:p>
        </w:tc>
        <w:tc>
          <w:tcPr>
            <w:tcW w:w="1937"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1A296D" w:rsidRPr="00CA0AE3" w:rsidRDefault="001A296D" w:rsidP="00C947DF">
            <w:pPr>
              <w:pStyle w:val="NormalWeb"/>
              <w:spacing w:before="0" w:beforeAutospacing="0" w:after="0" w:afterAutospacing="0"/>
              <w:rPr>
                <w:bCs/>
                <w:kern w:val="24"/>
                <w:sz w:val="16"/>
                <w:szCs w:val="16"/>
              </w:rPr>
            </w:pPr>
            <w:r w:rsidRPr="00CA0AE3">
              <w:rPr>
                <w:b/>
                <w:bCs/>
                <w:kern w:val="24"/>
                <w:sz w:val="16"/>
                <w:szCs w:val="16"/>
              </w:rPr>
              <w:t>Reducing Health Disparities for Hypertension Control in Patients with Diabetes:</w:t>
            </w:r>
            <w:r w:rsidRPr="00CA0AE3">
              <w:rPr>
                <w:bCs/>
                <w:kern w:val="24"/>
                <w:sz w:val="16"/>
                <w:szCs w:val="16"/>
              </w:rPr>
              <w:t xml:space="preserve"> </w:t>
            </w:r>
          </w:p>
          <w:p w:rsidR="001A296D" w:rsidRPr="00CA0AE3" w:rsidRDefault="001A296D" w:rsidP="00C947DF">
            <w:pPr>
              <w:pStyle w:val="NormalWeb"/>
              <w:spacing w:before="0" w:beforeAutospacing="0" w:after="0" w:afterAutospacing="0"/>
              <w:rPr>
                <w:sz w:val="16"/>
                <w:szCs w:val="16"/>
              </w:rPr>
            </w:pPr>
            <w:r w:rsidRPr="00CA0AE3">
              <w:rPr>
                <w:sz w:val="16"/>
                <w:szCs w:val="16"/>
              </w:rPr>
              <w:t>Comprehensive Diabetes Care:  Blood Pressure Control (&lt;140/90)</w:t>
            </w:r>
          </w:p>
          <w:p w:rsidR="001A296D" w:rsidRPr="00CA0AE3" w:rsidRDefault="001A296D" w:rsidP="00C947DF">
            <w:pPr>
              <w:pStyle w:val="NormalWeb"/>
              <w:spacing w:before="0" w:beforeAutospacing="0" w:after="0" w:afterAutospacing="0"/>
              <w:rPr>
                <w:sz w:val="16"/>
                <w:szCs w:val="16"/>
              </w:rPr>
            </w:pPr>
            <w:r w:rsidRPr="00CA0AE3">
              <w:rPr>
                <w:bCs/>
                <w:kern w:val="24"/>
                <w:sz w:val="16"/>
                <w:szCs w:val="16"/>
              </w:rPr>
              <w:t>for defined patient panel population(s) with diabetes and disproportionately poorer outcomes  for good control of hypertension</w:t>
            </w:r>
          </w:p>
        </w:tc>
        <w:tc>
          <w:tcPr>
            <w:tcW w:w="1080"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1A296D" w:rsidRPr="00CA0AE3" w:rsidRDefault="001A296D" w:rsidP="001A296D">
            <w:pPr>
              <w:spacing w:after="0" w:line="240" w:lineRule="auto"/>
              <w:jc w:val="center"/>
              <w:rPr>
                <w:sz w:val="16"/>
                <w:szCs w:val="16"/>
              </w:rPr>
            </w:pPr>
            <w:r w:rsidRPr="00CA0AE3">
              <w:rPr>
                <w:sz w:val="16"/>
                <w:szCs w:val="16"/>
              </w:rPr>
              <w:t>NQF 0061</w:t>
            </w:r>
          </w:p>
          <w:p w:rsidR="001A296D" w:rsidRPr="00CA0AE3" w:rsidRDefault="001A296D" w:rsidP="001A296D">
            <w:pPr>
              <w:spacing w:after="0" w:line="240" w:lineRule="auto"/>
              <w:jc w:val="center"/>
              <w:rPr>
                <w:sz w:val="16"/>
                <w:szCs w:val="16"/>
              </w:rPr>
            </w:pPr>
            <w:r w:rsidRPr="00CA0AE3">
              <w:rPr>
                <w:sz w:val="16"/>
                <w:szCs w:val="16"/>
              </w:rPr>
              <w:t>(for hospital-defined patient panel population(s) with health disparities</w:t>
            </w:r>
          </w:p>
        </w:tc>
        <w:tc>
          <w:tcPr>
            <w:tcW w:w="1350"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1A296D" w:rsidRPr="00CA0AE3" w:rsidRDefault="001A296D" w:rsidP="001A296D">
            <w:pPr>
              <w:spacing w:after="0" w:line="240" w:lineRule="auto"/>
              <w:jc w:val="center"/>
              <w:rPr>
                <w:bCs/>
                <w:sz w:val="16"/>
                <w:szCs w:val="16"/>
              </w:rPr>
            </w:pPr>
            <w:r w:rsidRPr="00CA0AE3">
              <w:rPr>
                <w:sz w:val="16"/>
                <w:szCs w:val="16"/>
              </w:rPr>
              <w:t>MA Medicaid (HEDIS) 2014 90</w:t>
            </w:r>
            <w:r w:rsidRPr="00CA0AE3">
              <w:rPr>
                <w:sz w:val="16"/>
                <w:szCs w:val="16"/>
                <w:vertAlign w:val="superscript"/>
              </w:rPr>
              <w:t>th</w:t>
            </w:r>
            <w:r w:rsidRPr="00CA0AE3">
              <w:rPr>
                <w:sz w:val="16"/>
                <w:szCs w:val="16"/>
              </w:rPr>
              <w:t xml:space="preserve"> percentile = 82.74%</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1A296D" w:rsidRPr="00CA0AE3" w:rsidRDefault="001A296D" w:rsidP="001A296D">
            <w:pPr>
              <w:spacing w:after="0" w:line="240" w:lineRule="auto"/>
              <w:jc w:val="center"/>
              <w:rPr>
                <w:sz w:val="16"/>
                <w:szCs w:val="16"/>
              </w:rPr>
            </w:pPr>
            <w:r w:rsidRPr="00CA0AE3">
              <w:rPr>
                <w:bCs/>
                <w:sz w:val="16"/>
                <w:szCs w:val="16"/>
              </w:rPr>
              <w:t>Gap to Goal (5%) or attainment at target</w:t>
            </w:r>
          </w:p>
        </w:tc>
        <w:tc>
          <w:tcPr>
            <w:tcW w:w="900"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1A296D" w:rsidRPr="00CA0AE3" w:rsidRDefault="001A296D" w:rsidP="001A296D">
            <w:pPr>
              <w:spacing w:after="0" w:line="240" w:lineRule="auto"/>
              <w:jc w:val="center"/>
              <w:rPr>
                <w:sz w:val="16"/>
                <w:szCs w:val="16"/>
              </w:rPr>
            </w:pPr>
            <w:r w:rsidRPr="00CA0AE3">
              <w:rPr>
                <w:sz w:val="16"/>
                <w:szCs w:val="16"/>
              </w:rPr>
              <w:t>B</w:t>
            </w:r>
          </w:p>
        </w:tc>
        <w:tc>
          <w:tcPr>
            <w:tcW w:w="1170"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1A296D" w:rsidRPr="00CA0AE3" w:rsidRDefault="001A296D" w:rsidP="001A296D">
            <w:pPr>
              <w:spacing w:after="0" w:line="240" w:lineRule="auto"/>
              <w:jc w:val="center"/>
              <w:rPr>
                <w:sz w:val="16"/>
                <w:szCs w:val="16"/>
              </w:rPr>
            </w:pPr>
            <w:r w:rsidRPr="00CA0AE3">
              <w:rPr>
                <w:sz w:val="16"/>
                <w:szCs w:val="16"/>
              </w:rPr>
              <w:t>O</w:t>
            </w:r>
          </w:p>
        </w:tc>
        <w:tc>
          <w:tcPr>
            <w:tcW w:w="1170"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1A296D" w:rsidRPr="00CA0AE3" w:rsidRDefault="001A296D" w:rsidP="001A296D">
            <w:pPr>
              <w:spacing w:after="0" w:line="240" w:lineRule="auto"/>
              <w:jc w:val="center"/>
              <w:rPr>
                <w:sz w:val="16"/>
                <w:szCs w:val="16"/>
              </w:rPr>
            </w:pPr>
            <w:r w:rsidRPr="00CA0AE3">
              <w:rPr>
                <w:sz w:val="16"/>
                <w:szCs w:val="16"/>
              </w:rPr>
              <w:t>O</w:t>
            </w:r>
          </w:p>
        </w:tc>
        <w:tc>
          <w:tcPr>
            <w:tcW w:w="1170"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1A296D" w:rsidRPr="00CA0AE3" w:rsidRDefault="001A296D" w:rsidP="001A296D">
            <w:pPr>
              <w:spacing w:after="0" w:line="240" w:lineRule="auto"/>
              <w:jc w:val="center"/>
              <w:rPr>
                <w:sz w:val="16"/>
                <w:szCs w:val="16"/>
              </w:rPr>
            </w:pPr>
            <w:r w:rsidRPr="00CA0AE3">
              <w:rPr>
                <w:sz w:val="16"/>
                <w:szCs w:val="16"/>
              </w:rPr>
              <w:t>O</w:t>
            </w:r>
          </w:p>
        </w:tc>
        <w:tc>
          <w:tcPr>
            <w:tcW w:w="1170"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1A296D" w:rsidRPr="00CA0AE3" w:rsidRDefault="001A296D" w:rsidP="001A296D">
            <w:pPr>
              <w:spacing w:after="0" w:line="240" w:lineRule="auto"/>
              <w:jc w:val="center"/>
              <w:rPr>
                <w:sz w:val="16"/>
                <w:szCs w:val="16"/>
              </w:rPr>
            </w:pPr>
            <w:r w:rsidRPr="00CA0AE3">
              <w:rPr>
                <w:sz w:val="16"/>
                <w:szCs w:val="16"/>
              </w:rPr>
              <w:t>O</w:t>
            </w:r>
          </w:p>
        </w:tc>
        <w:tc>
          <w:tcPr>
            <w:tcW w:w="1353" w:type="dxa"/>
            <w:tcBorders>
              <w:top w:val="single" w:sz="8" w:space="0" w:color="000000"/>
              <w:left w:val="single" w:sz="8" w:space="0" w:color="000000"/>
              <w:bottom w:val="single" w:sz="8" w:space="0" w:color="000000"/>
              <w:right w:val="single" w:sz="8" w:space="0" w:color="000000"/>
            </w:tcBorders>
            <w:vAlign w:val="center"/>
          </w:tcPr>
          <w:p w:rsidR="001A296D" w:rsidRPr="00CA0AE3" w:rsidRDefault="005E6DD5" w:rsidP="005E6DD5">
            <w:pPr>
              <w:spacing w:after="0" w:line="240" w:lineRule="auto"/>
              <w:rPr>
                <w:rFonts w:eastAsia="Times New Roman"/>
                <w:sz w:val="16"/>
                <w:szCs w:val="16"/>
              </w:rPr>
            </w:pPr>
            <w:r w:rsidRPr="00CA0AE3">
              <w:rPr>
                <w:rFonts w:eastAsia="Times New Roman"/>
                <w:sz w:val="16"/>
                <w:szCs w:val="16"/>
              </w:rPr>
              <w:t>Gap to Goal adjusted to reflect populations with health disparities.</w:t>
            </w:r>
          </w:p>
        </w:tc>
      </w:tr>
      <w:tr w:rsidR="001A296D" w:rsidRPr="00CA0AE3" w:rsidTr="005E6DD5">
        <w:trPr>
          <w:cantSplit/>
          <w:trHeight w:val="507"/>
        </w:trPr>
        <w:tc>
          <w:tcPr>
            <w:tcW w:w="316" w:type="dxa"/>
            <w:tcBorders>
              <w:top w:val="single" w:sz="8" w:space="0" w:color="000000"/>
              <w:left w:val="single" w:sz="8" w:space="0" w:color="000000"/>
              <w:bottom w:val="single" w:sz="8" w:space="0" w:color="000000"/>
              <w:right w:val="single" w:sz="8" w:space="0" w:color="000000"/>
            </w:tcBorders>
            <w:vAlign w:val="center"/>
          </w:tcPr>
          <w:p w:rsidR="001A296D" w:rsidRPr="00CA0AE3" w:rsidRDefault="001A296D" w:rsidP="001A296D">
            <w:pPr>
              <w:spacing w:after="0" w:line="240" w:lineRule="auto"/>
              <w:jc w:val="center"/>
              <w:rPr>
                <w:sz w:val="16"/>
                <w:szCs w:val="16"/>
              </w:rPr>
            </w:pPr>
            <w:r w:rsidRPr="00CA0AE3">
              <w:rPr>
                <w:sz w:val="16"/>
                <w:szCs w:val="16"/>
              </w:rPr>
              <w:lastRenderedPageBreak/>
              <w:t>7</w:t>
            </w:r>
          </w:p>
        </w:tc>
        <w:tc>
          <w:tcPr>
            <w:tcW w:w="1937"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1A296D" w:rsidRPr="00CA0AE3" w:rsidRDefault="001A296D" w:rsidP="00C947DF">
            <w:pPr>
              <w:spacing w:after="0" w:line="240" w:lineRule="auto"/>
              <w:rPr>
                <w:sz w:val="16"/>
                <w:szCs w:val="16"/>
              </w:rPr>
            </w:pPr>
            <w:r w:rsidRPr="00CA0AE3">
              <w:rPr>
                <w:b/>
                <w:sz w:val="16"/>
                <w:szCs w:val="16"/>
              </w:rPr>
              <w:t xml:space="preserve">Comprehensive Diabetes Care: </w:t>
            </w:r>
            <w:r w:rsidRPr="00CA0AE3">
              <w:rPr>
                <w:sz w:val="16"/>
                <w:szCs w:val="16"/>
              </w:rPr>
              <w:t xml:space="preserve"> A1c Poor Control or A1c Good Control for defined patient panel population(s) with disproportionately poorer outcomes for diabetes blood glucose control</w:t>
            </w:r>
          </w:p>
        </w:tc>
        <w:tc>
          <w:tcPr>
            <w:tcW w:w="1080"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1A296D" w:rsidRPr="00CA0AE3" w:rsidRDefault="001A296D" w:rsidP="001A296D">
            <w:pPr>
              <w:spacing w:after="0" w:line="240" w:lineRule="auto"/>
              <w:jc w:val="center"/>
              <w:rPr>
                <w:sz w:val="16"/>
                <w:szCs w:val="16"/>
              </w:rPr>
            </w:pPr>
            <w:r w:rsidRPr="00CA0AE3">
              <w:rPr>
                <w:sz w:val="16"/>
                <w:szCs w:val="16"/>
              </w:rPr>
              <w:t xml:space="preserve">NQF 0059 or </w:t>
            </w:r>
          </w:p>
          <w:p w:rsidR="001A296D" w:rsidRPr="00CA0AE3" w:rsidRDefault="001A296D" w:rsidP="001A296D">
            <w:pPr>
              <w:spacing w:after="0" w:line="240" w:lineRule="auto"/>
              <w:jc w:val="center"/>
              <w:rPr>
                <w:sz w:val="16"/>
                <w:szCs w:val="16"/>
              </w:rPr>
            </w:pPr>
            <w:r w:rsidRPr="00CA0AE3">
              <w:rPr>
                <w:sz w:val="16"/>
                <w:szCs w:val="16"/>
              </w:rPr>
              <w:t>NQF 0575</w:t>
            </w:r>
          </w:p>
          <w:p w:rsidR="001A296D" w:rsidRPr="00CA0AE3" w:rsidRDefault="001A296D" w:rsidP="001A296D">
            <w:pPr>
              <w:spacing w:after="0" w:line="240" w:lineRule="auto"/>
              <w:jc w:val="center"/>
              <w:rPr>
                <w:sz w:val="16"/>
                <w:szCs w:val="16"/>
              </w:rPr>
            </w:pPr>
            <w:r w:rsidRPr="00CA0AE3">
              <w:rPr>
                <w:sz w:val="16"/>
                <w:szCs w:val="16"/>
              </w:rPr>
              <w:t>(</w:t>
            </w:r>
            <w:proofErr w:type="gramStart"/>
            <w:r w:rsidRPr="00CA0AE3">
              <w:rPr>
                <w:sz w:val="16"/>
                <w:szCs w:val="16"/>
              </w:rPr>
              <w:t>one</w:t>
            </w:r>
            <w:proofErr w:type="gramEnd"/>
            <w:r w:rsidRPr="00CA0AE3">
              <w:rPr>
                <w:sz w:val="16"/>
                <w:szCs w:val="16"/>
              </w:rPr>
              <w:t xml:space="preserve"> of the two measures above will be selected and confirmed in the baseline year based on hospital evaluation of health disparities.</w:t>
            </w:r>
          </w:p>
          <w:p w:rsidR="001A296D" w:rsidRPr="00CA0AE3" w:rsidRDefault="001A296D" w:rsidP="001A296D">
            <w:pPr>
              <w:spacing w:after="0" w:line="240" w:lineRule="auto"/>
              <w:jc w:val="center"/>
              <w:rPr>
                <w:sz w:val="16"/>
                <w:szCs w:val="16"/>
              </w:rPr>
            </w:pPr>
            <w:r w:rsidRPr="00CA0AE3">
              <w:rPr>
                <w:sz w:val="16"/>
                <w:szCs w:val="16"/>
              </w:rPr>
              <w:t>(for hospital-defined patient panel population(s) with health disparities</w:t>
            </w:r>
          </w:p>
        </w:tc>
        <w:tc>
          <w:tcPr>
            <w:tcW w:w="1350"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1A296D" w:rsidRPr="00CA0AE3" w:rsidRDefault="001A296D" w:rsidP="001A296D">
            <w:pPr>
              <w:spacing w:after="0" w:line="240" w:lineRule="auto"/>
              <w:jc w:val="center"/>
              <w:rPr>
                <w:sz w:val="16"/>
                <w:szCs w:val="16"/>
              </w:rPr>
            </w:pPr>
            <w:r w:rsidRPr="00CA0AE3">
              <w:rPr>
                <w:sz w:val="16"/>
                <w:szCs w:val="16"/>
              </w:rPr>
              <w:t>NQF 0059 MA Medicaid (HEDIS) 2014 90</w:t>
            </w:r>
            <w:r w:rsidRPr="00CA0AE3">
              <w:rPr>
                <w:sz w:val="16"/>
                <w:szCs w:val="16"/>
                <w:vertAlign w:val="superscript"/>
              </w:rPr>
              <w:t>th</w:t>
            </w:r>
            <w:r w:rsidRPr="00CA0AE3">
              <w:rPr>
                <w:sz w:val="16"/>
                <w:szCs w:val="16"/>
              </w:rPr>
              <w:t xml:space="preserve"> percentile = 18.57% </w:t>
            </w:r>
          </w:p>
          <w:p w:rsidR="001A296D" w:rsidRPr="00CA0AE3" w:rsidRDefault="001A296D" w:rsidP="001A296D">
            <w:pPr>
              <w:spacing w:after="0" w:line="240" w:lineRule="auto"/>
              <w:jc w:val="center"/>
              <w:rPr>
                <w:sz w:val="16"/>
                <w:szCs w:val="16"/>
              </w:rPr>
            </w:pPr>
            <w:r w:rsidRPr="00CA0AE3">
              <w:rPr>
                <w:sz w:val="16"/>
                <w:szCs w:val="16"/>
              </w:rPr>
              <w:t>or</w:t>
            </w:r>
          </w:p>
          <w:p w:rsidR="001A296D" w:rsidRPr="00CA0AE3" w:rsidRDefault="001A296D" w:rsidP="001A296D">
            <w:pPr>
              <w:spacing w:after="0" w:line="240" w:lineRule="auto"/>
              <w:jc w:val="center"/>
              <w:rPr>
                <w:sz w:val="16"/>
                <w:szCs w:val="16"/>
              </w:rPr>
            </w:pPr>
            <w:r w:rsidRPr="00CA0AE3">
              <w:rPr>
                <w:sz w:val="16"/>
                <w:szCs w:val="16"/>
              </w:rPr>
              <w:t>NQF 0575 MA Medicaid (HEDIS) 2014 90</w:t>
            </w:r>
            <w:r w:rsidRPr="00CA0AE3">
              <w:rPr>
                <w:sz w:val="16"/>
                <w:szCs w:val="16"/>
                <w:vertAlign w:val="superscript"/>
              </w:rPr>
              <w:t>th</w:t>
            </w:r>
            <w:r w:rsidRPr="00CA0AE3">
              <w:rPr>
                <w:sz w:val="16"/>
                <w:szCs w:val="16"/>
              </w:rPr>
              <w:t xml:space="preserve"> percentile = 59.37%</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1A296D" w:rsidRPr="00CA0AE3" w:rsidRDefault="001A296D" w:rsidP="001A296D">
            <w:pPr>
              <w:spacing w:after="0" w:line="240" w:lineRule="auto"/>
              <w:jc w:val="center"/>
              <w:rPr>
                <w:bCs/>
                <w:sz w:val="16"/>
                <w:szCs w:val="16"/>
              </w:rPr>
            </w:pPr>
            <w:r w:rsidRPr="00CA0AE3">
              <w:rPr>
                <w:bCs/>
                <w:sz w:val="16"/>
                <w:szCs w:val="16"/>
              </w:rPr>
              <w:t>Gap to Goal (5%) or attainment at target</w:t>
            </w:r>
          </w:p>
        </w:tc>
        <w:tc>
          <w:tcPr>
            <w:tcW w:w="900"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1A296D" w:rsidRPr="00CA0AE3" w:rsidRDefault="001A296D" w:rsidP="001A296D">
            <w:pPr>
              <w:spacing w:after="0" w:line="240" w:lineRule="auto"/>
              <w:jc w:val="center"/>
              <w:rPr>
                <w:sz w:val="16"/>
                <w:szCs w:val="16"/>
              </w:rPr>
            </w:pPr>
            <w:r w:rsidRPr="00CA0AE3">
              <w:rPr>
                <w:sz w:val="16"/>
                <w:szCs w:val="16"/>
              </w:rPr>
              <w:t>B</w:t>
            </w:r>
          </w:p>
        </w:tc>
        <w:tc>
          <w:tcPr>
            <w:tcW w:w="1170"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1A296D" w:rsidRPr="00CA0AE3" w:rsidRDefault="001A296D" w:rsidP="001A296D">
            <w:pPr>
              <w:spacing w:after="0" w:line="240" w:lineRule="auto"/>
              <w:jc w:val="center"/>
              <w:rPr>
                <w:sz w:val="16"/>
                <w:szCs w:val="16"/>
              </w:rPr>
            </w:pPr>
            <w:r w:rsidRPr="00CA0AE3">
              <w:rPr>
                <w:sz w:val="16"/>
                <w:szCs w:val="16"/>
              </w:rPr>
              <w:t>O</w:t>
            </w:r>
          </w:p>
        </w:tc>
        <w:tc>
          <w:tcPr>
            <w:tcW w:w="1170"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1A296D" w:rsidRPr="00CA0AE3" w:rsidRDefault="001A296D" w:rsidP="001A296D">
            <w:pPr>
              <w:spacing w:after="0" w:line="240" w:lineRule="auto"/>
              <w:jc w:val="center"/>
              <w:rPr>
                <w:sz w:val="16"/>
                <w:szCs w:val="16"/>
              </w:rPr>
            </w:pPr>
            <w:r w:rsidRPr="00CA0AE3">
              <w:rPr>
                <w:sz w:val="16"/>
                <w:szCs w:val="16"/>
              </w:rPr>
              <w:t>O</w:t>
            </w:r>
          </w:p>
        </w:tc>
        <w:tc>
          <w:tcPr>
            <w:tcW w:w="1170"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1A296D" w:rsidRPr="00CA0AE3" w:rsidRDefault="001A296D" w:rsidP="001A296D">
            <w:pPr>
              <w:spacing w:after="0" w:line="240" w:lineRule="auto"/>
              <w:jc w:val="center"/>
              <w:rPr>
                <w:sz w:val="16"/>
                <w:szCs w:val="16"/>
              </w:rPr>
            </w:pPr>
            <w:r w:rsidRPr="00CA0AE3">
              <w:rPr>
                <w:sz w:val="16"/>
                <w:szCs w:val="16"/>
              </w:rPr>
              <w:t>O</w:t>
            </w:r>
          </w:p>
        </w:tc>
        <w:tc>
          <w:tcPr>
            <w:tcW w:w="1170"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1A296D" w:rsidRPr="00CA0AE3" w:rsidRDefault="001A296D" w:rsidP="001A296D">
            <w:pPr>
              <w:spacing w:after="0" w:line="240" w:lineRule="auto"/>
              <w:jc w:val="center"/>
              <w:rPr>
                <w:sz w:val="16"/>
                <w:szCs w:val="16"/>
              </w:rPr>
            </w:pPr>
            <w:r w:rsidRPr="00CA0AE3">
              <w:rPr>
                <w:sz w:val="16"/>
                <w:szCs w:val="16"/>
              </w:rPr>
              <w:t>O</w:t>
            </w:r>
          </w:p>
        </w:tc>
        <w:tc>
          <w:tcPr>
            <w:tcW w:w="1353" w:type="dxa"/>
            <w:tcBorders>
              <w:top w:val="single" w:sz="8" w:space="0" w:color="000000"/>
              <w:left w:val="single" w:sz="8" w:space="0" w:color="000000"/>
              <w:bottom w:val="single" w:sz="8" w:space="0" w:color="000000"/>
              <w:right w:val="single" w:sz="8" w:space="0" w:color="000000"/>
            </w:tcBorders>
            <w:vAlign w:val="center"/>
          </w:tcPr>
          <w:p w:rsidR="001A296D" w:rsidRPr="00CA0AE3" w:rsidRDefault="005E6DD5" w:rsidP="005E6DD5">
            <w:pPr>
              <w:spacing w:after="0" w:line="240" w:lineRule="auto"/>
              <w:rPr>
                <w:rFonts w:eastAsia="Times New Roman"/>
                <w:sz w:val="16"/>
                <w:szCs w:val="16"/>
              </w:rPr>
            </w:pPr>
            <w:r w:rsidRPr="00CA0AE3">
              <w:rPr>
                <w:rFonts w:eastAsia="Times New Roman"/>
                <w:sz w:val="16"/>
                <w:szCs w:val="16"/>
              </w:rPr>
              <w:t>Gap to Goal adjusted to reflect populations with health disparities.</w:t>
            </w:r>
          </w:p>
        </w:tc>
      </w:tr>
      <w:tr w:rsidR="001A296D" w:rsidRPr="00CA0AE3" w:rsidTr="005E6DD5">
        <w:trPr>
          <w:cantSplit/>
          <w:trHeight w:val="1218"/>
        </w:trPr>
        <w:tc>
          <w:tcPr>
            <w:tcW w:w="316" w:type="dxa"/>
            <w:tcBorders>
              <w:top w:val="single" w:sz="8" w:space="0" w:color="000000"/>
              <w:left w:val="single" w:sz="8" w:space="0" w:color="000000"/>
              <w:bottom w:val="single" w:sz="8" w:space="0" w:color="000000"/>
              <w:right w:val="single" w:sz="8" w:space="0" w:color="000000"/>
            </w:tcBorders>
            <w:vAlign w:val="center"/>
          </w:tcPr>
          <w:p w:rsidR="001A296D" w:rsidRPr="00CA0AE3" w:rsidRDefault="001A296D" w:rsidP="001A296D">
            <w:pPr>
              <w:spacing w:after="0" w:line="240" w:lineRule="auto"/>
              <w:jc w:val="center"/>
              <w:rPr>
                <w:sz w:val="16"/>
                <w:szCs w:val="16"/>
              </w:rPr>
            </w:pPr>
            <w:r w:rsidRPr="00CA0AE3">
              <w:rPr>
                <w:sz w:val="16"/>
                <w:szCs w:val="16"/>
              </w:rPr>
              <w:t>8</w:t>
            </w:r>
          </w:p>
        </w:tc>
        <w:tc>
          <w:tcPr>
            <w:tcW w:w="1937"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1A296D" w:rsidRPr="00CA0AE3" w:rsidRDefault="001A296D" w:rsidP="00C947DF">
            <w:pPr>
              <w:pStyle w:val="NormalWeb"/>
              <w:spacing w:before="0" w:beforeAutospacing="0" w:after="0" w:afterAutospacing="0"/>
              <w:rPr>
                <w:bCs/>
                <w:kern w:val="24"/>
                <w:sz w:val="16"/>
                <w:szCs w:val="16"/>
              </w:rPr>
            </w:pPr>
            <w:r w:rsidRPr="00CA0AE3">
              <w:rPr>
                <w:b/>
                <w:bCs/>
                <w:kern w:val="24"/>
                <w:sz w:val="16"/>
                <w:szCs w:val="16"/>
              </w:rPr>
              <w:t>Composite Diabetes &amp; Hypertension Patient Education, outreach or Intervention:</w:t>
            </w:r>
            <w:r w:rsidRPr="00CA0AE3">
              <w:rPr>
                <w:bCs/>
                <w:kern w:val="24"/>
                <w:sz w:val="16"/>
                <w:szCs w:val="16"/>
              </w:rPr>
              <w:t xml:space="preserve"> </w:t>
            </w:r>
          </w:p>
          <w:p w:rsidR="001A296D" w:rsidRPr="00CA0AE3" w:rsidRDefault="001A296D" w:rsidP="00C947DF">
            <w:pPr>
              <w:pStyle w:val="NormalWeb"/>
              <w:spacing w:before="0" w:beforeAutospacing="0" w:after="0" w:afterAutospacing="0"/>
              <w:rPr>
                <w:sz w:val="16"/>
                <w:szCs w:val="16"/>
              </w:rPr>
            </w:pPr>
            <w:r w:rsidRPr="00CA0AE3">
              <w:rPr>
                <w:bCs/>
                <w:kern w:val="24"/>
                <w:sz w:val="16"/>
                <w:szCs w:val="16"/>
              </w:rPr>
              <w:t>Proportion of patients in defined patient panel population(s) with disproportionately poorer health outcomes for hypertension and diabetes control in measures 5, 6, and 7 above that received patient education, outreach, or another intervention to support chronic health condition management</w:t>
            </w:r>
          </w:p>
        </w:tc>
        <w:tc>
          <w:tcPr>
            <w:tcW w:w="1080"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1A296D" w:rsidRPr="00CA0AE3" w:rsidRDefault="001A296D" w:rsidP="001A296D">
            <w:pPr>
              <w:spacing w:after="0" w:line="240" w:lineRule="auto"/>
              <w:jc w:val="center"/>
              <w:rPr>
                <w:sz w:val="16"/>
                <w:szCs w:val="16"/>
              </w:rPr>
            </w:pPr>
            <w:r w:rsidRPr="00CA0AE3">
              <w:rPr>
                <w:sz w:val="16"/>
                <w:szCs w:val="16"/>
              </w:rPr>
              <w:t>Customized Measure</w:t>
            </w:r>
          </w:p>
          <w:p w:rsidR="001A296D" w:rsidRPr="00CA0AE3" w:rsidRDefault="001A296D" w:rsidP="001A296D">
            <w:pPr>
              <w:spacing w:after="0" w:line="240" w:lineRule="auto"/>
              <w:jc w:val="center"/>
              <w:rPr>
                <w:sz w:val="16"/>
                <w:szCs w:val="16"/>
              </w:rPr>
            </w:pPr>
            <w:r w:rsidRPr="00CA0AE3">
              <w:rPr>
                <w:sz w:val="16"/>
                <w:szCs w:val="16"/>
              </w:rPr>
              <w:t>(for hospital-defined patient panel population(s) with health disparities</w:t>
            </w:r>
          </w:p>
        </w:tc>
        <w:tc>
          <w:tcPr>
            <w:tcW w:w="1350"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1A296D" w:rsidRPr="00CA0AE3" w:rsidRDefault="001A296D" w:rsidP="001A296D">
            <w:pPr>
              <w:spacing w:after="0" w:line="240" w:lineRule="auto"/>
              <w:jc w:val="center"/>
              <w:rPr>
                <w:bCs/>
                <w:sz w:val="16"/>
                <w:szCs w:val="16"/>
              </w:rPr>
            </w:pPr>
            <w:r w:rsidRPr="00CA0AE3">
              <w:rPr>
                <w:sz w:val="16"/>
                <w:szCs w:val="16"/>
              </w:rPr>
              <w:t xml:space="preserve">No external benchmark; hospital specific improvement target = 60% </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1A296D" w:rsidRPr="00CA0AE3" w:rsidRDefault="001A296D" w:rsidP="001A296D">
            <w:pPr>
              <w:spacing w:after="0" w:line="240" w:lineRule="auto"/>
              <w:jc w:val="center"/>
              <w:rPr>
                <w:sz w:val="16"/>
                <w:szCs w:val="16"/>
              </w:rPr>
            </w:pPr>
            <w:r w:rsidRPr="00CA0AE3">
              <w:rPr>
                <w:bCs/>
                <w:sz w:val="16"/>
                <w:szCs w:val="16"/>
              </w:rPr>
              <w:t>Gap to Goal (10%) or attainment at target</w:t>
            </w:r>
          </w:p>
        </w:tc>
        <w:tc>
          <w:tcPr>
            <w:tcW w:w="900"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1A296D" w:rsidRPr="00CA0AE3" w:rsidRDefault="001A296D" w:rsidP="001A296D">
            <w:pPr>
              <w:spacing w:after="0" w:line="240" w:lineRule="auto"/>
              <w:jc w:val="center"/>
              <w:rPr>
                <w:sz w:val="16"/>
                <w:szCs w:val="16"/>
              </w:rPr>
            </w:pPr>
            <w:r w:rsidRPr="00CA0AE3">
              <w:rPr>
                <w:sz w:val="16"/>
                <w:szCs w:val="16"/>
              </w:rPr>
              <w:t>B</w:t>
            </w:r>
          </w:p>
        </w:tc>
        <w:tc>
          <w:tcPr>
            <w:tcW w:w="1170"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1A296D" w:rsidRPr="00CA0AE3" w:rsidRDefault="001A296D" w:rsidP="001A296D">
            <w:pPr>
              <w:spacing w:after="0" w:line="240" w:lineRule="auto"/>
              <w:jc w:val="center"/>
              <w:rPr>
                <w:sz w:val="16"/>
                <w:szCs w:val="16"/>
              </w:rPr>
            </w:pPr>
            <w:r w:rsidRPr="00CA0AE3">
              <w:rPr>
                <w:sz w:val="16"/>
                <w:szCs w:val="16"/>
              </w:rPr>
              <w:t>O</w:t>
            </w:r>
          </w:p>
        </w:tc>
        <w:tc>
          <w:tcPr>
            <w:tcW w:w="1170"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1A296D" w:rsidRPr="00CA0AE3" w:rsidRDefault="001A296D" w:rsidP="001A296D">
            <w:pPr>
              <w:spacing w:after="0" w:line="240" w:lineRule="auto"/>
              <w:jc w:val="center"/>
              <w:rPr>
                <w:sz w:val="16"/>
                <w:szCs w:val="16"/>
              </w:rPr>
            </w:pPr>
            <w:r w:rsidRPr="00CA0AE3">
              <w:rPr>
                <w:sz w:val="16"/>
                <w:szCs w:val="16"/>
              </w:rPr>
              <w:t>O</w:t>
            </w:r>
          </w:p>
        </w:tc>
        <w:tc>
          <w:tcPr>
            <w:tcW w:w="1170"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1A296D" w:rsidRPr="00CA0AE3" w:rsidRDefault="001A296D" w:rsidP="001A296D">
            <w:pPr>
              <w:spacing w:after="0" w:line="240" w:lineRule="auto"/>
              <w:jc w:val="center"/>
              <w:rPr>
                <w:sz w:val="16"/>
                <w:szCs w:val="16"/>
              </w:rPr>
            </w:pPr>
            <w:r w:rsidRPr="00CA0AE3">
              <w:rPr>
                <w:sz w:val="16"/>
                <w:szCs w:val="16"/>
              </w:rPr>
              <w:t>O</w:t>
            </w:r>
          </w:p>
        </w:tc>
        <w:tc>
          <w:tcPr>
            <w:tcW w:w="1170"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1A296D" w:rsidRPr="00CA0AE3" w:rsidRDefault="001A296D" w:rsidP="001A296D">
            <w:pPr>
              <w:spacing w:after="0" w:line="240" w:lineRule="auto"/>
              <w:jc w:val="center"/>
              <w:rPr>
                <w:sz w:val="16"/>
                <w:szCs w:val="16"/>
              </w:rPr>
            </w:pPr>
            <w:r w:rsidRPr="00CA0AE3">
              <w:rPr>
                <w:sz w:val="16"/>
                <w:szCs w:val="16"/>
              </w:rPr>
              <w:t>O</w:t>
            </w:r>
          </w:p>
        </w:tc>
        <w:tc>
          <w:tcPr>
            <w:tcW w:w="1353" w:type="dxa"/>
            <w:tcBorders>
              <w:top w:val="single" w:sz="8" w:space="0" w:color="000000"/>
              <w:left w:val="single" w:sz="8" w:space="0" w:color="000000"/>
              <w:bottom w:val="single" w:sz="8" w:space="0" w:color="000000"/>
              <w:right w:val="single" w:sz="8" w:space="0" w:color="000000"/>
            </w:tcBorders>
            <w:vAlign w:val="center"/>
          </w:tcPr>
          <w:p w:rsidR="001A296D" w:rsidRPr="00CA0AE3" w:rsidRDefault="005E6DD5" w:rsidP="005E6DD5">
            <w:pPr>
              <w:spacing w:after="0" w:line="240" w:lineRule="auto"/>
              <w:rPr>
                <w:rFonts w:eastAsia="Times New Roman"/>
                <w:sz w:val="16"/>
                <w:szCs w:val="16"/>
              </w:rPr>
            </w:pPr>
            <w:r w:rsidRPr="00CA0AE3">
              <w:rPr>
                <w:rFonts w:eastAsia="Times New Roman"/>
                <w:sz w:val="16"/>
                <w:szCs w:val="16"/>
              </w:rPr>
              <w:t xml:space="preserve">Target derived to improve patient education, outreach, and/or interventions for patients with disproportionately poorer health outcomes. </w:t>
            </w:r>
          </w:p>
        </w:tc>
      </w:tr>
      <w:tr w:rsidR="001A296D" w:rsidRPr="00CA0AE3" w:rsidTr="005E6DD5">
        <w:trPr>
          <w:cantSplit/>
          <w:trHeight w:val="1218"/>
        </w:trPr>
        <w:tc>
          <w:tcPr>
            <w:tcW w:w="316" w:type="dxa"/>
            <w:tcBorders>
              <w:top w:val="single" w:sz="8" w:space="0" w:color="000000"/>
              <w:left w:val="single" w:sz="8" w:space="0" w:color="000000"/>
              <w:bottom w:val="single" w:sz="8" w:space="0" w:color="000000"/>
              <w:right w:val="single" w:sz="8" w:space="0" w:color="000000"/>
            </w:tcBorders>
            <w:vAlign w:val="center"/>
          </w:tcPr>
          <w:p w:rsidR="001A296D" w:rsidRPr="00CA0AE3" w:rsidRDefault="001A296D" w:rsidP="001A296D">
            <w:pPr>
              <w:spacing w:after="0" w:line="240" w:lineRule="auto"/>
              <w:jc w:val="center"/>
              <w:rPr>
                <w:sz w:val="16"/>
                <w:szCs w:val="16"/>
              </w:rPr>
            </w:pPr>
            <w:r w:rsidRPr="00CA0AE3">
              <w:rPr>
                <w:sz w:val="16"/>
                <w:szCs w:val="16"/>
              </w:rPr>
              <w:lastRenderedPageBreak/>
              <w:t>9</w:t>
            </w:r>
          </w:p>
        </w:tc>
        <w:tc>
          <w:tcPr>
            <w:tcW w:w="1937"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1A296D" w:rsidRPr="00CA0AE3" w:rsidRDefault="001A296D" w:rsidP="00C947DF">
            <w:pPr>
              <w:pStyle w:val="NormalWeb"/>
              <w:spacing w:before="0" w:beforeAutospacing="0" w:after="0" w:afterAutospacing="0"/>
              <w:rPr>
                <w:bCs/>
                <w:kern w:val="24"/>
                <w:sz w:val="16"/>
                <w:szCs w:val="16"/>
              </w:rPr>
            </w:pPr>
            <w:r w:rsidRPr="00CA0AE3">
              <w:rPr>
                <w:b/>
                <w:bCs/>
                <w:kern w:val="24"/>
                <w:sz w:val="16"/>
                <w:szCs w:val="16"/>
              </w:rPr>
              <w:t xml:space="preserve">Primary Care and Ambulatory Care Utilization Among Panel Population(s) with Health Disparities:  </w:t>
            </w:r>
            <w:r w:rsidRPr="00CA0AE3">
              <w:rPr>
                <w:bCs/>
                <w:kern w:val="24"/>
                <w:sz w:val="16"/>
                <w:szCs w:val="16"/>
              </w:rPr>
              <w:t>Increase the proportion of patients in defined patient panel population(s) with disproportionately poorer health outcomes for hypertension and diabetes control in measures 5, 6, and 7 above who had at least one community health, primary care  and/or other ambulatory care visit during the measurement period</w:t>
            </w:r>
          </w:p>
        </w:tc>
        <w:tc>
          <w:tcPr>
            <w:tcW w:w="1080"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1A296D" w:rsidRPr="00CA0AE3" w:rsidRDefault="001A296D" w:rsidP="001A296D">
            <w:pPr>
              <w:spacing w:after="0" w:line="240" w:lineRule="auto"/>
              <w:jc w:val="center"/>
              <w:rPr>
                <w:sz w:val="16"/>
                <w:szCs w:val="16"/>
              </w:rPr>
            </w:pPr>
            <w:r w:rsidRPr="00CA0AE3">
              <w:rPr>
                <w:sz w:val="16"/>
                <w:szCs w:val="16"/>
              </w:rPr>
              <w:t>Customized Measure</w:t>
            </w:r>
          </w:p>
          <w:p w:rsidR="001A296D" w:rsidRPr="00CA0AE3" w:rsidRDefault="001A296D" w:rsidP="001A296D">
            <w:pPr>
              <w:spacing w:after="0" w:line="240" w:lineRule="auto"/>
              <w:jc w:val="center"/>
              <w:rPr>
                <w:sz w:val="16"/>
                <w:szCs w:val="16"/>
              </w:rPr>
            </w:pPr>
            <w:r w:rsidRPr="00CA0AE3">
              <w:rPr>
                <w:sz w:val="16"/>
                <w:szCs w:val="16"/>
              </w:rPr>
              <w:t>(for hospital-defined patient panel population(s) with health disparities</w:t>
            </w:r>
          </w:p>
        </w:tc>
        <w:tc>
          <w:tcPr>
            <w:tcW w:w="1350"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1A296D" w:rsidRPr="00CA0AE3" w:rsidRDefault="001A296D" w:rsidP="001A296D">
            <w:pPr>
              <w:spacing w:after="0" w:line="240" w:lineRule="auto"/>
              <w:jc w:val="center"/>
              <w:rPr>
                <w:sz w:val="16"/>
                <w:szCs w:val="16"/>
              </w:rPr>
            </w:pPr>
            <w:r w:rsidRPr="00CA0AE3">
              <w:rPr>
                <w:sz w:val="16"/>
                <w:szCs w:val="16"/>
              </w:rPr>
              <w:t>No external benchmark;</w:t>
            </w:r>
          </w:p>
          <w:p w:rsidR="001A296D" w:rsidRPr="00CA0AE3" w:rsidRDefault="001A296D" w:rsidP="001A296D">
            <w:pPr>
              <w:spacing w:after="0" w:line="240" w:lineRule="auto"/>
              <w:jc w:val="center"/>
              <w:rPr>
                <w:sz w:val="16"/>
                <w:szCs w:val="16"/>
              </w:rPr>
            </w:pPr>
            <w:r w:rsidRPr="00CA0AE3">
              <w:rPr>
                <w:sz w:val="16"/>
                <w:szCs w:val="16"/>
              </w:rPr>
              <w:t>Improvement over SFY 2018 baseline by defined % point(s)</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1A296D" w:rsidRPr="00CA0AE3" w:rsidRDefault="001A296D" w:rsidP="001A296D">
            <w:pPr>
              <w:spacing w:after="0" w:line="240" w:lineRule="auto"/>
              <w:jc w:val="center"/>
              <w:rPr>
                <w:bCs/>
                <w:sz w:val="16"/>
                <w:szCs w:val="16"/>
              </w:rPr>
            </w:pPr>
          </w:p>
          <w:p w:rsidR="001A296D" w:rsidRPr="00CA0AE3" w:rsidRDefault="001A296D" w:rsidP="001A296D">
            <w:pPr>
              <w:spacing w:after="0" w:line="240" w:lineRule="auto"/>
              <w:jc w:val="center"/>
              <w:rPr>
                <w:bCs/>
                <w:sz w:val="16"/>
                <w:szCs w:val="16"/>
              </w:rPr>
            </w:pPr>
            <w:r w:rsidRPr="00CA0AE3">
              <w:rPr>
                <w:bCs/>
                <w:sz w:val="16"/>
                <w:szCs w:val="16"/>
              </w:rPr>
              <w:t>Improvement compared to SFY 2018 baseline.</w:t>
            </w:r>
          </w:p>
        </w:tc>
        <w:tc>
          <w:tcPr>
            <w:tcW w:w="900"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1A296D" w:rsidRPr="00CA0AE3" w:rsidRDefault="001A296D" w:rsidP="001A296D">
            <w:pPr>
              <w:spacing w:after="0" w:line="240" w:lineRule="auto"/>
              <w:jc w:val="center"/>
              <w:rPr>
                <w:sz w:val="16"/>
                <w:szCs w:val="16"/>
              </w:rPr>
            </w:pPr>
            <w:r w:rsidRPr="00CA0AE3">
              <w:rPr>
                <w:sz w:val="16"/>
                <w:szCs w:val="16"/>
              </w:rPr>
              <w:t>B</w:t>
            </w:r>
          </w:p>
        </w:tc>
        <w:tc>
          <w:tcPr>
            <w:tcW w:w="1170"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1A296D" w:rsidRPr="00CA0AE3" w:rsidRDefault="001A296D" w:rsidP="001A296D">
            <w:pPr>
              <w:spacing w:after="0" w:line="240" w:lineRule="auto"/>
              <w:jc w:val="center"/>
              <w:rPr>
                <w:sz w:val="16"/>
                <w:szCs w:val="16"/>
              </w:rPr>
            </w:pPr>
            <w:r w:rsidRPr="00CA0AE3">
              <w:rPr>
                <w:sz w:val="16"/>
                <w:szCs w:val="16"/>
              </w:rPr>
              <w:t>O</w:t>
            </w:r>
          </w:p>
          <w:p w:rsidR="001A296D" w:rsidRPr="00CA0AE3" w:rsidRDefault="001A296D" w:rsidP="001A296D">
            <w:pPr>
              <w:spacing w:after="0" w:line="240" w:lineRule="auto"/>
              <w:jc w:val="center"/>
              <w:rPr>
                <w:sz w:val="16"/>
                <w:szCs w:val="16"/>
              </w:rPr>
            </w:pPr>
            <w:r w:rsidRPr="00CA0AE3">
              <w:rPr>
                <w:bCs/>
                <w:sz w:val="16"/>
                <w:szCs w:val="16"/>
              </w:rPr>
              <w:t>Improve by at least 1% point above the SFY 2018</w:t>
            </w:r>
          </w:p>
        </w:tc>
        <w:tc>
          <w:tcPr>
            <w:tcW w:w="1170"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1A296D" w:rsidRPr="00CA0AE3" w:rsidRDefault="001A296D" w:rsidP="001A296D">
            <w:pPr>
              <w:spacing w:after="0" w:line="240" w:lineRule="auto"/>
              <w:jc w:val="center"/>
              <w:rPr>
                <w:sz w:val="16"/>
                <w:szCs w:val="16"/>
              </w:rPr>
            </w:pPr>
            <w:r w:rsidRPr="00CA0AE3">
              <w:rPr>
                <w:sz w:val="16"/>
                <w:szCs w:val="16"/>
              </w:rPr>
              <w:t>O</w:t>
            </w:r>
          </w:p>
          <w:p w:rsidR="001A296D" w:rsidRPr="00CA0AE3" w:rsidRDefault="001A296D" w:rsidP="001A296D">
            <w:pPr>
              <w:spacing w:after="0" w:line="240" w:lineRule="auto"/>
              <w:jc w:val="center"/>
              <w:rPr>
                <w:sz w:val="16"/>
                <w:szCs w:val="16"/>
              </w:rPr>
            </w:pPr>
            <w:r w:rsidRPr="00CA0AE3">
              <w:rPr>
                <w:bCs/>
                <w:sz w:val="16"/>
                <w:szCs w:val="16"/>
              </w:rPr>
              <w:t>Improve by at least 2% point above the SFY 2018</w:t>
            </w:r>
          </w:p>
        </w:tc>
        <w:tc>
          <w:tcPr>
            <w:tcW w:w="1170"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1A296D" w:rsidRPr="00CA0AE3" w:rsidRDefault="001A296D" w:rsidP="001A296D">
            <w:pPr>
              <w:spacing w:after="0" w:line="240" w:lineRule="auto"/>
              <w:jc w:val="center"/>
              <w:rPr>
                <w:sz w:val="16"/>
                <w:szCs w:val="16"/>
              </w:rPr>
            </w:pPr>
          </w:p>
          <w:p w:rsidR="001A296D" w:rsidRPr="00CA0AE3" w:rsidRDefault="001A296D" w:rsidP="001A296D">
            <w:pPr>
              <w:spacing w:after="0" w:line="240" w:lineRule="auto"/>
              <w:jc w:val="center"/>
              <w:rPr>
                <w:bCs/>
                <w:sz w:val="16"/>
                <w:szCs w:val="16"/>
              </w:rPr>
            </w:pPr>
            <w:r w:rsidRPr="00CA0AE3">
              <w:rPr>
                <w:sz w:val="16"/>
                <w:szCs w:val="16"/>
              </w:rPr>
              <w:t>O</w:t>
            </w:r>
            <w:r w:rsidRPr="00CA0AE3">
              <w:rPr>
                <w:bCs/>
                <w:sz w:val="16"/>
                <w:szCs w:val="16"/>
              </w:rPr>
              <w:t xml:space="preserve"> </w:t>
            </w:r>
          </w:p>
          <w:p w:rsidR="001A296D" w:rsidRPr="00CA0AE3" w:rsidRDefault="001A296D" w:rsidP="001A296D">
            <w:pPr>
              <w:spacing w:after="0" w:line="240" w:lineRule="auto"/>
              <w:jc w:val="center"/>
              <w:rPr>
                <w:sz w:val="16"/>
                <w:szCs w:val="16"/>
              </w:rPr>
            </w:pPr>
            <w:r w:rsidRPr="00CA0AE3">
              <w:rPr>
                <w:bCs/>
                <w:sz w:val="16"/>
                <w:szCs w:val="16"/>
              </w:rPr>
              <w:t>Improve by at least 3% points above the SFY 2018</w:t>
            </w:r>
          </w:p>
          <w:p w:rsidR="001A296D" w:rsidRPr="00CA0AE3" w:rsidRDefault="001A296D" w:rsidP="001A296D">
            <w:pPr>
              <w:spacing w:after="0" w:line="240" w:lineRule="auto"/>
              <w:jc w:val="center"/>
              <w:rPr>
                <w:sz w:val="16"/>
                <w:szCs w:val="16"/>
              </w:rPr>
            </w:pPr>
          </w:p>
        </w:tc>
        <w:tc>
          <w:tcPr>
            <w:tcW w:w="1170"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1A296D" w:rsidRPr="00CA0AE3" w:rsidRDefault="001A296D" w:rsidP="001A296D">
            <w:pPr>
              <w:spacing w:after="0" w:line="240" w:lineRule="auto"/>
              <w:jc w:val="center"/>
              <w:rPr>
                <w:sz w:val="16"/>
                <w:szCs w:val="16"/>
              </w:rPr>
            </w:pPr>
            <w:r w:rsidRPr="00CA0AE3">
              <w:rPr>
                <w:sz w:val="16"/>
                <w:szCs w:val="16"/>
              </w:rPr>
              <w:t>O</w:t>
            </w:r>
          </w:p>
          <w:p w:rsidR="001A296D" w:rsidRPr="00CA0AE3" w:rsidRDefault="001A296D" w:rsidP="001A296D">
            <w:pPr>
              <w:spacing w:after="0" w:line="240" w:lineRule="auto"/>
              <w:jc w:val="center"/>
              <w:rPr>
                <w:sz w:val="16"/>
                <w:szCs w:val="16"/>
              </w:rPr>
            </w:pPr>
            <w:r w:rsidRPr="00CA0AE3">
              <w:rPr>
                <w:bCs/>
                <w:sz w:val="16"/>
                <w:szCs w:val="16"/>
              </w:rPr>
              <w:t>Improve by at least 4% points above the SFY 2018</w:t>
            </w:r>
          </w:p>
        </w:tc>
        <w:tc>
          <w:tcPr>
            <w:tcW w:w="1353" w:type="dxa"/>
            <w:tcBorders>
              <w:top w:val="single" w:sz="8" w:space="0" w:color="000000"/>
              <w:left w:val="single" w:sz="8" w:space="0" w:color="000000"/>
              <w:bottom w:val="single" w:sz="8" w:space="0" w:color="000000"/>
              <w:right w:val="single" w:sz="8" w:space="0" w:color="000000"/>
            </w:tcBorders>
            <w:vAlign w:val="center"/>
          </w:tcPr>
          <w:p w:rsidR="001A296D" w:rsidRPr="00CA0AE3" w:rsidRDefault="005E6DD5" w:rsidP="005E6DD5">
            <w:pPr>
              <w:spacing w:after="0" w:line="240" w:lineRule="auto"/>
              <w:rPr>
                <w:rFonts w:eastAsia="Times New Roman"/>
                <w:sz w:val="16"/>
                <w:szCs w:val="16"/>
              </w:rPr>
            </w:pPr>
            <w:r w:rsidRPr="00CA0AE3">
              <w:rPr>
                <w:rFonts w:eastAsia="Times New Roman"/>
                <w:sz w:val="16"/>
                <w:szCs w:val="16"/>
              </w:rPr>
              <w:t xml:space="preserve">Target derived to improve utilization of primary care and ambulatory care for patients with disproportionately poorer health outcomes. </w:t>
            </w:r>
          </w:p>
        </w:tc>
      </w:tr>
    </w:tbl>
    <w:p w:rsidR="00B56406" w:rsidRPr="00CA0AE3" w:rsidRDefault="00B56406" w:rsidP="001A296D">
      <w:pPr>
        <w:pStyle w:val="Default"/>
        <w:rPr>
          <w:rFonts w:asciiTheme="minorHAnsi" w:hAnsiTheme="minorHAnsi"/>
          <w:sz w:val="18"/>
          <w:szCs w:val="18"/>
        </w:rPr>
        <w:sectPr w:rsidR="00B56406" w:rsidRPr="00CA0AE3" w:rsidSect="00147DA7">
          <w:footerReference w:type="default" r:id="rId22"/>
          <w:pgSz w:w="15840" w:h="12240" w:orient="landscape"/>
          <w:pgMar w:top="1440" w:right="1440" w:bottom="1440" w:left="1440" w:header="720" w:footer="720" w:gutter="0"/>
          <w:cols w:space="720"/>
          <w:noEndnote/>
          <w:docGrid w:linePitch="326"/>
        </w:sectPr>
      </w:pPr>
    </w:p>
    <w:tbl>
      <w:tblPr>
        <w:tblStyle w:val="TableGrid"/>
        <w:tblW w:w="5000" w:type="pct"/>
        <w:tblLook w:val="04A0" w:firstRow="1" w:lastRow="0" w:firstColumn="1" w:lastColumn="0" w:noHBand="0" w:noVBand="1"/>
      </w:tblPr>
      <w:tblGrid>
        <w:gridCol w:w="1019"/>
        <w:gridCol w:w="3678"/>
        <w:gridCol w:w="1458"/>
        <w:gridCol w:w="1510"/>
        <w:gridCol w:w="1057"/>
        <w:gridCol w:w="1057"/>
        <w:gridCol w:w="1057"/>
        <w:gridCol w:w="1057"/>
        <w:gridCol w:w="1057"/>
      </w:tblGrid>
      <w:tr w:rsidR="00E52B7B" w:rsidRPr="00CA0AE3" w:rsidTr="00E52B7B">
        <w:trPr>
          <w:cantSplit/>
          <w:tblHeader/>
        </w:trPr>
        <w:tc>
          <w:tcPr>
            <w:tcW w:w="394" w:type="pct"/>
            <w:shd w:val="clear" w:color="auto" w:fill="C6D9F1" w:themeFill="text2" w:themeFillTint="33"/>
            <w:vAlign w:val="center"/>
          </w:tcPr>
          <w:p w:rsidR="00E52B7B" w:rsidRPr="00CA0AE3" w:rsidRDefault="00E52B7B" w:rsidP="00E52B7B">
            <w:pPr>
              <w:spacing w:after="0" w:line="240" w:lineRule="auto"/>
              <w:jc w:val="center"/>
              <w:rPr>
                <w:rFonts w:ascii="Times New Roman" w:hAnsi="Times New Roman" w:cs="Times New Roman"/>
                <w:b/>
                <w:sz w:val="20"/>
                <w:szCs w:val="16"/>
              </w:rPr>
            </w:pPr>
            <w:bookmarkStart w:id="1" w:name="_Toc428373951"/>
            <w:r w:rsidRPr="00CA0AE3">
              <w:rPr>
                <w:rFonts w:ascii="Times New Roman" w:eastAsia="Times New Roman" w:hAnsi="Times New Roman" w:cs="Times New Roman"/>
                <w:b/>
                <w:bCs/>
                <w:color w:val="000000"/>
                <w:kern w:val="24"/>
                <w:sz w:val="20"/>
                <w:szCs w:val="16"/>
              </w:rPr>
              <w:lastRenderedPageBreak/>
              <w:t>Measure Slate 6</w:t>
            </w:r>
          </w:p>
        </w:tc>
        <w:tc>
          <w:tcPr>
            <w:tcW w:w="1420" w:type="pct"/>
            <w:shd w:val="clear" w:color="auto" w:fill="C6D9F1" w:themeFill="text2" w:themeFillTint="33"/>
            <w:vAlign w:val="center"/>
          </w:tcPr>
          <w:p w:rsidR="00E52B7B" w:rsidRPr="00CA0AE3" w:rsidRDefault="00E52B7B" w:rsidP="00E52B7B">
            <w:pPr>
              <w:spacing w:after="0" w:line="240" w:lineRule="auto"/>
              <w:jc w:val="center"/>
              <w:rPr>
                <w:rFonts w:ascii="Times New Roman" w:hAnsi="Times New Roman" w:cs="Times New Roman"/>
                <w:b/>
                <w:sz w:val="20"/>
                <w:szCs w:val="16"/>
              </w:rPr>
            </w:pPr>
            <w:r w:rsidRPr="00CA0AE3">
              <w:rPr>
                <w:rFonts w:ascii="Times New Roman" w:eastAsia="Times New Roman" w:hAnsi="Times New Roman" w:cs="Times New Roman"/>
                <w:b/>
                <w:bCs/>
                <w:color w:val="000000"/>
                <w:kern w:val="24"/>
                <w:sz w:val="20"/>
                <w:szCs w:val="16"/>
              </w:rPr>
              <w:t>Population-Wide Community and Public Health Indicators</w:t>
            </w:r>
          </w:p>
        </w:tc>
        <w:tc>
          <w:tcPr>
            <w:tcW w:w="563" w:type="pct"/>
            <w:shd w:val="clear" w:color="auto" w:fill="C6D9F1" w:themeFill="text2" w:themeFillTint="33"/>
            <w:vAlign w:val="center"/>
          </w:tcPr>
          <w:p w:rsidR="00E52B7B" w:rsidRPr="00CA0AE3" w:rsidRDefault="00E52B7B" w:rsidP="00E52B7B">
            <w:pPr>
              <w:spacing w:after="0" w:line="240" w:lineRule="auto"/>
              <w:jc w:val="center"/>
              <w:rPr>
                <w:rFonts w:ascii="Times New Roman" w:hAnsi="Times New Roman" w:cs="Times New Roman"/>
                <w:bCs/>
                <w:sz w:val="20"/>
                <w:szCs w:val="16"/>
              </w:rPr>
            </w:pPr>
            <w:r w:rsidRPr="00CA0AE3">
              <w:rPr>
                <w:rFonts w:ascii="Times New Roman" w:hAnsi="Times New Roman" w:cs="Times New Roman"/>
                <w:b/>
                <w:bCs/>
                <w:sz w:val="20"/>
                <w:szCs w:val="16"/>
              </w:rPr>
              <w:t>Source</w:t>
            </w:r>
          </w:p>
        </w:tc>
        <w:tc>
          <w:tcPr>
            <w:tcW w:w="583" w:type="pct"/>
            <w:shd w:val="clear" w:color="auto" w:fill="C6D9F1" w:themeFill="text2" w:themeFillTint="33"/>
            <w:vAlign w:val="center"/>
          </w:tcPr>
          <w:p w:rsidR="00E52B7B" w:rsidRPr="00CA0AE3" w:rsidRDefault="00E52B7B" w:rsidP="00E52B7B">
            <w:pPr>
              <w:spacing w:after="0" w:line="240" w:lineRule="auto"/>
              <w:jc w:val="center"/>
              <w:rPr>
                <w:rFonts w:ascii="Times New Roman" w:hAnsi="Times New Roman" w:cs="Times New Roman"/>
                <w:b/>
                <w:sz w:val="20"/>
                <w:szCs w:val="16"/>
              </w:rPr>
            </w:pPr>
            <w:r w:rsidRPr="00CA0AE3">
              <w:rPr>
                <w:rFonts w:ascii="Times New Roman" w:hAnsi="Times New Roman" w:cs="Times New Roman"/>
                <w:b/>
                <w:sz w:val="20"/>
                <w:szCs w:val="16"/>
              </w:rPr>
              <w:t>Geography</w:t>
            </w:r>
          </w:p>
        </w:tc>
        <w:tc>
          <w:tcPr>
            <w:tcW w:w="408" w:type="pct"/>
            <w:shd w:val="clear" w:color="auto" w:fill="C6D9F1" w:themeFill="text2" w:themeFillTint="33"/>
            <w:vAlign w:val="center"/>
          </w:tcPr>
          <w:p w:rsidR="00E52B7B" w:rsidRPr="00CA0AE3" w:rsidRDefault="00E52B7B" w:rsidP="00E52B7B">
            <w:pPr>
              <w:spacing w:after="0" w:line="240" w:lineRule="auto"/>
              <w:jc w:val="center"/>
              <w:rPr>
                <w:rFonts w:ascii="Times New Roman" w:hAnsi="Times New Roman" w:cs="Times New Roman"/>
                <w:b/>
                <w:bCs/>
                <w:sz w:val="20"/>
                <w:szCs w:val="16"/>
              </w:rPr>
            </w:pPr>
            <w:r w:rsidRPr="00CA0AE3">
              <w:rPr>
                <w:rFonts w:ascii="Times New Roman" w:hAnsi="Times New Roman" w:cs="Times New Roman"/>
                <w:b/>
                <w:bCs/>
                <w:sz w:val="20"/>
                <w:szCs w:val="16"/>
              </w:rPr>
              <w:t>Year 1</w:t>
            </w:r>
          </w:p>
          <w:p w:rsidR="00E52B7B" w:rsidRPr="00CA0AE3" w:rsidRDefault="00E52B7B" w:rsidP="00E52B7B">
            <w:pPr>
              <w:spacing w:after="0" w:line="240" w:lineRule="auto"/>
              <w:jc w:val="center"/>
              <w:rPr>
                <w:rFonts w:ascii="Times New Roman" w:hAnsi="Times New Roman" w:cs="Times New Roman"/>
                <w:bCs/>
                <w:sz w:val="20"/>
                <w:szCs w:val="16"/>
              </w:rPr>
            </w:pPr>
            <w:r w:rsidRPr="00CA0AE3">
              <w:rPr>
                <w:rFonts w:ascii="Times New Roman" w:hAnsi="Times New Roman" w:cs="Times New Roman"/>
                <w:bCs/>
                <w:sz w:val="20"/>
                <w:szCs w:val="16"/>
              </w:rPr>
              <w:t>SFY</w:t>
            </w:r>
          </w:p>
          <w:p w:rsidR="00E52B7B" w:rsidRPr="00CA0AE3" w:rsidRDefault="00E52B7B" w:rsidP="00E52B7B">
            <w:pPr>
              <w:spacing w:after="0" w:line="240" w:lineRule="auto"/>
              <w:jc w:val="center"/>
              <w:rPr>
                <w:rFonts w:ascii="Times New Roman" w:hAnsi="Times New Roman" w:cs="Times New Roman"/>
                <w:bCs/>
                <w:sz w:val="20"/>
                <w:szCs w:val="16"/>
              </w:rPr>
            </w:pPr>
            <w:r w:rsidRPr="00CA0AE3">
              <w:rPr>
                <w:rFonts w:ascii="Times New Roman" w:hAnsi="Times New Roman" w:cs="Times New Roman"/>
                <w:bCs/>
                <w:sz w:val="20"/>
                <w:szCs w:val="16"/>
              </w:rPr>
              <w:t>2018</w:t>
            </w:r>
          </w:p>
        </w:tc>
        <w:tc>
          <w:tcPr>
            <w:tcW w:w="408" w:type="pct"/>
            <w:shd w:val="clear" w:color="auto" w:fill="C6D9F1" w:themeFill="text2" w:themeFillTint="33"/>
            <w:vAlign w:val="center"/>
          </w:tcPr>
          <w:p w:rsidR="00E52B7B" w:rsidRPr="00CA0AE3" w:rsidRDefault="00E52B7B" w:rsidP="00E52B7B">
            <w:pPr>
              <w:spacing w:after="0" w:line="240" w:lineRule="auto"/>
              <w:jc w:val="center"/>
              <w:rPr>
                <w:rFonts w:ascii="Times New Roman" w:hAnsi="Times New Roman" w:cs="Times New Roman"/>
                <w:b/>
                <w:bCs/>
                <w:sz w:val="20"/>
                <w:szCs w:val="16"/>
              </w:rPr>
            </w:pPr>
            <w:r w:rsidRPr="00CA0AE3">
              <w:rPr>
                <w:rFonts w:ascii="Times New Roman" w:hAnsi="Times New Roman" w:cs="Times New Roman"/>
                <w:b/>
                <w:bCs/>
                <w:sz w:val="20"/>
                <w:szCs w:val="16"/>
              </w:rPr>
              <w:t>Year 2</w:t>
            </w:r>
          </w:p>
          <w:p w:rsidR="00E52B7B" w:rsidRPr="00CA0AE3" w:rsidRDefault="00E52B7B" w:rsidP="00E52B7B">
            <w:pPr>
              <w:spacing w:after="0" w:line="240" w:lineRule="auto"/>
              <w:jc w:val="center"/>
              <w:rPr>
                <w:rFonts w:ascii="Times New Roman" w:hAnsi="Times New Roman" w:cs="Times New Roman"/>
                <w:bCs/>
                <w:sz w:val="20"/>
                <w:szCs w:val="16"/>
              </w:rPr>
            </w:pPr>
            <w:r w:rsidRPr="00CA0AE3">
              <w:rPr>
                <w:rFonts w:ascii="Times New Roman" w:hAnsi="Times New Roman" w:cs="Times New Roman"/>
                <w:bCs/>
                <w:sz w:val="20"/>
                <w:szCs w:val="16"/>
              </w:rPr>
              <w:t>SFY</w:t>
            </w:r>
          </w:p>
          <w:p w:rsidR="00E52B7B" w:rsidRPr="00CA0AE3" w:rsidRDefault="00E52B7B" w:rsidP="00E52B7B">
            <w:pPr>
              <w:spacing w:after="0" w:line="240" w:lineRule="auto"/>
              <w:jc w:val="center"/>
              <w:rPr>
                <w:rFonts w:ascii="Times New Roman" w:hAnsi="Times New Roman" w:cs="Times New Roman"/>
                <w:bCs/>
                <w:sz w:val="20"/>
                <w:szCs w:val="16"/>
              </w:rPr>
            </w:pPr>
            <w:r w:rsidRPr="00CA0AE3">
              <w:rPr>
                <w:rFonts w:ascii="Times New Roman" w:hAnsi="Times New Roman" w:cs="Times New Roman"/>
                <w:bCs/>
                <w:sz w:val="20"/>
                <w:szCs w:val="16"/>
              </w:rPr>
              <w:t>2019</w:t>
            </w:r>
          </w:p>
        </w:tc>
        <w:tc>
          <w:tcPr>
            <w:tcW w:w="408" w:type="pct"/>
            <w:shd w:val="clear" w:color="auto" w:fill="C6D9F1" w:themeFill="text2" w:themeFillTint="33"/>
            <w:vAlign w:val="center"/>
          </w:tcPr>
          <w:p w:rsidR="00E52B7B" w:rsidRPr="00CA0AE3" w:rsidRDefault="00E52B7B" w:rsidP="00E52B7B">
            <w:pPr>
              <w:spacing w:after="0" w:line="240" w:lineRule="auto"/>
              <w:jc w:val="center"/>
              <w:rPr>
                <w:rFonts w:ascii="Times New Roman" w:hAnsi="Times New Roman" w:cs="Times New Roman"/>
                <w:b/>
                <w:bCs/>
                <w:sz w:val="20"/>
                <w:szCs w:val="16"/>
              </w:rPr>
            </w:pPr>
            <w:r w:rsidRPr="00CA0AE3">
              <w:rPr>
                <w:rFonts w:ascii="Times New Roman" w:hAnsi="Times New Roman" w:cs="Times New Roman"/>
                <w:b/>
                <w:bCs/>
                <w:sz w:val="20"/>
                <w:szCs w:val="16"/>
              </w:rPr>
              <w:t>Year 3</w:t>
            </w:r>
          </w:p>
          <w:p w:rsidR="00E52B7B" w:rsidRPr="00CA0AE3" w:rsidRDefault="00E52B7B" w:rsidP="00E52B7B">
            <w:pPr>
              <w:spacing w:after="0" w:line="240" w:lineRule="auto"/>
              <w:jc w:val="center"/>
              <w:rPr>
                <w:rFonts w:ascii="Times New Roman" w:hAnsi="Times New Roman" w:cs="Times New Roman"/>
                <w:bCs/>
                <w:sz w:val="20"/>
                <w:szCs w:val="16"/>
              </w:rPr>
            </w:pPr>
            <w:r w:rsidRPr="00CA0AE3">
              <w:rPr>
                <w:rFonts w:ascii="Times New Roman" w:hAnsi="Times New Roman" w:cs="Times New Roman"/>
                <w:bCs/>
                <w:sz w:val="20"/>
                <w:szCs w:val="16"/>
              </w:rPr>
              <w:t>SFY</w:t>
            </w:r>
          </w:p>
          <w:p w:rsidR="00E52B7B" w:rsidRPr="00CA0AE3" w:rsidRDefault="00E52B7B" w:rsidP="00E52B7B">
            <w:pPr>
              <w:spacing w:after="0" w:line="240" w:lineRule="auto"/>
              <w:jc w:val="center"/>
              <w:rPr>
                <w:rFonts w:ascii="Times New Roman" w:hAnsi="Times New Roman" w:cs="Times New Roman"/>
                <w:b/>
                <w:bCs/>
                <w:sz w:val="20"/>
                <w:szCs w:val="16"/>
              </w:rPr>
            </w:pPr>
            <w:r w:rsidRPr="00CA0AE3">
              <w:rPr>
                <w:rFonts w:ascii="Times New Roman" w:hAnsi="Times New Roman" w:cs="Times New Roman"/>
                <w:bCs/>
                <w:sz w:val="20"/>
                <w:szCs w:val="16"/>
              </w:rPr>
              <w:t>2020</w:t>
            </w:r>
          </w:p>
        </w:tc>
        <w:tc>
          <w:tcPr>
            <w:tcW w:w="408" w:type="pct"/>
            <w:shd w:val="clear" w:color="auto" w:fill="C6D9F1" w:themeFill="text2" w:themeFillTint="33"/>
            <w:vAlign w:val="center"/>
          </w:tcPr>
          <w:p w:rsidR="00E52B7B" w:rsidRPr="00CA0AE3" w:rsidRDefault="00E52B7B" w:rsidP="00E52B7B">
            <w:pPr>
              <w:spacing w:after="0" w:line="240" w:lineRule="auto"/>
              <w:jc w:val="center"/>
              <w:rPr>
                <w:rFonts w:ascii="Times New Roman" w:hAnsi="Times New Roman" w:cs="Times New Roman"/>
                <w:b/>
                <w:bCs/>
                <w:sz w:val="20"/>
                <w:szCs w:val="16"/>
              </w:rPr>
            </w:pPr>
            <w:r w:rsidRPr="00CA0AE3">
              <w:rPr>
                <w:rFonts w:ascii="Times New Roman" w:hAnsi="Times New Roman" w:cs="Times New Roman"/>
                <w:b/>
                <w:bCs/>
                <w:sz w:val="20"/>
                <w:szCs w:val="16"/>
              </w:rPr>
              <w:t>Year 4</w:t>
            </w:r>
          </w:p>
          <w:p w:rsidR="00E52B7B" w:rsidRPr="00CA0AE3" w:rsidRDefault="00E52B7B" w:rsidP="00E52B7B">
            <w:pPr>
              <w:spacing w:after="0" w:line="240" w:lineRule="auto"/>
              <w:jc w:val="center"/>
              <w:rPr>
                <w:rFonts w:ascii="Times New Roman" w:hAnsi="Times New Roman" w:cs="Times New Roman"/>
                <w:bCs/>
                <w:sz w:val="20"/>
                <w:szCs w:val="16"/>
              </w:rPr>
            </w:pPr>
            <w:r w:rsidRPr="00CA0AE3">
              <w:rPr>
                <w:rFonts w:ascii="Times New Roman" w:hAnsi="Times New Roman" w:cs="Times New Roman"/>
                <w:bCs/>
                <w:sz w:val="20"/>
                <w:szCs w:val="16"/>
              </w:rPr>
              <w:t>SFY</w:t>
            </w:r>
          </w:p>
          <w:p w:rsidR="00E52B7B" w:rsidRPr="00CA0AE3" w:rsidRDefault="00E52B7B" w:rsidP="00E52B7B">
            <w:pPr>
              <w:spacing w:after="0" w:line="240" w:lineRule="auto"/>
              <w:jc w:val="center"/>
              <w:rPr>
                <w:rFonts w:ascii="Times New Roman" w:hAnsi="Times New Roman" w:cs="Times New Roman"/>
                <w:b/>
                <w:bCs/>
                <w:sz w:val="20"/>
                <w:szCs w:val="16"/>
              </w:rPr>
            </w:pPr>
            <w:r w:rsidRPr="00CA0AE3">
              <w:rPr>
                <w:rFonts w:ascii="Times New Roman" w:hAnsi="Times New Roman" w:cs="Times New Roman"/>
                <w:bCs/>
                <w:sz w:val="20"/>
                <w:szCs w:val="16"/>
              </w:rPr>
              <w:t>2021</w:t>
            </w:r>
          </w:p>
        </w:tc>
        <w:tc>
          <w:tcPr>
            <w:tcW w:w="408" w:type="pct"/>
            <w:shd w:val="clear" w:color="auto" w:fill="C6D9F1" w:themeFill="text2" w:themeFillTint="33"/>
            <w:vAlign w:val="center"/>
          </w:tcPr>
          <w:p w:rsidR="00E52B7B" w:rsidRPr="00CA0AE3" w:rsidRDefault="00E52B7B" w:rsidP="00E52B7B">
            <w:pPr>
              <w:spacing w:after="0" w:line="240" w:lineRule="auto"/>
              <w:jc w:val="center"/>
              <w:rPr>
                <w:rFonts w:ascii="Times New Roman" w:hAnsi="Times New Roman" w:cs="Times New Roman"/>
                <w:b/>
                <w:bCs/>
                <w:sz w:val="20"/>
                <w:szCs w:val="16"/>
              </w:rPr>
            </w:pPr>
            <w:r w:rsidRPr="00CA0AE3">
              <w:rPr>
                <w:rFonts w:ascii="Times New Roman" w:hAnsi="Times New Roman" w:cs="Times New Roman"/>
                <w:b/>
                <w:bCs/>
                <w:sz w:val="20"/>
                <w:szCs w:val="16"/>
              </w:rPr>
              <w:t>Year 5</w:t>
            </w:r>
          </w:p>
          <w:p w:rsidR="00E52B7B" w:rsidRPr="00CA0AE3" w:rsidRDefault="00E52B7B" w:rsidP="00E52B7B">
            <w:pPr>
              <w:spacing w:after="0" w:line="240" w:lineRule="auto"/>
              <w:jc w:val="center"/>
              <w:rPr>
                <w:rFonts w:ascii="Times New Roman" w:hAnsi="Times New Roman" w:cs="Times New Roman"/>
                <w:bCs/>
                <w:sz w:val="20"/>
                <w:szCs w:val="16"/>
              </w:rPr>
            </w:pPr>
            <w:r w:rsidRPr="00CA0AE3">
              <w:rPr>
                <w:rFonts w:ascii="Times New Roman" w:hAnsi="Times New Roman" w:cs="Times New Roman"/>
                <w:bCs/>
                <w:sz w:val="20"/>
                <w:szCs w:val="16"/>
              </w:rPr>
              <w:t>SFY</w:t>
            </w:r>
          </w:p>
          <w:p w:rsidR="00E52B7B" w:rsidRPr="00CA0AE3" w:rsidRDefault="00E52B7B" w:rsidP="00E52B7B">
            <w:pPr>
              <w:spacing w:after="0" w:line="240" w:lineRule="auto"/>
              <w:jc w:val="center"/>
              <w:rPr>
                <w:rFonts w:ascii="Times New Roman" w:hAnsi="Times New Roman" w:cs="Times New Roman"/>
                <w:b/>
                <w:bCs/>
                <w:sz w:val="20"/>
                <w:szCs w:val="16"/>
              </w:rPr>
            </w:pPr>
            <w:r w:rsidRPr="00CA0AE3">
              <w:rPr>
                <w:rFonts w:ascii="Times New Roman" w:hAnsi="Times New Roman" w:cs="Times New Roman"/>
                <w:bCs/>
                <w:sz w:val="20"/>
                <w:szCs w:val="16"/>
              </w:rPr>
              <w:t>2022</w:t>
            </w:r>
          </w:p>
        </w:tc>
      </w:tr>
      <w:bookmarkEnd w:id="1"/>
      <w:tr w:rsidR="00E52B7B" w:rsidRPr="00CA0AE3" w:rsidTr="00E52B7B">
        <w:trPr>
          <w:cantSplit/>
        </w:trPr>
        <w:tc>
          <w:tcPr>
            <w:tcW w:w="394" w:type="pct"/>
            <w:shd w:val="clear" w:color="auto" w:fill="auto"/>
            <w:noWrap/>
            <w:vAlign w:val="center"/>
          </w:tcPr>
          <w:p w:rsidR="00E52B7B" w:rsidRPr="00CA0AE3" w:rsidRDefault="00E52B7B" w:rsidP="00E52B7B">
            <w:pPr>
              <w:spacing w:after="0" w:line="240" w:lineRule="auto"/>
              <w:jc w:val="center"/>
              <w:rPr>
                <w:rFonts w:ascii="Times New Roman" w:hAnsi="Times New Roman" w:cs="Times New Roman"/>
                <w:sz w:val="16"/>
                <w:szCs w:val="16"/>
              </w:rPr>
            </w:pPr>
            <w:r w:rsidRPr="00CA0AE3">
              <w:rPr>
                <w:rFonts w:ascii="Times New Roman" w:hAnsi="Times New Roman" w:cs="Times New Roman"/>
                <w:sz w:val="16"/>
                <w:szCs w:val="16"/>
              </w:rPr>
              <w:t>1</w:t>
            </w:r>
          </w:p>
        </w:tc>
        <w:tc>
          <w:tcPr>
            <w:tcW w:w="1420" w:type="pct"/>
            <w:shd w:val="clear" w:color="auto" w:fill="auto"/>
            <w:vAlign w:val="center"/>
          </w:tcPr>
          <w:p w:rsidR="00E52B7B" w:rsidRPr="00CA0AE3" w:rsidRDefault="00E52B7B" w:rsidP="00E52B7B">
            <w:pPr>
              <w:spacing w:after="0" w:line="240" w:lineRule="auto"/>
              <w:jc w:val="center"/>
              <w:rPr>
                <w:rFonts w:ascii="Times New Roman" w:hAnsi="Times New Roman" w:cs="Times New Roman"/>
                <w:sz w:val="16"/>
                <w:szCs w:val="16"/>
              </w:rPr>
            </w:pPr>
            <w:r w:rsidRPr="00CA0AE3">
              <w:rPr>
                <w:rFonts w:ascii="Times New Roman" w:hAnsi="Times New Roman" w:cs="Times New Roman"/>
                <w:sz w:val="16"/>
                <w:szCs w:val="16"/>
              </w:rPr>
              <w:t>Age-adjusted rate* per 100,000 for premature death (below age 75),</w:t>
            </w:r>
            <w:r w:rsidRPr="00CA0AE3">
              <w:rPr>
                <w:rFonts w:ascii="Times New Roman" w:hAnsi="Times New Roman" w:cs="Times New Roman"/>
                <w:i/>
                <w:sz w:val="16"/>
                <w:szCs w:val="16"/>
              </w:rPr>
              <w:t xml:space="preserve"> by race and ethnicity, as available</w:t>
            </w:r>
          </w:p>
        </w:tc>
        <w:tc>
          <w:tcPr>
            <w:tcW w:w="563" w:type="pct"/>
            <w:shd w:val="clear" w:color="auto" w:fill="auto"/>
            <w:vAlign w:val="center"/>
          </w:tcPr>
          <w:p w:rsidR="00E52B7B" w:rsidRPr="00CA0AE3" w:rsidRDefault="00E52B7B" w:rsidP="00E52B7B">
            <w:pPr>
              <w:spacing w:after="0" w:line="240" w:lineRule="auto"/>
              <w:jc w:val="center"/>
              <w:rPr>
                <w:rFonts w:ascii="Times New Roman" w:hAnsi="Times New Roman" w:cs="Times New Roman"/>
                <w:sz w:val="16"/>
                <w:szCs w:val="16"/>
              </w:rPr>
            </w:pPr>
            <w:r w:rsidRPr="00CA0AE3">
              <w:rPr>
                <w:rFonts w:ascii="Times New Roman" w:hAnsi="Times New Roman" w:cs="Times New Roman"/>
                <w:sz w:val="16"/>
                <w:szCs w:val="16"/>
              </w:rPr>
              <w:t>MA Department of Public Health</w:t>
            </w:r>
          </w:p>
          <w:p w:rsidR="00E52B7B" w:rsidRPr="00CA0AE3" w:rsidRDefault="00E52B7B" w:rsidP="00E52B7B">
            <w:pPr>
              <w:spacing w:after="0" w:line="240" w:lineRule="auto"/>
              <w:jc w:val="center"/>
              <w:rPr>
                <w:rFonts w:ascii="Times New Roman" w:hAnsi="Times New Roman" w:cs="Times New Roman"/>
                <w:sz w:val="16"/>
                <w:szCs w:val="16"/>
              </w:rPr>
            </w:pPr>
            <w:r w:rsidRPr="00CA0AE3">
              <w:rPr>
                <w:rFonts w:ascii="Times New Roman" w:hAnsi="Times New Roman" w:cs="Times New Roman"/>
                <w:sz w:val="16"/>
                <w:szCs w:val="16"/>
              </w:rPr>
              <w:t xml:space="preserve">(Annual) </w:t>
            </w:r>
          </w:p>
        </w:tc>
        <w:tc>
          <w:tcPr>
            <w:tcW w:w="583" w:type="pct"/>
            <w:vAlign w:val="center"/>
          </w:tcPr>
          <w:p w:rsidR="00E52B7B" w:rsidRPr="00CA0AE3" w:rsidRDefault="00E52B7B" w:rsidP="00E52B7B">
            <w:pPr>
              <w:spacing w:after="0" w:line="240" w:lineRule="auto"/>
              <w:jc w:val="center"/>
              <w:rPr>
                <w:rFonts w:ascii="Times New Roman" w:hAnsi="Times New Roman" w:cs="Times New Roman"/>
                <w:color w:val="000000"/>
                <w:sz w:val="16"/>
                <w:szCs w:val="16"/>
              </w:rPr>
            </w:pPr>
            <w:r w:rsidRPr="00CA0AE3">
              <w:rPr>
                <w:rFonts w:ascii="Times New Roman" w:hAnsi="Times New Roman" w:cs="Times New Roman"/>
                <w:color w:val="000000"/>
                <w:sz w:val="16"/>
                <w:szCs w:val="16"/>
              </w:rPr>
              <w:t>Cambridge, Somerville, Everett, Malden, Revere, Statewide</w:t>
            </w:r>
          </w:p>
        </w:tc>
        <w:tc>
          <w:tcPr>
            <w:tcW w:w="408" w:type="pct"/>
            <w:shd w:val="clear" w:color="auto" w:fill="auto"/>
            <w:vAlign w:val="center"/>
          </w:tcPr>
          <w:p w:rsidR="00E52B7B" w:rsidRPr="00CA0AE3" w:rsidRDefault="00E52B7B" w:rsidP="00E52B7B">
            <w:pPr>
              <w:spacing w:after="0" w:line="240" w:lineRule="auto"/>
              <w:jc w:val="center"/>
              <w:rPr>
                <w:rFonts w:ascii="Times New Roman" w:hAnsi="Times New Roman" w:cs="Times New Roman"/>
                <w:sz w:val="16"/>
                <w:szCs w:val="16"/>
              </w:rPr>
            </w:pPr>
            <w:r w:rsidRPr="00CA0AE3">
              <w:rPr>
                <w:rFonts w:ascii="Times New Roman" w:hAnsi="Times New Roman" w:cs="Times New Roman"/>
                <w:sz w:val="16"/>
                <w:szCs w:val="16"/>
              </w:rPr>
              <w:t>R</w:t>
            </w:r>
          </w:p>
        </w:tc>
        <w:tc>
          <w:tcPr>
            <w:tcW w:w="408" w:type="pct"/>
            <w:shd w:val="clear" w:color="auto" w:fill="auto"/>
            <w:vAlign w:val="center"/>
          </w:tcPr>
          <w:p w:rsidR="00E52B7B" w:rsidRPr="00CA0AE3" w:rsidRDefault="00E52B7B" w:rsidP="00E52B7B">
            <w:pPr>
              <w:spacing w:after="0" w:line="240" w:lineRule="auto"/>
              <w:jc w:val="center"/>
              <w:rPr>
                <w:rFonts w:ascii="Times New Roman" w:eastAsia="Times New Roman" w:hAnsi="Times New Roman" w:cs="Times New Roman"/>
                <w:sz w:val="16"/>
                <w:szCs w:val="16"/>
              </w:rPr>
            </w:pPr>
            <w:r w:rsidRPr="00CA0AE3">
              <w:rPr>
                <w:rFonts w:ascii="Times New Roman" w:eastAsia="Times New Roman" w:hAnsi="Times New Roman" w:cs="Times New Roman"/>
                <w:sz w:val="16"/>
                <w:szCs w:val="16"/>
              </w:rPr>
              <w:t>R</w:t>
            </w:r>
          </w:p>
        </w:tc>
        <w:tc>
          <w:tcPr>
            <w:tcW w:w="408" w:type="pct"/>
            <w:shd w:val="clear" w:color="auto" w:fill="auto"/>
            <w:vAlign w:val="center"/>
          </w:tcPr>
          <w:p w:rsidR="00E52B7B" w:rsidRPr="00CA0AE3" w:rsidRDefault="00E52B7B" w:rsidP="00E52B7B">
            <w:pPr>
              <w:spacing w:after="0" w:line="240" w:lineRule="auto"/>
              <w:jc w:val="center"/>
              <w:rPr>
                <w:rFonts w:ascii="Times New Roman" w:eastAsia="Times New Roman" w:hAnsi="Times New Roman" w:cs="Times New Roman"/>
                <w:sz w:val="16"/>
                <w:szCs w:val="16"/>
              </w:rPr>
            </w:pPr>
            <w:r w:rsidRPr="00CA0AE3">
              <w:rPr>
                <w:rFonts w:ascii="Times New Roman" w:eastAsia="Times New Roman" w:hAnsi="Times New Roman" w:cs="Times New Roman"/>
                <w:sz w:val="16"/>
                <w:szCs w:val="16"/>
              </w:rPr>
              <w:t>R</w:t>
            </w:r>
          </w:p>
        </w:tc>
        <w:tc>
          <w:tcPr>
            <w:tcW w:w="408" w:type="pct"/>
            <w:vAlign w:val="center"/>
          </w:tcPr>
          <w:p w:rsidR="00E52B7B" w:rsidRPr="00CA0AE3" w:rsidRDefault="00E52B7B" w:rsidP="00E52B7B">
            <w:pPr>
              <w:spacing w:after="0" w:line="240" w:lineRule="auto"/>
              <w:jc w:val="center"/>
              <w:rPr>
                <w:rFonts w:ascii="Times New Roman" w:eastAsia="Times New Roman" w:hAnsi="Times New Roman" w:cs="Times New Roman"/>
                <w:sz w:val="16"/>
                <w:szCs w:val="16"/>
              </w:rPr>
            </w:pPr>
            <w:r w:rsidRPr="00CA0AE3">
              <w:rPr>
                <w:rFonts w:ascii="Times New Roman" w:eastAsia="Times New Roman" w:hAnsi="Times New Roman" w:cs="Times New Roman"/>
                <w:sz w:val="16"/>
                <w:szCs w:val="16"/>
              </w:rPr>
              <w:t>R</w:t>
            </w:r>
          </w:p>
        </w:tc>
        <w:tc>
          <w:tcPr>
            <w:tcW w:w="408" w:type="pct"/>
            <w:vAlign w:val="center"/>
          </w:tcPr>
          <w:p w:rsidR="00E52B7B" w:rsidRPr="00CA0AE3" w:rsidRDefault="00E52B7B" w:rsidP="00E52B7B">
            <w:pPr>
              <w:spacing w:after="0" w:line="240" w:lineRule="auto"/>
              <w:jc w:val="center"/>
              <w:rPr>
                <w:rFonts w:ascii="Times New Roman" w:eastAsia="Times New Roman" w:hAnsi="Times New Roman" w:cs="Times New Roman"/>
                <w:sz w:val="16"/>
                <w:szCs w:val="16"/>
              </w:rPr>
            </w:pPr>
            <w:r w:rsidRPr="00CA0AE3">
              <w:rPr>
                <w:rFonts w:ascii="Times New Roman" w:eastAsia="Times New Roman" w:hAnsi="Times New Roman" w:cs="Times New Roman"/>
                <w:sz w:val="16"/>
                <w:szCs w:val="16"/>
              </w:rPr>
              <w:t>R</w:t>
            </w:r>
          </w:p>
        </w:tc>
      </w:tr>
      <w:tr w:rsidR="00E52B7B" w:rsidRPr="00CA0AE3" w:rsidTr="00E52B7B">
        <w:trPr>
          <w:cantSplit/>
        </w:trPr>
        <w:tc>
          <w:tcPr>
            <w:tcW w:w="394" w:type="pct"/>
            <w:shd w:val="clear" w:color="auto" w:fill="auto"/>
            <w:noWrap/>
            <w:vAlign w:val="center"/>
          </w:tcPr>
          <w:p w:rsidR="00E52B7B" w:rsidRPr="00CA0AE3" w:rsidRDefault="00E52B7B" w:rsidP="00E52B7B">
            <w:pPr>
              <w:spacing w:after="0" w:line="240" w:lineRule="auto"/>
              <w:jc w:val="center"/>
              <w:rPr>
                <w:rFonts w:ascii="Times New Roman" w:hAnsi="Times New Roman" w:cs="Times New Roman"/>
                <w:sz w:val="16"/>
                <w:szCs w:val="16"/>
              </w:rPr>
            </w:pPr>
            <w:r w:rsidRPr="00CA0AE3">
              <w:rPr>
                <w:rFonts w:ascii="Times New Roman" w:hAnsi="Times New Roman" w:cs="Times New Roman"/>
                <w:sz w:val="16"/>
                <w:szCs w:val="16"/>
              </w:rPr>
              <w:t>2</w:t>
            </w:r>
          </w:p>
        </w:tc>
        <w:tc>
          <w:tcPr>
            <w:tcW w:w="1420" w:type="pct"/>
            <w:shd w:val="clear" w:color="auto" w:fill="auto"/>
            <w:vAlign w:val="center"/>
          </w:tcPr>
          <w:p w:rsidR="00E52B7B" w:rsidRPr="00CA0AE3" w:rsidRDefault="00E52B7B" w:rsidP="00E52B7B">
            <w:pPr>
              <w:spacing w:after="0" w:line="240" w:lineRule="auto"/>
              <w:jc w:val="center"/>
              <w:rPr>
                <w:rFonts w:ascii="Times New Roman" w:hAnsi="Times New Roman" w:cs="Times New Roman"/>
                <w:b/>
                <w:color w:val="FF0000"/>
                <w:sz w:val="16"/>
                <w:szCs w:val="16"/>
              </w:rPr>
            </w:pPr>
            <w:r w:rsidRPr="00CA0AE3">
              <w:rPr>
                <w:rFonts w:ascii="Times New Roman" w:hAnsi="Times New Roman" w:cs="Times New Roman"/>
                <w:sz w:val="16"/>
                <w:szCs w:val="16"/>
              </w:rPr>
              <w:t xml:space="preserve">Age-adjusted rate* per 100,000 for hospital discharges for primary care manageable conditions:  asthma - </w:t>
            </w:r>
            <w:r w:rsidRPr="00CA0AE3">
              <w:rPr>
                <w:rFonts w:ascii="Times New Roman" w:hAnsi="Times New Roman" w:cs="Times New Roman"/>
                <w:i/>
                <w:sz w:val="16"/>
                <w:szCs w:val="16"/>
              </w:rPr>
              <w:t>by age,</w:t>
            </w:r>
            <w:r w:rsidRPr="00CA0AE3">
              <w:rPr>
                <w:rFonts w:ascii="Times New Roman" w:hAnsi="Times New Roman" w:cs="Times New Roman"/>
                <w:sz w:val="16"/>
                <w:szCs w:val="16"/>
              </w:rPr>
              <w:t xml:space="preserve"> </w:t>
            </w:r>
            <w:r w:rsidRPr="00CA0AE3">
              <w:rPr>
                <w:rFonts w:ascii="Times New Roman" w:hAnsi="Times New Roman" w:cs="Times New Roman"/>
                <w:i/>
                <w:sz w:val="16"/>
                <w:szCs w:val="16"/>
              </w:rPr>
              <w:t>race and ethnicity as available</w:t>
            </w:r>
          </w:p>
        </w:tc>
        <w:tc>
          <w:tcPr>
            <w:tcW w:w="563" w:type="pct"/>
            <w:shd w:val="clear" w:color="auto" w:fill="auto"/>
            <w:vAlign w:val="center"/>
          </w:tcPr>
          <w:p w:rsidR="00E52B7B" w:rsidRPr="00CA0AE3" w:rsidRDefault="00E52B7B" w:rsidP="00E52B7B">
            <w:pPr>
              <w:spacing w:after="0" w:line="240" w:lineRule="auto"/>
              <w:jc w:val="center"/>
              <w:rPr>
                <w:rFonts w:ascii="Times New Roman" w:hAnsi="Times New Roman" w:cs="Times New Roman"/>
                <w:sz w:val="16"/>
                <w:szCs w:val="16"/>
              </w:rPr>
            </w:pPr>
            <w:r w:rsidRPr="00CA0AE3">
              <w:rPr>
                <w:rFonts w:ascii="Times New Roman" w:hAnsi="Times New Roman" w:cs="Times New Roman"/>
                <w:sz w:val="16"/>
                <w:szCs w:val="16"/>
              </w:rPr>
              <w:t>MA Department of Public Health</w:t>
            </w:r>
          </w:p>
          <w:p w:rsidR="00E52B7B" w:rsidRPr="00CA0AE3" w:rsidRDefault="00E52B7B" w:rsidP="00E52B7B">
            <w:pPr>
              <w:spacing w:after="0" w:line="240" w:lineRule="auto"/>
              <w:jc w:val="center"/>
              <w:rPr>
                <w:rFonts w:ascii="Times New Roman" w:hAnsi="Times New Roman" w:cs="Times New Roman"/>
                <w:sz w:val="16"/>
                <w:szCs w:val="16"/>
              </w:rPr>
            </w:pPr>
            <w:r w:rsidRPr="00CA0AE3">
              <w:rPr>
                <w:rFonts w:ascii="Times New Roman" w:hAnsi="Times New Roman" w:cs="Times New Roman"/>
                <w:sz w:val="16"/>
                <w:szCs w:val="16"/>
              </w:rPr>
              <w:t xml:space="preserve">(Annual) </w:t>
            </w:r>
          </w:p>
        </w:tc>
        <w:tc>
          <w:tcPr>
            <w:tcW w:w="583" w:type="pct"/>
            <w:vAlign w:val="center"/>
          </w:tcPr>
          <w:p w:rsidR="00E52B7B" w:rsidRPr="00CA0AE3" w:rsidRDefault="00E52B7B" w:rsidP="00E52B7B">
            <w:pPr>
              <w:spacing w:after="0" w:line="240" w:lineRule="auto"/>
              <w:jc w:val="center"/>
              <w:rPr>
                <w:rFonts w:ascii="Times New Roman" w:hAnsi="Times New Roman" w:cs="Times New Roman"/>
                <w:color w:val="000000"/>
                <w:sz w:val="16"/>
                <w:szCs w:val="16"/>
              </w:rPr>
            </w:pPr>
            <w:r w:rsidRPr="00CA0AE3">
              <w:rPr>
                <w:rFonts w:ascii="Times New Roman" w:hAnsi="Times New Roman" w:cs="Times New Roman"/>
                <w:color w:val="000000"/>
                <w:sz w:val="16"/>
                <w:szCs w:val="16"/>
              </w:rPr>
              <w:t>Cambridge, Somerville, Everett, Malden, Revere, Statewide</w:t>
            </w:r>
          </w:p>
        </w:tc>
        <w:tc>
          <w:tcPr>
            <w:tcW w:w="408" w:type="pct"/>
            <w:shd w:val="clear" w:color="auto" w:fill="auto"/>
            <w:vAlign w:val="center"/>
          </w:tcPr>
          <w:p w:rsidR="00E52B7B" w:rsidRPr="00CA0AE3" w:rsidRDefault="00E52B7B" w:rsidP="00E52B7B">
            <w:pPr>
              <w:spacing w:after="0" w:line="240" w:lineRule="auto"/>
              <w:jc w:val="center"/>
              <w:rPr>
                <w:rFonts w:ascii="Times New Roman" w:hAnsi="Times New Roman" w:cs="Times New Roman"/>
                <w:sz w:val="16"/>
                <w:szCs w:val="16"/>
              </w:rPr>
            </w:pPr>
            <w:r w:rsidRPr="00CA0AE3">
              <w:rPr>
                <w:rFonts w:ascii="Times New Roman" w:hAnsi="Times New Roman" w:cs="Times New Roman"/>
                <w:sz w:val="16"/>
                <w:szCs w:val="16"/>
              </w:rPr>
              <w:t>R</w:t>
            </w:r>
          </w:p>
        </w:tc>
        <w:tc>
          <w:tcPr>
            <w:tcW w:w="408" w:type="pct"/>
            <w:shd w:val="clear" w:color="auto" w:fill="auto"/>
            <w:vAlign w:val="center"/>
          </w:tcPr>
          <w:p w:rsidR="00E52B7B" w:rsidRPr="00CA0AE3" w:rsidRDefault="00E52B7B" w:rsidP="00E52B7B">
            <w:pPr>
              <w:spacing w:after="0" w:line="240" w:lineRule="auto"/>
              <w:jc w:val="center"/>
              <w:rPr>
                <w:rFonts w:ascii="Times New Roman" w:eastAsia="Times New Roman" w:hAnsi="Times New Roman" w:cs="Times New Roman"/>
                <w:sz w:val="16"/>
                <w:szCs w:val="16"/>
              </w:rPr>
            </w:pPr>
            <w:r w:rsidRPr="00CA0AE3">
              <w:rPr>
                <w:rFonts w:ascii="Times New Roman" w:eastAsia="Times New Roman" w:hAnsi="Times New Roman" w:cs="Times New Roman"/>
                <w:sz w:val="16"/>
                <w:szCs w:val="16"/>
              </w:rPr>
              <w:t>R</w:t>
            </w:r>
          </w:p>
        </w:tc>
        <w:tc>
          <w:tcPr>
            <w:tcW w:w="408" w:type="pct"/>
            <w:shd w:val="clear" w:color="auto" w:fill="auto"/>
            <w:vAlign w:val="center"/>
          </w:tcPr>
          <w:p w:rsidR="00E52B7B" w:rsidRPr="00CA0AE3" w:rsidRDefault="00E52B7B" w:rsidP="00E52B7B">
            <w:pPr>
              <w:spacing w:after="0" w:line="240" w:lineRule="auto"/>
              <w:jc w:val="center"/>
              <w:rPr>
                <w:rFonts w:ascii="Times New Roman" w:eastAsia="Times New Roman" w:hAnsi="Times New Roman" w:cs="Times New Roman"/>
                <w:sz w:val="16"/>
                <w:szCs w:val="16"/>
              </w:rPr>
            </w:pPr>
            <w:r w:rsidRPr="00CA0AE3">
              <w:rPr>
                <w:rFonts w:ascii="Times New Roman" w:eastAsia="Times New Roman" w:hAnsi="Times New Roman" w:cs="Times New Roman"/>
                <w:sz w:val="16"/>
                <w:szCs w:val="16"/>
              </w:rPr>
              <w:t>R</w:t>
            </w:r>
          </w:p>
        </w:tc>
        <w:tc>
          <w:tcPr>
            <w:tcW w:w="408" w:type="pct"/>
            <w:vAlign w:val="center"/>
          </w:tcPr>
          <w:p w:rsidR="00E52B7B" w:rsidRPr="00CA0AE3" w:rsidRDefault="00E52B7B" w:rsidP="00E52B7B">
            <w:pPr>
              <w:spacing w:after="0" w:line="240" w:lineRule="auto"/>
              <w:jc w:val="center"/>
              <w:rPr>
                <w:rFonts w:ascii="Times New Roman" w:eastAsia="Times New Roman" w:hAnsi="Times New Roman" w:cs="Times New Roman"/>
                <w:sz w:val="16"/>
                <w:szCs w:val="16"/>
              </w:rPr>
            </w:pPr>
            <w:r w:rsidRPr="00CA0AE3">
              <w:rPr>
                <w:rFonts w:ascii="Times New Roman" w:eastAsia="Times New Roman" w:hAnsi="Times New Roman" w:cs="Times New Roman"/>
                <w:sz w:val="16"/>
                <w:szCs w:val="16"/>
              </w:rPr>
              <w:t>R</w:t>
            </w:r>
          </w:p>
        </w:tc>
        <w:tc>
          <w:tcPr>
            <w:tcW w:w="408" w:type="pct"/>
            <w:vAlign w:val="center"/>
          </w:tcPr>
          <w:p w:rsidR="00E52B7B" w:rsidRPr="00CA0AE3" w:rsidRDefault="00E52B7B" w:rsidP="00E52B7B">
            <w:pPr>
              <w:spacing w:after="0" w:line="240" w:lineRule="auto"/>
              <w:jc w:val="center"/>
              <w:rPr>
                <w:rFonts w:ascii="Times New Roman" w:eastAsia="Times New Roman" w:hAnsi="Times New Roman" w:cs="Times New Roman"/>
                <w:sz w:val="16"/>
                <w:szCs w:val="16"/>
              </w:rPr>
            </w:pPr>
            <w:r w:rsidRPr="00CA0AE3">
              <w:rPr>
                <w:rFonts w:ascii="Times New Roman" w:eastAsia="Times New Roman" w:hAnsi="Times New Roman" w:cs="Times New Roman"/>
                <w:sz w:val="16"/>
                <w:szCs w:val="16"/>
              </w:rPr>
              <w:t>R</w:t>
            </w:r>
          </w:p>
        </w:tc>
      </w:tr>
      <w:tr w:rsidR="00E52B7B" w:rsidRPr="00CA0AE3" w:rsidTr="00E52B7B">
        <w:trPr>
          <w:cantSplit/>
        </w:trPr>
        <w:tc>
          <w:tcPr>
            <w:tcW w:w="394" w:type="pct"/>
            <w:shd w:val="clear" w:color="auto" w:fill="auto"/>
            <w:noWrap/>
            <w:vAlign w:val="center"/>
          </w:tcPr>
          <w:p w:rsidR="00E52B7B" w:rsidRPr="00CA0AE3" w:rsidRDefault="00E52B7B" w:rsidP="00E52B7B">
            <w:pPr>
              <w:spacing w:after="0" w:line="240" w:lineRule="auto"/>
              <w:jc w:val="center"/>
              <w:rPr>
                <w:rFonts w:ascii="Times New Roman" w:hAnsi="Times New Roman" w:cs="Times New Roman"/>
                <w:sz w:val="16"/>
                <w:szCs w:val="16"/>
              </w:rPr>
            </w:pPr>
            <w:r w:rsidRPr="00CA0AE3">
              <w:rPr>
                <w:rFonts w:ascii="Times New Roman" w:hAnsi="Times New Roman" w:cs="Times New Roman"/>
                <w:sz w:val="16"/>
                <w:szCs w:val="16"/>
              </w:rPr>
              <w:t>3</w:t>
            </w:r>
          </w:p>
        </w:tc>
        <w:tc>
          <w:tcPr>
            <w:tcW w:w="1420" w:type="pct"/>
            <w:shd w:val="clear" w:color="auto" w:fill="auto"/>
            <w:vAlign w:val="center"/>
          </w:tcPr>
          <w:p w:rsidR="00E52B7B" w:rsidRPr="00CA0AE3" w:rsidRDefault="00E52B7B" w:rsidP="00E52B7B">
            <w:pPr>
              <w:spacing w:after="0" w:line="240" w:lineRule="auto"/>
              <w:jc w:val="center"/>
              <w:rPr>
                <w:rFonts w:ascii="Times New Roman" w:hAnsi="Times New Roman" w:cs="Times New Roman"/>
                <w:color w:val="000000"/>
                <w:sz w:val="16"/>
                <w:szCs w:val="16"/>
              </w:rPr>
            </w:pPr>
            <w:r w:rsidRPr="00CA0AE3">
              <w:rPr>
                <w:rFonts w:ascii="Times New Roman" w:hAnsi="Times New Roman" w:cs="Times New Roman"/>
                <w:color w:val="000000"/>
                <w:sz w:val="16"/>
                <w:szCs w:val="16"/>
              </w:rPr>
              <w:t>Age-adjusted rate* per 100,000 for suicide mortality</w:t>
            </w:r>
          </w:p>
        </w:tc>
        <w:tc>
          <w:tcPr>
            <w:tcW w:w="563" w:type="pct"/>
            <w:shd w:val="clear" w:color="auto" w:fill="auto"/>
            <w:vAlign w:val="center"/>
          </w:tcPr>
          <w:p w:rsidR="00E52B7B" w:rsidRPr="00CA0AE3" w:rsidRDefault="00E52B7B" w:rsidP="00E52B7B">
            <w:pPr>
              <w:spacing w:after="0" w:line="240" w:lineRule="auto"/>
              <w:jc w:val="center"/>
              <w:rPr>
                <w:rFonts w:ascii="Times New Roman" w:hAnsi="Times New Roman" w:cs="Times New Roman"/>
                <w:sz w:val="16"/>
                <w:szCs w:val="16"/>
              </w:rPr>
            </w:pPr>
            <w:r w:rsidRPr="00CA0AE3">
              <w:rPr>
                <w:rFonts w:ascii="Times New Roman" w:hAnsi="Times New Roman" w:cs="Times New Roman"/>
                <w:sz w:val="16"/>
                <w:szCs w:val="16"/>
              </w:rPr>
              <w:t>MA Department of Public Health</w:t>
            </w:r>
          </w:p>
          <w:p w:rsidR="00E52B7B" w:rsidRPr="00CA0AE3" w:rsidRDefault="00E52B7B" w:rsidP="00E52B7B">
            <w:pPr>
              <w:spacing w:after="0" w:line="240" w:lineRule="auto"/>
              <w:jc w:val="center"/>
              <w:rPr>
                <w:rFonts w:ascii="Times New Roman" w:hAnsi="Times New Roman" w:cs="Times New Roman"/>
                <w:sz w:val="16"/>
                <w:szCs w:val="16"/>
              </w:rPr>
            </w:pPr>
            <w:r w:rsidRPr="00CA0AE3">
              <w:rPr>
                <w:rFonts w:ascii="Times New Roman" w:hAnsi="Times New Roman" w:cs="Times New Roman"/>
                <w:sz w:val="16"/>
                <w:szCs w:val="16"/>
              </w:rPr>
              <w:t xml:space="preserve">(Annual) </w:t>
            </w:r>
          </w:p>
        </w:tc>
        <w:tc>
          <w:tcPr>
            <w:tcW w:w="583" w:type="pct"/>
            <w:vAlign w:val="center"/>
          </w:tcPr>
          <w:p w:rsidR="00E52B7B" w:rsidRPr="00CA0AE3" w:rsidRDefault="00E52B7B" w:rsidP="00E52B7B">
            <w:pPr>
              <w:spacing w:after="0" w:line="240" w:lineRule="auto"/>
              <w:jc w:val="center"/>
              <w:rPr>
                <w:rFonts w:ascii="Times New Roman" w:hAnsi="Times New Roman" w:cs="Times New Roman"/>
                <w:color w:val="000000"/>
                <w:sz w:val="16"/>
                <w:szCs w:val="16"/>
              </w:rPr>
            </w:pPr>
            <w:r w:rsidRPr="00CA0AE3">
              <w:rPr>
                <w:rFonts w:ascii="Times New Roman" w:hAnsi="Times New Roman" w:cs="Times New Roman"/>
                <w:color w:val="000000"/>
                <w:sz w:val="16"/>
                <w:szCs w:val="16"/>
              </w:rPr>
              <w:t>Cambridge, Somerville, Everett, Malden, Revere, Statewide</w:t>
            </w:r>
          </w:p>
        </w:tc>
        <w:tc>
          <w:tcPr>
            <w:tcW w:w="408" w:type="pct"/>
            <w:shd w:val="clear" w:color="auto" w:fill="auto"/>
            <w:vAlign w:val="center"/>
          </w:tcPr>
          <w:p w:rsidR="00E52B7B" w:rsidRPr="00CA0AE3" w:rsidRDefault="00E52B7B" w:rsidP="00E52B7B">
            <w:pPr>
              <w:spacing w:after="0" w:line="240" w:lineRule="auto"/>
              <w:jc w:val="center"/>
              <w:rPr>
                <w:rFonts w:ascii="Times New Roman" w:hAnsi="Times New Roman" w:cs="Times New Roman"/>
                <w:sz w:val="16"/>
                <w:szCs w:val="16"/>
              </w:rPr>
            </w:pPr>
            <w:r w:rsidRPr="00CA0AE3">
              <w:rPr>
                <w:rFonts w:ascii="Times New Roman" w:hAnsi="Times New Roman" w:cs="Times New Roman"/>
                <w:sz w:val="16"/>
                <w:szCs w:val="16"/>
              </w:rPr>
              <w:t>R</w:t>
            </w:r>
          </w:p>
        </w:tc>
        <w:tc>
          <w:tcPr>
            <w:tcW w:w="408" w:type="pct"/>
            <w:shd w:val="clear" w:color="auto" w:fill="auto"/>
            <w:vAlign w:val="center"/>
          </w:tcPr>
          <w:p w:rsidR="00E52B7B" w:rsidRPr="00CA0AE3" w:rsidRDefault="00E52B7B" w:rsidP="00E52B7B">
            <w:pPr>
              <w:spacing w:after="0" w:line="240" w:lineRule="auto"/>
              <w:jc w:val="center"/>
              <w:rPr>
                <w:rFonts w:ascii="Times New Roman" w:eastAsia="Times New Roman" w:hAnsi="Times New Roman" w:cs="Times New Roman"/>
                <w:sz w:val="16"/>
                <w:szCs w:val="16"/>
              </w:rPr>
            </w:pPr>
            <w:r w:rsidRPr="00CA0AE3">
              <w:rPr>
                <w:rFonts w:ascii="Times New Roman" w:eastAsia="Times New Roman" w:hAnsi="Times New Roman" w:cs="Times New Roman"/>
                <w:sz w:val="16"/>
                <w:szCs w:val="16"/>
              </w:rPr>
              <w:t>R</w:t>
            </w:r>
          </w:p>
        </w:tc>
        <w:tc>
          <w:tcPr>
            <w:tcW w:w="408" w:type="pct"/>
            <w:shd w:val="clear" w:color="auto" w:fill="auto"/>
            <w:vAlign w:val="center"/>
          </w:tcPr>
          <w:p w:rsidR="00E52B7B" w:rsidRPr="00CA0AE3" w:rsidRDefault="00E52B7B" w:rsidP="00E52B7B">
            <w:pPr>
              <w:spacing w:after="0" w:line="240" w:lineRule="auto"/>
              <w:jc w:val="center"/>
              <w:rPr>
                <w:rFonts w:ascii="Times New Roman" w:eastAsia="Times New Roman" w:hAnsi="Times New Roman" w:cs="Times New Roman"/>
                <w:sz w:val="16"/>
                <w:szCs w:val="16"/>
              </w:rPr>
            </w:pPr>
            <w:r w:rsidRPr="00CA0AE3">
              <w:rPr>
                <w:rFonts w:ascii="Times New Roman" w:eastAsia="Times New Roman" w:hAnsi="Times New Roman" w:cs="Times New Roman"/>
                <w:sz w:val="16"/>
                <w:szCs w:val="16"/>
              </w:rPr>
              <w:t>R</w:t>
            </w:r>
          </w:p>
        </w:tc>
        <w:tc>
          <w:tcPr>
            <w:tcW w:w="408" w:type="pct"/>
            <w:vAlign w:val="center"/>
          </w:tcPr>
          <w:p w:rsidR="00E52B7B" w:rsidRPr="00CA0AE3" w:rsidRDefault="00E52B7B" w:rsidP="00E52B7B">
            <w:pPr>
              <w:spacing w:after="0" w:line="240" w:lineRule="auto"/>
              <w:jc w:val="center"/>
              <w:rPr>
                <w:rFonts w:ascii="Times New Roman" w:eastAsia="Times New Roman" w:hAnsi="Times New Roman" w:cs="Times New Roman"/>
                <w:sz w:val="16"/>
                <w:szCs w:val="16"/>
              </w:rPr>
            </w:pPr>
            <w:r w:rsidRPr="00CA0AE3">
              <w:rPr>
                <w:rFonts w:ascii="Times New Roman" w:eastAsia="Times New Roman" w:hAnsi="Times New Roman" w:cs="Times New Roman"/>
                <w:sz w:val="16"/>
                <w:szCs w:val="16"/>
              </w:rPr>
              <w:t>R</w:t>
            </w:r>
          </w:p>
        </w:tc>
        <w:tc>
          <w:tcPr>
            <w:tcW w:w="408" w:type="pct"/>
            <w:vAlign w:val="center"/>
          </w:tcPr>
          <w:p w:rsidR="00E52B7B" w:rsidRPr="00CA0AE3" w:rsidRDefault="00E52B7B" w:rsidP="00E52B7B">
            <w:pPr>
              <w:spacing w:after="0" w:line="240" w:lineRule="auto"/>
              <w:jc w:val="center"/>
              <w:rPr>
                <w:rFonts w:ascii="Times New Roman" w:eastAsia="Times New Roman" w:hAnsi="Times New Roman" w:cs="Times New Roman"/>
                <w:sz w:val="16"/>
                <w:szCs w:val="16"/>
              </w:rPr>
            </w:pPr>
            <w:r w:rsidRPr="00CA0AE3">
              <w:rPr>
                <w:rFonts w:ascii="Times New Roman" w:eastAsia="Times New Roman" w:hAnsi="Times New Roman" w:cs="Times New Roman"/>
                <w:sz w:val="16"/>
                <w:szCs w:val="16"/>
              </w:rPr>
              <w:t>R</w:t>
            </w:r>
          </w:p>
        </w:tc>
      </w:tr>
      <w:tr w:rsidR="00E52B7B" w:rsidRPr="00CA0AE3" w:rsidTr="00E52B7B">
        <w:trPr>
          <w:cantSplit/>
        </w:trPr>
        <w:tc>
          <w:tcPr>
            <w:tcW w:w="394" w:type="pct"/>
            <w:shd w:val="clear" w:color="auto" w:fill="auto"/>
            <w:noWrap/>
            <w:vAlign w:val="center"/>
          </w:tcPr>
          <w:p w:rsidR="00E52B7B" w:rsidRPr="00CA0AE3" w:rsidRDefault="00E52B7B" w:rsidP="00E52B7B">
            <w:pPr>
              <w:spacing w:after="0" w:line="240" w:lineRule="auto"/>
              <w:jc w:val="center"/>
              <w:rPr>
                <w:rFonts w:ascii="Times New Roman" w:hAnsi="Times New Roman" w:cs="Times New Roman"/>
                <w:sz w:val="16"/>
                <w:szCs w:val="16"/>
              </w:rPr>
            </w:pPr>
            <w:r w:rsidRPr="00CA0AE3">
              <w:rPr>
                <w:rFonts w:ascii="Times New Roman" w:hAnsi="Times New Roman" w:cs="Times New Roman"/>
                <w:sz w:val="16"/>
                <w:szCs w:val="16"/>
              </w:rPr>
              <w:t>4</w:t>
            </w:r>
          </w:p>
        </w:tc>
        <w:tc>
          <w:tcPr>
            <w:tcW w:w="1420" w:type="pct"/>
            <w:shd w:val="clear" w:color="auto" w:fill="auto"/>
            <w:vAlign w:val="center"/>
          </w:tcPr>
          <w:p w:rsidR="00E52B7B" w:rsidRPr="00CA0AE3" w:rsidRDefault="00E52B7B" w:rsidP="00E52B7B">
            <w:pPr>
              <w:spacing w:after="0" w:line="240" w:lineRule="auto"/>
              <w:jc w:val="center"/>
              <w:rPr>
                <w:rFonts w:ascii="Times New Roman" w:hAnsi="Times New Roman" w:cs="Times New Roman"/>
                <w:color w:val="000000"/>
                <w:sz w:val="16"/>
                <w:szCs w:val="16"/>
              </w:rPr>
            </w:pPr>
            <w:r w:rsidRPr="00CA0AE3">
              <w:rPr>
                <w:rFonts w:ascii="Times New Roman" w:hAnsi="Times New Roman" w:cs="Times New Roman"/>
                <w:color w:val="000000"/>
                <w:sz w:val="16"/>
                <w:szCs w:val="16"/>
              </w:rPr>
              <w:t>Age-adjusted rate* per 100,000 for Hepatitis C incidence</w:t>
            </w:r>
          </w:p>
        </w:tc>
        <w:tc>
          <w:tcPr>
            <w:tcW w:w="563" w:type="pct"/>
            <w:shd w:val="clear" w:color="auto" w:fill="auto"/>
            <w:vAlign w:val="center"/>
          </w:tcPr>
          <w:p w:rsidR="00E52B7B" w:rsidRPr="00CA0AE3" w:rsidRDefault="00E52B7B" w:rsidP="00E52B7B">
            <w:pPr>
              <w:spacing w:after="0" w:line="240" w:lineRule="auto"/>
              <w:jc w:val="center"/>
              <w:rPr>
                <w:rFonts w:ascii="Times New Roman" w:hAnsi="Times New Roman" w:cs="Times New Roman"/>
                <w:sz w:val="16"/>
                <w:szCs w:val="16"/>
              </w:rPr>
            </w:pPr>
            <w:r w:rsidRPr="00CA0AE3">
              <w:rPr>
                <w:rFonts w:ascii="Times New Roman" w:hAnsi="Times New Roman" w:cs="Times New Roman"/>
                <w:sz w:val="16"/>
                <w:szCs w:val="16"/>
              </w:rPr>
              <w:t>MA Department of Public Health</w:t>
            </w:r>
          </w:p>
          <w:p w:rsidR="00E52B7B" w:rsidRPr="00CA0AE3" w:rsidRDefault="00E52B7B" w:rsidP="00E52B7B">
            <w:pPr>
              <w:spacing w:after="0" w:line="240" w:lineRule="auto"/>
              <w:jc w:val="center"/>
              <w:rPr>
                <w:rFonts w:ascii="Times New Roman" w:hAnsi="Times New Roman" w:cs="Times New Roman"/>
                <w:sz w:val="16"/>
                <w:szCs w:val="16"/>
              </w:rPr>
            </w:pPr>
            <w:r w:rsidRPr="00CA0AE3">
              <w:rPr>
                <w:rFonts w:ascii="Times New Roman" w:hAnsi="Times New Roman" w:cs="Times New Roman"/>
                <w:sz w:val="16"/>
                <w:szCs w:val="16"/>
              </w:rPr>
              <w:t xml:space="preserve">(Annual) </w:t>
            </w:r>
          </w:p>
        </w:tc>
        <w:tc>
          <w:tcPr>
            <w:tcW w:w="583" w:type="pct"/>
            <w:vAlign w:val="center"/>
          </w:tcPr>
          <w:p w:rsidR="00E52B7B" w:rsidRPr="00CA0AE3" w:rsidRDefault="00E52B7B" w:rsidP="00E52B7B">
            <w:pPr>
              <w:spacing w:after="0" w:line="240" w:lineRule="auto"/>
              <w:jc w:val="center"/>
              <w:rPr>
                <w:rFonts w:ascii="Times New Roman" w:hAnsi="Times New Roman" w:cs="Times New Roman"/>
                <w:color w:val="000000"/>
                <w:sz w:val="16"/>
                <w:szCs w:val="16"/>
              </w:rPr>
            </w:pPr>
            <w:r w:rsidRPr="00CA0AE3">
              <w:rPr>
                <w:rFonts w:ascii="Times New Roman" w:hAnsi="Times New Roman" w:cs="Times New Roman"/>
                <w:color w:val="000000"/>
                <w:sz w:val="16"/>
                <w:szCs w:val="16"/>
              </w:rPr>
              <w:t>Cambridge, Somerville, Everett, Malden, Revere, Statewide</w:t>
            </w:r>
          </w:p>
        </w:tc>
        <w:tc>
          <w:tcPr>
            <w:tcW w:w="408" w:type="pct"/>
            <w:shd w:val="clear" w:color="auto" w:fill="auto"/>
            <w:vAlign w:val="center"/>
          </w:tcPr>
          <w:p w:rsidR="00E52B7B" w:rsidRPr="00CA0AE3" w:rsidRDefault="00E52B7B" w:rsidP="00E52B7B">
            <w:pPr>
              <w:spacing w:after="0" w:line="240" w:lineRule="auto"/>
              <w:jc w:val="center"/>
              <w:rPr>
                <w:rFonts w:ascii="Times New Roman" w:hAnsi="Times New Roman" w:cs="Times New Roman"/>
                <w:sz w:val="16"/>
                <w:szCs w:val="16"/>
              </w:rPr>
            </w:pPr>
            <w:r w:rsidRPr="00CA0AE3">
              <w:rPr>
                <w:rFonts w:ascii="Times New Roman" w:hAnsi="Times New Roman" w:cs="Times New Roman"/>
                <w:sz w:val="16"/>
                <w:szCs w:val="16"/>
              </w:rPr>
              <w:t>R</w:t>
            </w:r>
          </w:p>
        </w:tc>
        <w:tc>
          <w:tcPr>
            <w:tcW w:w="408" w:type="pct"/>
            <w:shd w:val="clear" w:color="auto" w:fill="auto"/>
            <w:vAlign w:val="center"/>
          </w:tcPr>
          <w:p w:rsidR="00E52B7B" w:rsidRPr="00CA0AE3" w:rsidRDefault="00E52B7B" w:rsidP="00E52B7B">
            <w:pPr>
              <w:spacing w:after="0" w:line="240" w:lineRule="auto"/>
              <w:jc w:val="center"/>
              <w:rPr>
                <w:rFonts w:ascii="Times New Roman" w:eastAsia="Times New Roman" w:hAnsi="Times New Roman" w:cs="Times New Roman"/>
                <w:sz w:val="16"/>
                <w:szCs w:val="16"/>
              </w:rPr>
            </w:pPr>
            <w:r w:rsidRPr="00CA0AE3">
              <w:rPr>
                <w:rFonts w:ascii="Times New Roman" w:eastAsia="Times New Roman" w:hAnsi="Times New Roman" w:cs="Times New Roman"/>
                <w:sz w:val="16"/>
                <w:szCs w:val="16"/>
              </w:rPr>
              <w:t>R</w:t>
            </w:r>
          </w:p>
        </w:tc>
        <w:tc>
          <w:tcPr>
            <w:tcW w:w="408" w:type="pct"/>
            <w:shd w:val="clear" w:color="auto" w:fill="auto"/>
            <w:vAlign w:val="center"/>
          </w:tcPr>
          <w:p w:rsidR="00E52B7B" w:rsidRPr="00CA0AE3" w:rsidRDefault="00E52B7B" w:rsidP="00E52B7B">
            <w:pPr>
              <w:spacing w:after="0" w:line="240" w:lineRule="auto"/>
              <w:jc w:val="center"/>
              <w:rPr>
                <w:rFonts w:ascii="Times New Roman" w:eastAsia="Times New Roman" w:hAnsi="Times New Roman" w:cs="Times New Roman"/>
                <w:sz w:val="16"/>
                <w:szCs w:val="16"/>
              </w:rPr>
            </w:pPr>
            <w:r w:rsidRPr="00CA0AE3">
              <w:rPr>
                <w:rFonts w:ascii="Times New Roman" w:eastAsia="Times New Roman" w:hAnsi="Times New Roman" w:cs="Times New Roman"/>
                <w:sz w:val="16"/>
                <w:szCs w:val="16"/>
              </w:rPr>
              <w:t>R</w:t>
            </w:r>
          </w:p>
        </w:tc>
        <w:tc>
          <w:tcPr>
            <w:tcW w:w="408" w:type="pct"/>
            <w:vAlign w:val="center"/>
          </w:tcPr>
          <w:p w:rsidR="00E52B7B" w:rsidRPr="00CA0AE3" w:rsidRDefault="00E52B7B" w:rsidP="00E52B7B">
            <w:pPr>
              <w:spacing w:after="0" w:line="240" w:lineRule="auto"/>
              <w:jc w:val="center"/>
              <w:rPr>
                <w:rFonts w:ascii="Times New Roman" w:eastAsia="Times New Roman" w:hAnsi="Times New Roman" w:cs="Times New Roman"/>
                <w:sz w:val="16"/>
                <w:szCs w:val="16"/>
              </w:rPr>
            </w:pPr>
            <w:r w:rsidRPr="00CA0AE3">
              <w:rPr>
                <w:rFonts w:ascii="Times New Roman" w:eastAsia="Times New Roman" w:hAnsi="Times New Roman" w:cs="Times New Roman"/>
                <w:sz w:val="16"/>
                <w:szCs w:val="16"/>
              </w:rPr>
              <w:t>R</w:t>
            </w:r>
          </w:p>
        </w:tc>
        <w:tc>
          <w:tcPr>
            <w:tcW w:w="408" w:type="pct"/>
            <w:vAlign w:val="center"/>
          </w:tcPr>
          <w:p w:rsidR="00E52B7B" w:rsidRPr="00CA0AE3" w:rsidRDefault="00E52B7B" w:rsidP="00E52B7B">
            <w:pPr>
              <w:spacing w:after="0" w:line="240" w:lineRule="auto"/>
              <w:jc w:val="center"/>
              <w:rPr>
                <w:rFonts w:ascii="Times New Roman" w:eastAsia="Times New Roman" w:hAnsi="Times New Roman" w:cs="Times New Roman"/>
                <w:sz w:val="16"/>
                <w:szCs w:val="16"/>
              </w:rPr>
            </w:pPr>
            <w:r w:rsidRPr="00CA0AE3">
              <w:rPr>
                <w:rFonts w:ascii="Times New Roman" w:eastAsia="Times New Roman" w:hAnsi="Times New Roman" w:cs="Times New Roman"/>
                <w:sz w:val="16"/>
                <w:szCs w:val="16"/>
              </w:rPr>
              <w:t>R</w:t>
            </w:r>
          </w:p>
        </w:tc>
      </w:tr>
      <w:tr w:rsidR="00E52B7B" w:rsidRPr="00CA0AE3" w:rsidTr="00E52B7B">
        <w:trPr>
          <w:cantSplit/>
        </w:trPr>
        <w:tc>
          <w:tcPr>
            <w:tcW w:w="394" w:type="pct"/>
            <w:shd w:val="clear" w:color="auto" w:fill="auto"/>
            <w:noWrap/>
            <w:vAlign w:val="center"/>
          </w:tcPr>
          <w:p w:rsidR="00E52B7B" w:rsidRPr="00CA0AE3" w:rsidRDefault="00E52B7B" w:rsidP="00E52B7B">
            <w:pPr>
              <w:spacing w:after="0" w:line="240" w:lineRule="auto"/>
              <w:jc w:val="center"/>
              <w:rPr>
                <w:rFonts w:ascii="Times New Roman" w:hAnsi="Times New Roman" w:cs="Times New Roman"/>
                <w:sz w:val="16"/>
                <w:szCs w:val="16"/>
              </w:rPr>
            </w:pPr>
            <w:r w:rsidRPr="00CA0AE3">
              <w:rPr>
                <w:rFonts w:ascii="Times New Roman" w:hAnsi="Times New Roman" w:cs="Times New Roman"/>
                <w:sz w:val="16"/>
                <w:szCs w:val="16"/>
              </w:rPr>
              <w:t>5</w:t>
            </w:r>
          </w:p>
        </w:tc>
        <w:tc>
          <w:tcPr>
            <w:tcW w:w="1420" w:type="pct"/>
            <w:shd w:val="clear" w:color="auto" w:fill="auto"/>
            <w:vAlign w:val="center"/>
          </w:tcPr>
          <w:p w:rsidR="00E52B7B" w:rsidRPr="00CA0AE3" w:rsidRDefault="00E52B7B" w:rsidP="00E52B7B">
            <w:pPr>
              <w:spacing w:after="0" w:line="240" w:lineRule="auto"/>
              <w:jc w:val="center"/>
              <w:rPr>
                <w:rFonts w:ascii="Times New Roman" w:hAnsi="Times New Roman" w:cs="Times New Roman"/>
                <w:color w:val="000000"/>
                <w:sz w:val="16"/>
                <w:szCs w:val="16"/>
              </w:rPr>
            </w:pPr>
            <w:r w:rsidRPr="00CA0AE3">
              <w:rPr>
                <w:rFonts w:ascii="Times New Roman" w:hAnsi="Times New Roman" w:cs="Times New Roman"/>
                <w:color w:val="000000"/>
                <w:sz w:val="16"/>
                <w:szCs w:val="16"/>
              </w:rPr>
              <w:t>Percentage of children fully immunized at kindergarten entry</w:t>
            </w:r>
          </w:p>
        </w:tc>
        <w:tc>
          <w:tcPr>
            <w:tcW w:w="563" w:type="pct"/>
            <w:shd w:val="clear" w:color="auto" w:fill="auto"/>
            <w:vAlign w:val="center"/>
          </w:tcPr>
          <w:p w:rsidR="00E52B7B" w:rsidRPr="00CA0AE3" w:rsidRDefault="00E52B7B" w:rsidP="00E52B7B">
            <w:pPr>
              <w:spacing w:after="0" w:line="240" w:lineRule="auto"/>
              <w:jc w:val="center"/>
              <w:rPr>
                <w:rFonts w:ascii="Times New Roman" w:hAnsi="Times New Roman" w:cs="Times New Roman"/>
                <w:sz w:val="16"/>
                <w:szCs w:val="16"/>
              </w:rPr>
            </w:pPr>
            <w:r w:rsidRPr="00CA0AE3">
              <w:rPr>
                <w:rFonts w:ascii="Times New Roman" w:hAnsi="Times New Roman" w:cs="Times New Roman"/>
                <w:sz w:val="16"/>
                <w:szCs w:val="16"/>
              </w:rPr>
              <w:t xml:space="preserve">Immunization Program, Massachusetts Department of Public Health and Massachusetts Department of Elementary and Secondary Education </w:t>
            </w:r>
          </w:p>
        </w:tc>
        <w:tc>
          <w:tcPr>
            <w:tcW w:w="583" w:type="pct"/>
            <w:vAlign w:val="center"/>
          </w:tcPr>
          <w:p w:rsidR="00E52B7B" w:rsidRPr="00CA0AE3" w:rsidRDefault="00E52B7B" w:rsidP="00E52B7B">
            <w:pPr>
              <w:spacing w:after="0" w:line="240" w:lineRule="auto"/>
              <w:jc w:val="center"/>
              <w:rPr>
                <w:rFonts w:ascii="Times New Roman" w:hAnsi="Times New Roman" w:cs="Times New Roman"/>
                <w:color w:val="000000"/>
                <w:sz w:val="16"/>
                <w:szCs w:val="16"/>
              </w:rPr>
            </w:pPr>
            <w:r w:rsidRPr="00CA0AE3">
              <w:rPr>
                <w:rFonts w:ascii="Times New Roman" w:hAnsi="Times New Roman" w:cs="Times New Roman"/>
                <w:color w:val="000000"/>
                <w:sz w:val="16"/>
                <w:szCs w:val="16"/>
              </w:rPr>
              <w:t>Cambridge, Somerville, Everett, Malden, Statewide</w:t>
            </w:r>
          </w:p>
        </w:tc>
        <w:tc>
          <w:tcPr>
            <w:tcW w:w="408" w:type="pct"/>
            <w:shd w:val="clear" w:color="auto" w:fill="auto"/>
            <w:vAlign w:val="center"/>
          </w:tcPr>
          <w:p w:rsidR="00E52B7B" w:rsidRPr="00CA0AE3" w:rsidRDefault="00E52B7B" w:rsidP="00E52B7B">
            <w:pPr>
              <w:spacing w:after="0" w:line="240" w:lineRule="auto"/>
              <w:jc w:val="center"/>
              <w:rPr>
                <w:rFonts w:ascii="Times New Roman" w:hAnsi="Times New Roman" w:cs="Times New Roman"/>
                <w:sz w:val="16"/>
                <w:szCs w:val="16"/>
              </w:rPr>
            </w:pPr>
            <w:r w:rsidRPr="00CA0AE3">
              <w:rPr>
                <w:rFonts w:ascii="Times New Roman" w:hAnsi="Times New Roman" w:cs="Times New Roman"/>
                <w:sz w:val="16"/>
                <w:szCs w:val="16"/>
              </w:rPr>
              <w:t>R</w:t>
            </w:r>
          </w:p>
        </w:tc>
        <w:tc>
          <w:tcPr>
            <w:tcW w:w="408" w:type="pct"/>
            <w:shd w:val="clear" w:color="auto" w:fill="auto"/>
            <w:vAlign w:val="center"/>
          </w:tcPr>
          <w:p w:rsidR="00E52B7B" w:rsidRPr="00CA0AE3" w:rsidRDefault="00E52B7B" w:rsidP="00E52B7B">
            <w:pPr>
              <w:spacing w:after="0" w:line="240" w:lineRule="auto"/>
              <w:jc w:val="center"/>
              <w:rPr>
                <w:rFonts w:ascii="Times New Roman" w:eastAsia="Times New Roman" w:hAnsi="Times New Roman" w:cs="Times New Roman"/>
                <w:sz w:val="16"/>
                <w:szCs w:val="16"/>
              </w:rPr>
            </w:pPr>
            <w:r w:rsidRPr="00CA0AE3">
              <w:rPr>
                <w:rFonts w:ascii="Times New Roman" w:eastAsia="Times New Roman" w:hAnsi="Times New Roman" w:cs="Times New Roman"/>
                <w:sz w:val="16"/>
                <w:szCs w:val="16"/>
              </w:rPr>
              <w:t>R</w:t>
            </w:r>
          </w:p>
        </w:tc>
        <w:tc>
          <w:tcPr>
            <w:tcW w:w="408" w:type="pct"/>
            <w:shd w:val="clear" w:color="auto" w:fill="auto"/>
            <w:vAlign w:val="center"/>
          </w:tcPr>
          <w:p w:rsidR="00E52B7B" w:rsidRPr="00CA0AE3" w:rsidRDefault="00E52B7B" w:rsidP="00E52B7B">
            <w:pPr>
              <w:spacing w:after="0" w:line="240" w:lineRule="auto"/>
              <w:jc w:val="center"/>
              <w:rPr>
                <w:rFonts w:ascii="Times New Roman" w:eastAsia="Times New Roman" w:hAnsi="Times New Roman" w:cs="Times New Roman"/>
                <w:sz w:val="16"/>
                <w:szCs w:val="16"/>
              </w:rPr>
            </w:pPr>
            <w:r w:rsidRPr="00CA0AE3">
              <w:rPr>
                <w:rFonts w:ascii="Times New Roman" w:eastAsia="Times New Roman" w:hAnsi="Times New Roman" w:cs="Times New Roman"/>
                <w:sz w:val="16"/>
                <w:szCs w:val="16"/>
              </w:rPr>
              <w:t>R</w:t>
            </w:r>
          </w:p>
        </w:tc>
        <w:tc>
          <w:tcPr>
            <w:tcW w:w="408" w:type="pct"/>
            <w:vAlign w:val="center"/>
          </w:tcPr>
          <w:p w:rsidR="00E52B7B" w:rsidRPr="00CA0AE3" w:rsidRDefault="00E52B7B" w:rsidP="00E52B7B">
            <w:pPr>
              <w:spacing w:after="0" w:line="240" w:lineRule="auto"/>
              <w:jc w:val="center"/>
              <w:rPr>
                <w:rFonts w:ascii="Times New Roman" w:eastAsia="Times New Roman" w:hAnsi="Times New Roman" w:cs="Times New Roman"/>
                <w:sz w:val="16"/>
                <w:szCs w:val="16"/>
              </w:rPr>
            </w:pPr>
            <w:r w:rsidRPr="00CA0AE3">
              <w:rPr>
                <w:rFonts w:ascii="Times New Roman" w:eastAsia="Times New Roman" w:hAnsi="Times New Roman" w:cs="Times New Roman"/>
                <w:sz w:val="16"/>
                <w:szCs w:val="16"/>
              </w:rPr>
              <w:t>R</w:t>
            </w:r>
          </w:p>
        </w:tc>
        <w:tc>
          <w:tcPr>
            <w:tcW w:w="408" w:type="pct"/>
            <w:vAlign w:val="center"/>
          </w:tcPr>
          <w:p w:rsidR="00E52B7B" w:rsidRPr="00CA0AE3" w:rsidRDefault="00E52B7B" w:rsidP="00E52B7B">
            <w:pPr>
              <w:spacing w:after="0" w:line="240" w:lineRule="auto"/>
              <w:jc w:val="center"/>
              <w:rPr>
                <w:rFonts w:ascii="Times New Roman" w:eastAsia="Times New Roman" w:hAnsi="Times New Roman" w:cs="Times New Roman"/>
                <w:sz w:val="16"/>
                <w:szCs w:val="16"/>
              </w:rPr>
            </w:pPr>
            <w:r w:rsidRPr="00CA0AE3">
              <w:rPr>
                <w:rFonts w:ascii="Times New Roman" w:eastAsia="Times New Roman" w:hAnsi="Times New Roman" w:cs="Times New Roman"/>
                <w:sz w:val="16"/>
                <w:szCs w:val="16"/>
              </w:rPr>
              <w:t>R</w:t>
            </w:r>
          </w:p>
        </w:tc>
      </w:tr>
      <w:tr w:rsidR="00E52B7B" w:rsidRPr="00CA0AE3" w:rsidTr="00E52B7B">
        <w:trPr>
          <w:cantSplit/>
        </w:trPr>
        <w:tc>
          <w:tcPr>
            <w:tcW w:w="394" w:type="pct"/>
            <w:shd w:val="clear" w:color="auto" w:fill="auto"/>
            <w:noWrap/>
            <w:vAlign w:val="center"/>
          </w:tcPr>
          <w:p w:rsidR="00E52B7B" w:rsidRPr="00CA0AE3" w:rsidRDefault="00E52B7B" w:rsidP="00E52B7B">
            <w:pPr>
              <w:spacing w:after="0" w:line="240" w:lineRule="auto"/>
              <w:jc w:val="center"/>
              <w:rPr>
                <w:rFonts w:ascii="Times New Roman" w:hAnsi="Times New Roman" w:cs="Times New Roman"/>
                <w:bCs/>
                <w:sz w:val="16"/>
                <w:szCs w:val="16"/>
              </w:rPr>
            </w:pPr>
            <w:r w:rsidRPr="00CA0AE3">
              <w:rPr>
                <w:rFonts w:ascii="Times New Roman" w:hAnsi="Times New Roman" w:cs="Times New Roman"/>
                <w:sz w:val="16"/>
                <w:szCs w:val="16"/>
              </w:rPr>
              <w:t>6</w:t>
            </w:r>
          </w:p>
        </w:tc>
        <w:tc>
          <w:tcPr>
            <w:tcW w:w="1420" w:type="pct"/>
            <w:shd w:val="clear" w:color="auto" w:fill="auto"/>
            <w:vAlign w:val="center"/>
          </w:tcPr>
          <w:p w:rsidR="00E52B7B" w:rsidRPr="00CA0AE3" w:rsidRDefault="00E52B7B" w:rsidP="00E52B7B">
            <w:pPr>
              <w:spacing w:after="0" w:line="240" w:lineRule="auto"/>
              <w:jc w:val="center"/>
              <w:rPr>
                <w:rFonts w:ascii="Times New Roman" w:hAnsi="Times New Roman" w:cs="Times New Roman"/>
                <w:sz w:val="16"/>
                <w:szCs w:val="16"/>
              </w:rPr>
            </w:pPr>
            <w:r w:rsidRPr="00CA0AE3">
              <w:rPr>
                <w:rFonts w:ascii="Times New Roman" w:hAnsi="Times New Roman" w:cs="Times New Roman"/>
                <w:sz w:val="16"/>
                <w:szCs w:val="16"/>
              </w:rPr>
              <w:t>Percent of adolescents reporting specific risk behaviors (as available), from the Youth Risk Behavior Survey (YRBS)- high school and middle school surveys</w:t>
            </w:r>
          </w:p>
        </w:tc>
        <w:tc>
          <w:tcPr>
            <w:tcW w:w="563" w:type="pct"/>
            <w:shd w:val="clear" w:color="auto" w:fill="auto"/>
            <w:vAlign w:val="center"/>
          </w:tcPr>
          <w:p w:rsidR="00E52B7B" w:rsidRPr="00CA0AE3" w:rsidRDefault="00E52B7B" w:rsidP="00E52B7B">
            <w:pPr>
              <w:spacing w:after="0" w:line="240" w:lineRule="auto"/>
              <w:jc w:val="center"/>
              <w:rPr>
                <w:rFonts w:ascii="Times New Roman" w:hAnsi="Times New Roman" w:cs="Times New Roman"/>
                <w:sz w:val="16"/>
                <w:szCs w:val="16"/>
              </w:rPr>
            </w:pPr>
            <w:r w:rsidRPr="00CA0AE3">
              <w:rPr>
                <w:rFonts w:ascii="Times New Roman" w:hAnsi="Times New Roman" w:cs="Times New Roman"/>
                <w:sz w:val="16"/>
                <w:szCs w:val="16"/>
              </w:rPr>
              <w:t>Youth Risk Behavior  Survey (YRBS)</w:t>
            </w:r>
          </w:p>
          <w:p w:rsidR="00E52B7B" w:rsidRPr="00CA0AE3" w:rsidRDefault="00E52B7B" w:rsidP="00E52B7B">
            <w:pPr>
              <w:spacing w:after="0" w:line="240" w:lineRule="auto"/>
              <w:jc w:val="center"/>
              <w:rPr>
                <w:rFonts w:ascii="Times New Roman" w:hAnsi="Times New Roman" w:cs="Times New Roman"/>
                <w:sz w:val="16"/>
                <w:szCs w:val="16"/>
              </w:rPr>
            </w:pPr>
            <w:r w:rsidRPr="00CA0AE3">
              <w:rPr>
                <w:rFonts w:ascii="Times New Roman" w:hAnsi="Times New Roman" w:cs="Times New Roman"/>
                <w:sz w:val="16"/>
                <w:szCs w:val="16"/>
              </w:rPr>
              <w:t xml:space="preserve">(Bi-Annual) </w:t>
            </w:r>
          </w:p>
        </w:tc>
        <w:tc>
          <w:tcPr>
            <w:tcW w:w="583" w:type="pct"/>
            <w:vAlign w:val="center"/>
          </w:tcPr>
          <w:p w:rsidR="00E52B7B" w:rsidRPr="00CA0AE3" w:rsidRDefault="00E52B7B" w:rsidP="00E52B7B">
            <w:pPr>
              <w:spacing w:after="0" w:line="240" w:lineRule="auto"/>
              <w:jc w:val="center"/>
              <w:rPr>
                <w:rFonts w:ascii="Times New Roman" w:hAnsi="Times New Roman" w:cs="Times New Roman"/>
                <w:sz w:val="16"/>
                <w:szCs w:val="16"/>
              </w:rPr>
            </w:pPr>
            <w:r w:rsidRPr="00CA0AE3">
              <w:rPr>
                <w:rFonts w:ascii="Times New Roman" w:hAnsi="Times New Roman" w:cs="Times New Roman"/>
                <w:sz w:val="16"/>
                <w:szCs w:val="16"/>
              </w:rPr>
              <w:t xml:space="preserve">Cambridge, Somerville, Everett, Malden, (as available by community) </w:t>
            </w:r>
          </w:p>
          <w:p w:rsidR="00E52B7B" w:rsidRPr="00CA0AE3" w:rsidRDefault="00E52B7B" w:rsidP="00E52B7B">
            <w:pPr>
              <w:spacing w:after="0" w:line="240" w:lineRule="auto"/>
              <w:jc w:val="center"/>
              <w:rPr>
                <w:rFonts w:ascii="Times New Roman" w:hAnsi="Times New Roman" w:cs="Times New Roman"/>
                <w:sz w:val="16"/>
                <w:szCs w:val="16"/>
              </w:rPr>
            </w:pPr>
            <w:r w:rsidRPr="00CA0AE3">
              <w:rPr>
                <w:rFonts w:ascii="Times New Roman" w:hAnsi="Times New Roman" w:cs="Times New Roman"/>
                <w:sz w:val="16"/>
                <w:szCs w:val="16"/>
              </w:rPr>
              <w:t>Statewide</w:t>
            </w:r>
          </w:p>
        </w:tc>
        <w:tc>
          <w:tcPr>
            <w:tcW w:w="408" w:type="pct"/>
            <w:shd w:val="clear" w:color="auto" w:fill="auto"/>
            <w:vAlign w:val="center"/>
          </w:tcPr>
          <w:p w:rsidR="00E52B7B" w:rsidRPr="00CA0AE3" w:rsidRDefault="00E52B7B" w:rsidP="00E52B7B">
            <w:pPr>
              <w:spacing w:after="0" w:line="240" w:lineRule="auto"/>
              <w:jc w:val="center"/>
              <w:rPr>
                <w:rFonts w:ascii="Times New Roman" w:hAnsi="Times New Roman" w:cs="Times New Roman"/>
                <w:sz w:val="16"/>
                <w:szCs w:val="16"/>
              </w:rPr>
            </w:pPr>
            <w:r w:rsidRPr="00CA0AE3">
              <w:rPr>
                <w:rFonts w:ascii="Times New Roman" w:hAnsi="Times New Roman" w:cs="Times New Roman"/>
                <w:sz w:val="16"/>
                <w:szCs w:val="16"/>
              </w:rPr>
              <w:t>R</w:t>
            </w:r>
          </w:p>
        </w:tc>
        <w:tc>
          <w:tcPr>
            <w:tcW w:w="408" w:type="pct"/>
            <w:shd w:val="clear" w:color="auto" w:fill="auto"/>
            <w:vAlign w:val="center"/>
          </w:tcPr>
          <w:p w:rsidR="00E52B7B" w:rsidRPr="00CA0AE3" w:rsidRDefault="00E52B7B" w:rsidP="00E52B7B">
            <w:pPr>
              <w:spacing w:after="0" w:line="240" w:lineRule="auto"/>
              <w:jc w:val="center"/>
              <w:rPr>
                <w:rFonts w:ascii="Times New Roman" w:eastAsia="Times New Roman" w:hAnsi="Times New Roman" w:cs="Times New Roman"/>
                <w:sz w:val="16"/>
                <w:szCs w:val="16"/>
              </w:rPr>
            </w:pPr>
            <w:r w:rsidRPr="00CA0AE3">
              <w:rPr>
                <w:rFonts w:ascii="Times New Roman" w:eastAsia="Times New Roman" w:hAnsi="Times New Roman" w:cs="Times New Roman"/>
                <w:sz w:val="16"/>
                <w:szCs w:val="16"/>
              </w:rPr>
              <w:t>R</w:t>
            </w:r>
          </w:p>
        </w:tc>
        <w:tc>
          <w:tcPr>
            <w:tcW w:w="408" w:type="pct"/>
            <w:shd w:val="clear" w:color="auto" w:fill="auto"/>
            <w:vAlign w:val="center"/>
          </w:tcPr>
          <w:p w:rsidR="00E52B7B" w:rsidRPr="00CA0AE3" w:rsidRDefault="00E52B7B" w:rsidP="00E52B7B">
            <w:pPr>
              <w:spacing w:after="0" w:line="240" w:lineRule="auto"/>
              <w:jc w:val="center"/>
              <w:rPr>
                <w:rFonts w:ascii="Times New Roman" w:eastAsia="Times New Roman" w:hAnsi="Times New Roman" w:cs="Times New Roman"/>
                <w:sz w:val="16"/>
                <w:szCs w:val="16"/>
              </w:rPr>
            </w:pPr>
            <w:r w:rsidRPr="00CA0AE3">
              <w:rPr>
                <w:rFonts w:ascii="Times New Roman" w:eastAsia="Times New Roman" w:hAnsi="Times New Roman" w:cs="Times New Roman"/>
                <w:sz w:val="16"/>
                <w:szCs w:val="16"/>
              </w:rPr>
              <w:t>R</w:t>
            </w:r>
          </w:p>
        </w:tc>
        <w:tc>
          <w:tcPr>
            <w:tcW w:w="408" w:type="pct"/>
            <w:vAlign w:val="center"/>
          </w:tcPr>
          <w:p w:rsidR="00E52B7B" w:rsidRPr="00CA0AE3" w:rsidRDefault="00E52B7B" w:rsidP="00E52B7B">
            <w:pPr>
              <w:spacing w:after="0" w:line="240" w:lineRule="auto"/>
              <w:jc w:val="center"/>
              <w:rPr>
                <w:rFonts w:ascii="Times New Roman" w:eastAsia="Times New Roman" w:hAnsi="Times New Roman" w:cs="Times New Roman"/>
                <w:sz w:val="16"/>
                <w:szCs w:val="16"/>
              </w:rPr>
            </w:pPr>
            <w:r w:rsidRPr="00CA0AE3">
              <w:rPr>
                <w:rFonts w:ascii="Times New Roman" w:eastAsia="Times New Roman" w:hAnsi="Times New Roman" w:cs="Times New Roman"/>
                <w:sz w:val="16"/>
                <w:szCs w:val="16"/>
              </w:rPr>
              <w:t>R</w:t>
            </w:r>
          </w:p>
        </w:tc>
        <w:tc>
          <w:tcPr>
            <w:tcW w:w="408" w:type="pct"/>
            <w:vAlign w:val="center"/>
          </w:tcPr>
          <w:p w:rsidR="00E52B7B" w:rsidRPr="00CA0AE3" w:rsidRDefault="00E52B7B" w:rsidP="00E52B7B">
            <w:pPr>
              <w:spacing w:after="0" w:line="240" w:lineRule="auto"/>
              <w:jc w:val="center"/>
              <w:rPr>
                <w:rFonts w:ascii="Times New Roman" w:eastAsia="Times New Roman" w:hAnsi="Times New Roman" w:cs="Times New Roman"/>
                <w:sz w:val="16"/>
                <w:szCs w:val="16"/>
              </w:rPr>
            </w:pPr>
            <w:r w:rsidRPr="00CA0AE3">
              <w:rPr>
                <w:rFonts w:ascii="Times New Roman" w:eastAsia="Times New Roman" w:hAnsi="Times New Roman" w:cs="Times New Roman"/>
                <w:sz w:val="16"/>
                <w:szCs w:val="16"/>
              </w:rPr>
              <w:t>R</w:t>
            </w:r>
          </w:p>
        </w:tc>
      </w:tr>
      <w:tr w:rsidR="00E52B7B" w:rsidRPr="00CA0AE3" w:rsidTr="00E52B7B">
        <w:trPr>
          <w:cantSplit/>
        </w:trPr>
        <w:tc>
          <w:tcPr>
            <w:tcW w:w="394" w:type="pct"/>
            <w:shd w:val="clear" w:color="auto" w:fill="auto"/>
            <w:noWrap/>
            <w:vAlign w:val="center"/>
          </w:tcPr>
          <w:p w:rsidR="00E52B7B" w:rsidRPr="00CA0AE3" w:rsidRDefault="00E52B7B" w:rsidP="00E52B7B">
            <w:pPr>
              <w:spacing w:after="0" w:line="240" w:lineRule="auto"/>
              <w:jc w:val="center"/>
              <w:rPr>
                <w:rFonts w:ascii="Times New Roman" w:hAnsi="Times New Roman" w:cs="Times New Roman"/>
                <w:bCs/>
                <w:sz w:val="16"/>
                <w:szCs w:val="16"/>
              </w:rPr>
            </w:pPr>
            <w:r w:rsidRPr="00CA0AE3">
              <w:rPr>
                <w:rFonts w:ascii="Times New Roman" w:hAnsi="Times New Roman" w:cs="Times New Roman"/>
                <w:sz w:val="16"/>
                <w:szCs w:val="16"/>
              </w:rPr>
              <w:t>7</w:t>
            </w:r>
          </w:p>
        </w:tc>
        <w:tc>
          <w:tcPr>
            <w:tcW w:w="1420" w:type="pct"/>
            <w:shd w:val="clear" w:color="auto" w:fill="auto"/>
            <w:vAlign w:val="center"/>
          </w:tcPr>
          <w:p w:rsidR="00E52B7B" w:rsidRPr="00CA0AE3" w:rsidRDefault="00E52B7B" w:rsidP="00E52B7B">
            <w:pPr>
              <w:spacing w:after="0" w:line="240" w:lineRule="auto"/>
              <w:jc w:val="center"/>
              <w:rPr>
                <w:rFonts w:ascii="Times New Roman" w:hAnsi="Times New Roman" w:cs="Times New Roman"/>
                <w:color w:val="000000"/>
                <w:sz w:val="16"/>
                <w:szCs w:val="16"/>
              </w:rPr>
            </w:pPr>
            <w:r w:rsidRPr="00CA0AE3">
              <w:rPr>
                <w:rFonts w:ascii="Times New Roman" w:hAnsi="Times New Roman" w:cs="Times New Roman"/>
                <w:color w:val="000000"/>
                <w:sz w:val="16"/>
                <w:szCs w:val="16"/>
              </w:rPr>
              <w:t>Age-adjusted rate* per 100,000 for Opioid poisoning mortality</w:t>
            </w:r>
          </w:p>
        </w:tc>
        <w:tc>
          <w:tcPr>
            <w:tcW w:w="563" w:type="pct"/>
            <w:shd w:val="clear" w:color="auto" w:fill="auto"/>
            <w:vAlign w:val="center"/>
          </w:tcPr>
          <w:p w:rsidR="00E52B7B" w:rsidRPr="00CA0AE3" w:rsidRDefault="00E52B7B" w:rsidP="00E52B7B">
            <w:pPr>
              <w:spacing w:after="0" w:line="240" w:lineRule="auto"/>
              <w:jc w:val="center"/>
              <w:rPr>
                <w:rFonts w:ascii="Times New Roman" w:hAnsi="Times New Roman" w:cs="Times New Roman"/>
                <w:sz w:val="16"/>
                <w:szCs w:val="16"/>
              </w:rPr>
            </w:pPr>
            <w:r w:rsidRPr="00CA0AE3">
              <w:rPr>
                <w:rFonts w:ascii="Times New Roman" w:hAnsi="Times New Roman" w:cs="Times New Roman"/>
                <w:sz w:val="16"/>
                <w:szCs w:val="16"/>
              </w:rPr>
              <w:t>MA Department of Public Health</w:t>
            </w:r>
          </w:p>
          <w:p w:rsidR="00E52B7B" w:rsidRPr="00CA0AE3" w:rsidRDefault="00E52B7B" w:rsidP="00E52B7B">
            <w:pPr>
              <w:spacing w:after="0" w:line="240" w:lineRule="auto"/>
              <w:jc w:val="center"/>
              <w:rPr>
                <w:rFonts w:ascii="Times New Roman" w:hAnsi="Times New Roman" w:cs="Times New Roman"/>
                <w:sz w:val="16"/>
                <w:szCs w:val="16"/>
              </w:rPr>
            </w:pPr>
            <w:r w:rsidRPr="00CA0AE3">
              <w:rPr>
                <w:rFonts w:ascii="Times New Roman" w:hAnsi="Times New Roman" w:cs="Times New Roman"/>
                <w:sz w:val="16"/>
                <w:szCs w:val="16"/>
              </w:rPr>
              <w:t xml:space="preserve">(Annual)  </w:t>
            </w:r>
          </w:p>
        </w:tc>
        <w:tc>
          <w:tcPr>
            <w:tcW w:w="583" w:type="pct"/>
            <w:vAlign w:val="center"/>
          </w:tcPr>
          <w:p w:rsidR="00E52B7B" w:rsidRPr="00CA0AE3" w:rsidRDefault="00E52B7B" w:rsidP="00E52B7B">
            <w:pPr>
              <w:spacing w:after="0" w:line="240" w:lineRule="auto"/>
              <w:jc w:val="center"/>
              <w:rPr>
                <w:rFonts w:ascii="Times New Roman" w:hAnsi="Times New Roman" w:cs="Times New Roman"/>
                <w:color w:val="000000"/>
                <w:sz w:val="16"/>
                <w:szCs w:val="16"/>
              </w:rPr>
            </w:pPr>
            <w:r w:rsidRPr="00CA0AE3">
              <w:rPr>
                <w:rFonts w:ascii="Times New Roman" w:hAnsi="Times New Roman" w:cs="Times New Roman"/>
                <w:color w:val="000000"/>
                <w:sz w:val="16"/>
                <w:szCs w:val="16"/>
              </w:rPr>
              <w:t>Cambridge, Somerville, Everett, Malden, Revere, Statewide</w:t>
            </w:r>
          </w:p>
        </w:tc>
        <w:tc>
          <w:tcPr>
            <w:tcW w:w="408" w:type="pct"/>
            <w:shd w:val="clear" w:color="auto" w:fill="auto"/>
            <w:vAlign w:val="center"/>
          </w:tcPr>
          <w:p w:rsidR="00E52B7B" w:rsidRPr="00CA0AE3" w:rsidRDefault="00E52B7B" w:rsidP="00E52B7B">
            <w:pPr>
              <w:spacing w:after="0" w:line="240" w:lineRule="auto"/>
              <w:jc w:val="center"/>
              <w:rPr>
                <w:rFonts w:ascii="Times New Roman" w:hAnsi="Times New Roman" w:cs="Times New Roman"/>
                <w:sz w:val="16"/>
                <w:szCs w:val="16"/>
              </w:rPr>
            </w:pPr>
            <w:r w:rsidRPr="00CA0AE3">
              <w:rPr>
                <w:rFonts w:ascii="Times New Roman" w:eastAsia="Times New Roman" w:hAnsi="Times New Roman" w:cs="Times New Roman"/>
                <w:sz w:val="16"/>
                <w:szCs w:val="16"/>
              </w:rPr>
              <w:t>R</w:t>
            </w:r>
          </w:p>
        </w:tc>
        <w:tc>
          <w:tcPr>
            <w:tcW w:w="408" w:type="pct"/>
            <w:shd w:val="clear" w:color="auto" w:fill="auto"/>
            <w:vAlign w:val="center"/>
          </w:tcPr>
          <w:p w:rsidR="00E52B7B" w:rsidRPr="00CA0AE3" w:rsidRDefault="00E52B7B" w:rsidP="00E52B7B">
            <w:pPr>
              <w:spacing w:after="0" w:line="240" w:lineRule="auto"/>
              <w:jc w:val="center"/>
              <w:rPr>
                <w:rFonts w:ascii="Times New Roman" w:eastAsia="Times New Roman" w:hAnsi="Times New Roman" w:cs="Times New Roman"/>
                <w:sz w:val="16"/>
                <w:szCs w:val="16"/>
              </w:rPr>
            </w:pPr>
            <w:r w:rsidRPr="00CA0AE3">
              <w:rPr>
                <w:rFonts w:ascii="Times New Roman" w:eastAsia="Times New Roman" w:hAnsi="Times New Roman" w:cs="Times New Roman"/>
                <w:sz w:val="16"/>
                <w:szCs w:val="16"/>
              </w:rPr>
              <w:t>R</w:t>
            </w:r>
          </w:p>
        </w:tc>
        <w:tc>
          <w:tcPr>
            <w:tcW w:w="408" w:type="pct"/>
            <w:shd w:val="clear" w:color="auto" w:fill="auto"/>
            <w:vAlign w:val="center"/>
          </w:tcPr>
          <w:p w:rsidR="00E52B7B" w:rsidRPr="00CA0AE3" w:rsidRDefault="00E52B7B" w:rsidP="00E52B7B">
            <w:pPr>
              <w:spacing w:after="0" w:line="240" w:lineRule="auto"/>
              <w:jc w:val="center"/>
              <w:rPr>
                <w:rFonts w:ascii="Times New Roman" w:eastAsia="Times New Roman" w:hAnsi="Times New Roman" w:cs="Times New Roman"/>
                <w:sz w:val="16"/>
                <w:szCs w:val="16"/>
              </w:rPr>
            </w:pPr>
            <w:r w:rsidRPr="00CA0AE3">
              <w:rPr>
                <w:rFonts w:ascii="Times New Roman" w:eastAsia="Times New Roman" w:hAnsi="Times New Roman" w:cs="Times New Roman"/>
                <w:sz w:val="16"/>
                <w:szCs w:val="16"/>
              </w:rPr>
              <w:t>R</w:t>
            </w:r>
          </w:p>
        </w:tc>
        <w:tc>
          <w:tcPr>
            <w:tcW w:w="408" w:type="pct"/>
            <w:vAlign w:val="center"/>
          </w:tcPr>
          <w:p w:rsidR="00E52B7B" w:rsidRPr="00CA0AE3" w:rsidRDefault="00E52B7B" w:rsidP="00E52B7B">
            <w:pPr>
              <w:spacing w:after="0" w:line="240" w:lineRule="auto"/>
              <w:jc w:val="center"/>
              <w:rPr>
                <w:rFonts w:ascii="Times New Roman" w:eastAsia="Times New Roman" w:hAnsi="Times New Roman" w:cs="Times New Roman"/>
                <w:sz w:val="16"/>
                <w:szCs w:val="16"/>
              </w:rPr>
            </w:pPr>
            <w:r w:rsidRPr="00CA0AE3">
              <w:rPr>
                <w:rFonts w:ascii="Times New Roman" w:eastAsia="Times New Roman" w:hAnsi="Times New Roman" w:cs="Times New Roman"/>
                <w:sz w:val="16"/>
                <w:szCs w:val="16"/>
              </w:rPr>
              <w:t>R</w:t>
            </w:r>
          </w:p>
        </w:tc>
        <w:tc>
          <w:tcPr>
            <w:tcW w:w="408" w:type="pct"/>
            <w:vAlign w:val="center"/>
          </w:tcPr>
          <w:p w:rsidR="00E52B7B" w:rsidRPr="00CA0AE3" w:rsidRDefault="00E52B7B" w:rsidP="00E52B7B">
            <w:pPr>
              <w:spacing w:after="0" w:line="240" w:lineRule="auto"/>
              <w:jc w:val="center"/>
              <w:rPr>
                <w:rFonts w:ascii="Times New Roman" w:eastAsia="Times New Roman" w:hAnsi="Times New Roman" w:cs="Times New Roman"/>
                <w:sz w:val="16"/>
                <w:szCs w:val="16"/>
              </w:rPr>
            </w:pPr>
            <w:r w:rsidRPr="00CA0AE3">
              <w:rPr>
                <w:rFonts w:ascii="Times New Roman" w:eastAsia="Times New Roman" w:hAnsi="Times New Roman" w:cs="Times New Roman"/>
                <w:sz w:val="16"/>
                <w:szCs w:val="16"/>
              </w:rPr>
              <w:t>R</w:t>
            </w:r>
          </w:p>
        </w:tc>
      </w:tr>
      <w:tr w:rsidR="00E52B7B" w:rsidRPr="00CA0AE3" w:rsidTr="00E52B7B">
        <w:trPr>
          <w:cantSplit/>
        </w:trPr>
        <w:tc>
          <w:tcPr>
            <w:tcW w:w="394" w:type="pct"/>
            <w:noWrap/>
            <w:vAlign w:val="center"/>
          </w:tcPr>
          <w:p w:rsidR="00E52B7B" w:rsidRPr="00CA0AE3" w:rsidRDefault="00E52B7B" w:rsidP="00E52B7B">
            <w:pPr>
              <w:spacing w:after="0" w:line="240" w:lineRule="auto"/>
              <w:jc w:val="center"/>
              <w:rPr>
                <w:rFonts w:ascii="Times New Roman" w:hAnsi="Times New Roman" w:cs="Times New Roman"/>
                <w:bCs/>
                <w:sz w:val="16"/>
                <w:szCs w:val="16"/>
              </w:rPr>
            </w:pPr>
            <w:r w:rsidRPr="00CA0AE3">
              <w:rPr>
                <w:rFonts w:ascii="Times New Roman" w:hAnsi="Times New Roman" w:cs="Times New Roman"/>
                <w:sz w:val="16"/>
                <w:szCs w:val="16"/>
              </w:rPr>
              <w:t>8</w:t>
            </w:r>
          </w:p>
        </w:tc>
        <w:tc>
          <w:tcPr>
            <w:tcW w:w="1420" w:type="pct"/>
            <w:vAlign w:val="center"/>
          </w:tcPr>
          <w:p w:rsidR="00E52B7B" w:rsidRPr="00CA0AE3" w:rsidRDefault="00E52B7B" w:rsidP="00E52B7B">
            <w:pPr>
              <w:spacing w:after="0" w:line="240" w:lineRule="auto"/>
              <w:jc w:val="center"/>
              <w:rPr>
                <w:rFonts w:ascii="Times New Roman" w:hAnsi="Times New Roman" w:cs="Times New Roman"/>
                <w:color w:val="000000"/>
                <w:sz w:val="16"/>
                <w:szCs w:val="16"/>
              </w:rPr>
            </w:pPr>
            <w:r w:rsidRPr="00CA0AE3">
              <w:rPr>
                <w:rFonts w:ascii="Times New Roman" w:hAnsi="Times New Roman" w:cs="Times New Roman"/>
                <w:color w:val="000000"/>
                <w:sz w:val="16"/>
                <w:szCs w:val="16"/>
              </w:rPr>
              <w:t xml:space="preserve">Ranking top cause of 1) </w:t>
            </w:r>
            <w:r w:rsidRPr="00CA0AE3">
              <w:rPr>
                <w:rFonts w:ascii="Times New Roman" w:hAnsi="Times New Roman" w:cs="Times New Roman"/>
                <w:sz w:val="16"/>
                <w:szCs w:val="16"/>
              </w:rPr>
              <w:t>hospitalizations and 2) Emergency Department visits</w:t>
            </w:r>
            <w:r w:rsidRPr="00CA0AE3">
              <w:rPr>
                <w:rFonts w:ascii="Times New Roman" w:hAnsi="Times New Roman" w:cs="Times New Roman"/>
                <w:color w:val="000000"/>
                <w:sz w:val="16"/>
                <w:szCs w:val="16"/>
              </w:rPr>
              <w:t>, by city:</w:t>
            </w:r>
          </w:p>
          <w:p w:rsidR="00E52B7B" w:rsidRPr="00CA0AE3" w:rsidRDefault="00E52B7B" w:rsidP="00E52B7B">
            <w:pPr>
              <w:spacing w:after="0" w:line="240" w:lineRule="auto"/>
              <w:jc w:val="center"/>
              <w:rPr>
                <w:rFonts w:ascii="Times New Roman" w:hAnsi="Times New Roman" w:cs="Times New Roman"/>
                <w:color w:val="000000"/>
                <w:sz w:val="16"/>
                <w:szCs w:val="16"/>
              </w:rPr>
            </w:pPr>
            <w:r w:rsidRPr="00CA0AE3">
              <w:rPr>
                <w:rFonts w:ascii="Times New Roman" w:hAnsi="Times New Roman" w:cs="Times New Roman"/>
                <w:color w:val="000000"/>
                <w:sz w:val="16"/>
                <w:szCs w:val="16"/>
              </w:rPr>
              <w:t xml:space="preserve">Age-adjusted rate* per 100,000 for hospitalizations (by individual cause) Age-adjusted rate* per 100,000 for </w:t>
            </w:r>
            <w:r w:rsidRPr="00CA0AE3">
              <w:rPr>
                <w:rFonts w:ascii="Times New Roman" w:hAnsi="Times New Roman" w:cs="Times New Roman"/>
                <w:sz w:val="16"/>
                <w:szCs w:val="16"/>
              </w:rPr>
              <w:t>Emergency Department</w:t>
            </w:r>
            <w:r w:rsidRPr="00CA0AE3">
              <w:rPr>
                <w:rFonts w:ascii="Times New Roman" w:hAnsi="Times New Roman" w:cs="Times New Roman"/>
                <w:color w:val="000000"/>
                <w:sz w:val="16"/>
                <w:szCs w:val="16"/>
              </w:rPr>
              <w:t xml:space="preserve"> visits (by individual cause).</w:t>
            </w:r>
          </w:p>
        </w:tc>
        <w:tc>
          <w:tcPr>
            <w:tcW w:w="563" w:type="pct"/>
            <w:shd w:val="clear" w:color="auto" w:fill="auto"/>
            <w:vAlign w:val="center"/>
          </w:tcPr>
          <w:p w:rsidR="00E52B7B" w:rsidRPr="00CA0AE3" w:rsidRDefault="00E52B7B" w:rsidP="00E52B7B">
            <w:pPr>
              <w:spacing w:after="0" w:line="240" w:lineRule="auto"/>
              <w:jc w:val="center"/>
              <w:rPr>
                <w:rFonts w:ascii="Times New Roman" w:hAnsi="Times New Roman" w:cs="Times New Roman"/>
                <w:sz w:val="16"/>
                <w:szCs w:val="16"/>
              </w:rPr>
            </w:pPr>
            <w:r w:rsidRPr="00CA0AE3">
              <w:rPr>
                <w:rFonts w:ascii="Times New Roman" w:hAnsi="Times New Roman" w:cs="Times New Roman"/>
                <w:sz w:val="16"/>
                <w:szCs w:val="16"/>
              </w:rPr>
              <w:t>MA Department of Public Health</w:t>
            </w:r>
          </w:p>
          <w:p w:rsidR="00E52B7B" w:rsidRPr="00CA0AE3" w:rsidRDefault="00E52B7B" w:rsidP="00E52B7B">
            <w:pPr>
              <w:spacing w:after="0" w:line="240" w:lineRule="auto"/>
              <w:jc w:val="center"/>
              <w:rPr>
                <w:rFonts w:ascii="Times New Roman" w:hAnsi="Times New Roman" w:cs="Times New Roman"/>
                <w:sz w:val="16"/>
                <w:szCs w:val="16"/>
              </w:rPr>
            </w:pPr>
            <w:r w:rsidRPr="00CA0AE3">
              <w:rPr>
                <w:rFonts w:ascii="Times New Roman" w:hAnsi="Times New Roman" w:cs="Times New Roman"/>
                <w:sz w:val="16"/>
                <w:szCs w:val="16"/>
              </w:rPr>
              <w:t xml:space="preserve">(Annual) </w:t>
            </w:r>
          </w:p>
        </w:tc>
        <w:tc>
          <w:tcPr>
            <w:tcW w:w="583" w:type="pct"/>
            <w:vAlign w:val="center"/>
          </w:tcPr>
          <w:p w:rsidR="00E52B7B" w:rsidRPr="00CA0AE3" w:rsidRDefault="00E52B7B" w:rsidP="00E52B7B">
            <w:pPr>
              <w:spacing w:after="0" w:line="240" w:lineRule="auto"/>
              <w:jc w:val="center"/>
              <w:rPr>
                <w:rFonts w:ascii="Times New Roman" w:hAnsi="Times New Roman" w:cs="Times New Roman"/>
                <w:color w:val="000000"/>
                <w:sz w:val="16"/>
                <w:szCs w:val="16"/>
              </w:rPr>
            </w:pPr>
            <w:r w:rsidRPr="00CA0AE3">
              <w:rPr>
                <w:rFonts w:ascii="Times New Roman" w:hAnsi="Times New Roman" w:cs="Times New Roman"/>
                <w:color w:val="000000"/>
                <w:sz w:val="16"/>
                <w:szCs w:val="16"/>
              </w:rPr>
              <w:t>Cambridge, Somerville, Everett, Malden, Revere, Statewide</w:t>
            </w:r>
          </w:p>
        </w:tc>
        <w:tc>
          <w:tcPr>
            <w:tcW w:w="408" w:type="pct"/>
            <w:vAlign w:val="center"/>
          </w:tcPr>
          <w:p w:rsidR="00E52B7B" w:rsidRPr="00CA0AE3" w:rsidRDefault="00E52B7B" w:rsidP="00E52B7B">
            <w:pPr>
              <w:spacing w:after="0" w:line="240" w:lineRule="auto"/>
              <w:jc w:val="center"/>
              <w:rPr>
                <w:rFonts w:ascii="Times New Roman" w:hAnsi="Times New Roman" w:cs="Times New Roman"/>
                <w:sz w:val="16"/>
                <w:szCs w:val="16"/>
              </w:rPr>
            </w:pPr>
            <w:r w:rsidRPr="00CA0AE3">
              <w:rPr>
                <w:rFonts w:ascii="Times New Roman" w:eastAsia="Times New Roman" w:hAnsi="Times New Roman" w:cs="Times New Roman"/>
                <w:sz w:val="16"/>
                <w:szCs w:val="16"/>
              </w:rPr>
              <w:t>R</w:t>
            </w:r>
          </w:p>
        </w:tc>
        <w:tc>
          <w:tcPr>
            <w:tcW w:w="408" w:type="pct"/>
            <w:vAlign w:val="center"/>
          </w:tcPr>
          <w:p w:rsidR="00E52B7B" w:rsidRPr="00CA0AE3" w:rsidRDefault="00E52B7B" w:rsidP="00E52B7B">
            <w:pPr>
              <w:spacing w:after="0" w:line="240" w:lineRule="auto"/>
              <w:jc w:val="center"/>
              <w:rPr>
                <w:rFonts w:ascii="Times New Roman" w:eastAsia="Times New Roman" w:hAnsi="Times New Roman" w:cs="Times New Roman"/>
                <w:sz w:val="16"/>
                <w:szCs w:val="16"/>
              </w:rPr>
            </w:pPr>
            <w:r w:rsidRPr="00CA0AE3">
              <w:rPr>
                <w:rFonts w:ascii="Times New Roman" w:eastAsia="Times New Roman" w:hAnsi="Times New Roman" w:cs="Times New Roman"/>
                <w:sz w:val="16"/>
                <w:szCs w:val="16"/>
              </w:rPr>
              <w:t>R</w:t>
            </w:r>
          </w:p>
        </w:tc>
        <w:tc>
          <w:tcPr>
            <w:tcW w:w="408" w:type="pct"/>
            <w:vAlign w:val="center"/>
          </w:tcPr>
          <w:p w:rsidR="00E52B7B" w:rsidRPr="00CA0AE3" w:rsidRDefault="00E52B7B" w:rsidP="00E52B7B">
            <w:pPr>
              <w:spacing w:after="0" w:line="240" w:lineRule="auto"/>
              <w:jc w:val="center"/>
              <w:rPr>
                <w:rFonts w:ascii="Times New Roman" w:eastAsia="Times New Roman" w:hAnsi="Times New Roman" w:cs="Times New Roman"/>
                <w:sz w:val="16"/>
                <w:szCs w:val="16"/>
              </w:rPr>
            </w:pPr>
            <w:r w:rsidRPr="00CA0AE3">
              <w:rPr>
                <w:rFonts w:ascii="Times New Roman" w:eastAsia="Times New Roman" w:hAnsi="Times New Roman" w:cs="Times New Roman"/>
                <w:sz w:val="16"/>
                <w:szCs w:val="16"/>
              </w:rPr>
              <w:t>R</w:t>
            </w:r>
          </w:p>
        </w:tc>
        <w:tc>
          <w:tcPr>
            <w:tcW w:w="408" w:type="pct"/>
            <w:vAlign w:val="center"/>
          </w:tcPr>
          <w:p w:rsidR="00E52B7B" w:rsidRPr="00CA0AE3" w:rsidRDefault="00E52B7B" w:rsidP="00E52B7B">
            <w:pPr>
              <w:spacing w:after="0" w:line="240" w:lineRule="auto"/>
              <w:jc w:val="center"/>
              <w:rPr>
                <w:rFonts w:ascii="Times New Roman" w:eastAsia="Times New Roman" w:hAnsi="Times New Roman" w:cs="Times New Roman"/>
                <w:sz w:val="16"/>
                <w:szCs w:val="16"/>
              </w:rPr>
            </w:pPr>
            <w:r w:rsidRPr="00CA0AE3">
              <w:rPr>
                <w:rFonts w:ascii="Times New Roman" w:eastAsia="Times New Roman" w:hAnsi="Times New Roman" w:cs="Times New Roman"/>
                <w:sz w:val="16"/>
                <w:szCs w:val="16"/>
              </w:rPr>
              <w:t>R</w:t>
            </w:r>
          </w:p>
        </w:tc>
        <w:tc>
          <w:tcPr>
            <w:tcW w:w="408" w:type="pct"/>
            <w:vAlign w:val="center"/>
          </w:tcPr>
          <w:p w:rsidR="00E52B7B" w:rsidRPr="00CA0AE3" w:rsidRDefault="00E52B7B" w:rsidP="00E52B7B">
            <w:pPr>
              <w:spacing w:after="0" w:line="240" w:lineRule="auto"/>
              <w:jc w:val="center"/>
              <w:rPr>
                <w:rFonts w:ascii="Times New Roman" w:eastAsia="Times New Roman" w:hAnsi="Times New Roman" w:cs="Times New Roman"/>
                <w:sz w:val="16"/>
                <w:szCs w:val="16"/>
              </w:rPr>
            </w:pPr>
            <w:r w:rsidRPr="00CA0AE3">
              <w:rPr>
                <w:rFonts w:ascii="Times New Roman" w:eastAsia="Times New Roman" w:hAnsi="Times New Roman" w:cs="Times New Roman"/>
                <w:sz w:val="16"/>
                <w:szCs w:val="16"/>
              </w:rPr>
              <w:t>R</w:t>
            </w:r>
          </w:p>
        </w:tc>
      </w:tr>
      <w:tr w:rsidR="00E52B7B" w:rsidRPr="00CA0AE3" w:rsidTr="00E52B7B">
        <w:trPr>
          <w:cantSplit/>
        </w:trPr>
        <w:tc>
          <w:tcPr>
            <w:tcW w:w="394" w:type="pct"/>
            <w:noWrap/>
            <w:vAlign w:val="center"/>
          </w:tcPr>
          <w:p w:rsidR="00E52B7B" w:rsidRPr="00CA0AE3" w:rsidRDefault="00E52B7B" w:rsidP="00E52B7B">
            <w:pPr>
              <w:spacing w:after="0" w:line="240" w:lineRule="auto"/>
              <w:jc w:val="center"/>
              <w:rPr>
                <w:rFonts w:ascii="Times New Roman" w:hAnsi="Times New Roman" w:cs="Times New Roman"/>
                <w:sz w:val="16"/>
                <w:szCs w:val="16"/>
              </w:rPr>
            </w:pPr>
            <w:r w:rsidRPr="00CA0AE3">
              <w:rPr>
                <w:rFonts w:ascii="Times New Roman" w:hAnsi="Times New Roman" w:cs="Times New Roman"/>
                <w:sz w:val="16"/>
                <w:szCs w:val="16"/>
              </w:rPr>
              <w:t>9</w:t>
            </w:r>
          </w:p>
        </w:tc>
        <w:tc>
          <w:tcPr>
            <w:tcW w:w="1420" w:type="pct"/>
            <w:vAlign w:val="center"/>
          </w:tcPr>
          <w:p w:rsidR="00E52B7B" w:rsidRPr="00CA0AE3" w:rsidRDefault="00E52B7B" w:rsidP="00E52B7B">
            <w:pPr>
              <w:spacing w:after="0" w:line="240" w:lineRule="auto"/>
              <w:jc w:val="center"/>
              <w:rPr>
                <w:rFonts w:ascii="Times New Roman" w:hAnsi="Times New Roman" w:cs="Times New Roman"/>
                <w:color w:val="000000"/>
                <w:sz w:val="16"/>
                <w:szCs w:val="16"/>
              </w:rPr>
            </w:pPr>
            <w:r w:rsidRPr="00CA0AE3">
              <w:rPr>
                <w:rFonts w:ascii="Times New Roman" w:hAnsi="Times New Roman" w:cs="Times New Roman"/>
                <w:color w:val="000000"/>
                <w:sz w:val="16"/>
                <w:szCs w:val="16"/>
              </w:rPr>
              <w:t xml:space="preserve">Age-specific rate* per 100,000 </w:t>
            </w:r>
            <w:r w:rsidRPr="00CA0AE3">
              <w:rPr>
                <w:rFonts w:ascii="Times New Roman" w:hAnsi="Times New Roman" w:cs="Times New Roman"/>
                <w:sz w:val="16"/>
                <w:szCs w:val="16"/>
              </w:rPr>
              <w:t xml:space="preserve">for 1) Emergency Department -visits and 2) mortality </w:t>
            </w:r>
            <w:r w:rsidRPr="00CA0AE3">
              <w:rPr>
                <w:rFonts w:ascii="Times New Roman" w:hAnsi="Times New Roman" w:cs="Times New Roman"/>
                <w:color w:val="000000"/>
                <w:sz w:val="16"/>
                <w:szCs w:val="16"/>
              </w:rPr>
              <w:t>related to falls among those age 65 years and over by city.</w:t>
            </w:r>
          </w:p>
        </w:tc>
        <w:tc>
          <w:tcPr>
            <w:tcW w:w="563" w:type="pct"/>
            <w:vAlign w:val="center"/>
          </w:tcPr>
          <w:p w:rsidR="00E52B7B" w:rsidRPr="00CA0AE3" w:rsidRDefault="00E52B7B" w:rsidP="00E52B7B">
            <w:pPr>
              <w:spacing w:after="0" w:line="240" w:lineRule="auto"/>
              <w:jc w:val="center"/>
              <w:rPr>
                <w:rFonts w:ascii="Times New Roman" w:hAnsi="Times New Roman" w:cs="Times New Roman"/>
                <w:sz w:val="16"/>
                <w:szCs w:val="16"/>
              </w:rPr>
            </w:pPr>
            <w:r w:rsidRPr="00CA0AE3">
              <w:rPr>
                <w:rFonts w:ascii="Times New Roman" w:hAnsi="Times New Roman" w:cs="Times New Roman"/>
                <w:sz w:val="16"/>
                <w:szCs w:val="16"/>
              </w:rPr>
              <w:t>MA Department of Public Health</w:t>
            </w:r>
          </w:p>
          <w:p w:rsidR="00E52B7B" w:rsidRPr="00CA0AE3" w:rsidRDefault="00E52B7B" w:rsidP="00E52B7B">
            <w:pPr>
              <w:spacing w:after="0" w:line="240" w:lineRule="auto"/>
              <w:jc w:val="center"/>
              <w:rPr>
                <w:rFonts w:ascii="Times New Roman" w:hAnsi="Times New Roman" w:cs="Times New Roman"/>
                <w:sz w:val="16"/>
                <w:szCs w:val="16"/>
              </w:rPr>
            </w:pPr>
            <w:r w:rsidRPr="00CA0AE3">
              <w:rPr>
                <w:rFonts w:ascii="Times New Roman" w:hAnsi="Times New Roman" w:cs="Times New Roman"/>
                <w:sz w:val="16"/>
                <w:szCs w:val="16"/>
              </w:rPr>
              <w:t xml:space="preserve">(Annual) </w:t>
            </w:r>
          </w:p>
        </w:tc>
        <w:tc>
          <w:tcPr>
            <w:tcW w:w="583" w:type="pct"/>
            <w:vAlign w:val="center"/>
          </w:tcPr>
          <w:p w:rsidR="00E52B7B" w:rsidRPr="00CA0AE3" w:rsidRDefault="00E52B7B" w:rsidP="00E52B7B">
            <w:pPr>
              <w:spacing w:after="0" w:line="240" w:lineRule="auto"/>
              <w:jc w:val="center"/>
              <w:rPr>
                <w:rFonts w:ascii="Times New Roman" w:hAnsi="Times New Roman" w:cs="Times New Roman"/>
                <w:color w:val="000000"/>
                <w:sz w:val="16"/>
                <w:szCs w:val="16"/>
              </w:rPr>
            </w:pPr>
            <w:r w:rsidRPr="00CA0AE3">
              <w:rPr>
                <w:rFonts w:ascii="Times New Roman" w:hAnsi="Times New Roman" w:cs="Times New Roman"/>
                <w:color w:val="000000"/>
                <w:sz w:val="16"/>
                <w:szCs w:val="16"/>
              </w:rPr>
              <w:t>Cambridge, Somerville, Everett, Malden, Revere, Statewide</w:t>
            </w:r>
          </w:p>
        </w:tc>
        <w:tc>
          <w:tcPr>
            <w:tcW w:w="408" w:type="pct"/>
            <w:vAlign w:val="center"/>
          </w:tcPr>
          <w:p w:rsidR="00E52B7B" w:rsidRPr="00CA0AE3" w:rsidRDefault="00E52B7B" w:rsidP="00E52B7B">
            <w:pPr>
              <w:spacing w:after="0" w:line="240" w:lineRule="auto"/>
              <w:jc w:val="center"/>
              <w:rPr>
                <w:rFonts w:ascii="Times New Roman" w:hAnsi="Times New Roman" w:cs="Times New Roman"/>
                <w:sz w:val="16"/>
                <w:szCs w:val="16"/>
              </w:rPr>
            </w:pPr>
            <w:r w:rsidRPr="00CA0AE3">
              <w:rPr>
                <w:rFonts w:ascii="Times New Roman" w:eastAsia="Times New Roman" w:hAnsi="Times New Roman" w:cs="Times New Roman"/>
                <w:sz w:val="16"/>
                <w:szCs w:val="16"/>
              </w:rPr>
              <w:t>R</w:t>
            </w:r>
          </w:p>
        </w:tc>
        <w:tc>
          <w:tcPr>
            <w:tcW w:w="408" w:type="pct"/>
            <w:vAlign w:val="center"/>
          </w:tcPr>
          <w:p w:rsidR="00E52B7B" w:rsidRPr="00CA0AE3" w:rsidRDefault="00E52B7B" w:rsidP="00E52B7B">
            <w:pPr>
              <w:spacing w:after="0" w:line="240" w:lineRule="auto"/>
              <w:jc w:val="center"/>
              <w:rPr>
                <w:rFonts w:ascii="Times New Roman" w:eastAsia="Times New Roman" w:hAnsi="Times New Roman" w:cs="Times New Roman"/>
                <w:sz w:val="16"/>
                <w:szCs w:val="16"/>
              </w:rPr>
            </w:pPr>
            <w:r w:rsidRPr="00CA0AE3">
              <w:rPr>
                <w:rFonts w:ascii="Times New Roman" w:eastAsia="Times New Roman" w:hAnsi="Times New Roman" w:cs="Times New Roman"/>
                <w:sz w:val="16"/>
                <w:szCs w:val="16"/>
              </w:rPr>
              <w:t>R</w:t>
            </w:r>
          </w:p>
        </w:tc>
        <w:tc>
          <w:tcPr>
            <w:tcW w:w="408" w:type="pct"/>
            <w:vAlign w:val="center"/>
          </w:tcPr>
          <w:p w:rsidR="00E52B7B" w:rsidRPr="00CA0AE3" w:rsidRDefault="00E52B7B" w:rsidP="00E52B7B">
            <w:pPr>
              <w:spacing w:after="0" w:line="240" w:lineRule="auto"/>
              <w:jc w:val="center"/>
              <w:rPr>
                <w:rFonts w:ascii="Times New Roman" w:eastAsia="Times New Roman" w:hAnsi="Times New Roman" w:cs="Times New Roman"/>
                <w:sz w:val="16"/>
                <w:szCs w:val="16"/>
              </w:rPr>
            </w:pPr>
            <w:r w:rsidRPr="00CA0AE3">
              <w:rPr>
                <w:rFonts w:ascii="Times New Roman" w:eastAsia="Times New Roman" w:hAnsi="Times New Roman" w:cs="Times New Roman"/>
                <w:sz w:val="16"/>
                <w:szCs w:val="16"/>
              </w:rPr>
              <w:t>R</w:t>
            </w:r>
          </w:p>
        </w:tc>
        <w:tc>
          <w:tcPr>
            <w:tcW w:w="408" w:type="pct"/>
            <w:vAlign w:val="center"/>
          </w:tcPr>
          <w:p w:rsidR="00E52B7B" w:rsidRPr="00CA0AE3" w:rsidRDefault="00E52B7B" w:rsidP="00E52B7B">
            <w:pPr>
              <w:spacing w:after="0" w:line="240" w:lineRule="auto"/>
              <w:jc w:val="center"/>
              <w:rPr>
                <w:rFonts w:ascii="Times New Roman" w:eastAsia="Times New Roman" w:hAnsi="Times New Roman" w:cs="Times New Roman"/>
                <w:sz w:val="16"/>
                <w:szCs w:val="16"/>
              </w:rPr>
            </w:pPr>
            <w:r w:rsidRPr="00CA0AE3">
              <w:rPr>
                <w:rFonts w:ascii="Times New Roman" w:eastAsia="Times New Roman" w:hAnsi="Times New Roman" w:cs="Times New Roman"/>
                <w:sz w:val="16"/>
                <w:szCs w:val="16"/>
              </w:rPr>
              <w:t>R</w:t>
            </w:r>
          </w:p>
        </w:tc>
        <w:tc>
          <w:tcPr>
            <w:tcW w:w="408" w:type="pct"/>
            <w:vAlign w:val="center"/>
          </w:tcPr>
          <w:p w:rsidR="00E52B7B" w:rsidRPr="00CA0AE3" w:rsidRDefault="00E52B7B" w:rsidP="00E52B7B">
            <w:pPr>
              <w:spacing w:after="0" w:line="240" w:lineRule="auto"/>
              <w:jc w:val="center"/>
              <w:rPr>
                <w:rFonts w:ascii="Times New Roman" w:eastAsia="Times New Roman" w:hAnsi="Times New Roman" w:cs="Times New Roman"/>
                <w:sz w:val="16"/>
                <w:szCs w:val="16"/>
              </w:rPr>
            </w:pPr>
            <w:r w:rsidRPr="00CA0AE3">
              <w:rPr>
                <w:rFonts w:ascii="Times New Roman" w:eastAsia="Times New Roman" w:hAnsi="Times New Roman" w:cs="Times New Roman"/>
                <w:sz w:val="16"/>
                <w:szCs w:val="16"/>
              </w:rPr>
              <w:t>R</w:t>
            </w:r>
          </w:p>
        </w:tc>
      </w:tr>
      <w:tr w:rsidR="00E52B7B" w:rsidRPr="00CA0AE3" w:rsidTr="00E52B7B">
        <w:trPr>
          <w:cantSplit/>
        </w:trPr>
        <w:tc>
          <w:tcPr>
            <w:tcW w:w="394" w:type="pct"/>
            <w:noWrap/>
            <w:vAlign w:val="center"/>
          </w:tcPr>
          <w:p w:rsidR="00E52B7B" w:rsidRPr="00CA0AE3" w:rsidRDefault="00E52B7B" w:rsidP="00E52B7B">
            <w:pPr>
              <w:spacing w:after="0" w:line="240" w:lineRule="auto"/>
              <w:jc w:val="center"/>
              <w:rPr>
                <w:rFonts w:ascii="Times New Roman" w:hAnsi="Times New Roman" w:cs="Times New Roman"/>
                <w:sz w:val="16"/>
                <w:szCs w:val="16"/>
              </w:rPr>
            </w:pPr>
            <w:r w:rsidRPr="00CA0AE3">
              <w:rPr>
                <w:rFonts w:ascii="Times New Roman" w:hAnsi="Times New Roman" w:cs="Times New Roman"/>
                <w:sz w:val="16"/>
                <w:szCs w:val="16"/>
              </w:rPr>
              <w:lastRenderedPageBreak/>
              <w:t>10</w:t>
            </w:r>
          </w:p>
        </w:tc>
        <w:tc>
          <w:tcPr>
            <w:tcW w:w="1420" w:type="pct"/>
            <w:vAlign w:val="center"/>
          </w:tcPr>
          <w:p w:rsidR="00E52B7B" w:rsidRPr="00CA0AE3" w:rsidRDefault="00E52B7B" w:rsidP="00E52B7B">
            <w:pPr>
              <w:spacing w:after="0" w:line="240" w:lineRule="auto"/>
              <w:jc w:val="center"/>
              <w:rPr>
                <w:rFonts w:ascii="Times New Roman" w:hAnsi="Times New Roman" w:cs="Times New Roman"/>
                <w:color w:val="000000"/>
                <w:sz w:val="16"/>
                <w:szCs w:val="16"/>
              </w:rPr>
            </w:pPr>
            <w:r w:rsidRPr="00CA0AE3">
              <w:rPr>
                <w:rFonts w:ascii="Times New Roman" w:hAnsi="Times New Roman" w:cs="Times New Roman"/>
                <w:color w:val="000000"/>
                <w:sz w:val="16"/>
                <w:szCs w:val="16"/>
              </w:rPr>
              <w:t xml:space="preserve">Age-adjusted rate* per 100,000 for </w:t>
            </w:r>
            <w:r w:rsidRPr="00CA0AE3">
              <w:rPr>
                <w:rFonts w:ascii="Times New Roman" w:hAnsi="Times New Roman" w:cs="Times New Roman"/>
                <w:sz w:val="16"/>
                <w:szCs w:val="16"/>
              </w:rPr>
              <w:t>Emergency Department visits</w:t>
            </w:r>
            <w:r w:rsidRPr="00CA0AE3">
              <w:rPr>
                <w:rFonts w:ascii="Times New Roman" w:hAnsi="Times New Roman" w:cs="Times New Roman"/>
                <w:color w:val="000000"/>
                <w:sz w:val="16"/>
                <w:szCs w:val="16"/>
              </w:rPr>
              <w:t xml:space="preserve"> related to alcohol or substance use.</w:t>
            </w:r>
          </w:p>
        </w:tc>
        <w:tc>
          <w:tcPr>
            <w:tcW w:w="563" w:type="pct"/>
            <w:vAlign w:val="center"/>
          </w:tcPr>
          <w:p w:rsidR="00E52B7B" w:rsidRPr="00CA0AE3" w:rsidRDefault="00E52B7B" w:rsidP="00E52B7B">
            <w:pPr>
              <w:spacing w:after="0" w:line="240" w:lineRule="auto"/>
              <w:jc w:val="center"/>
              <w:rPr>
                <w:rFonts w:ascii="Times New Roman" w:hAnsi="Times New Roman" w:cs="Times New Roman"/>
                <w:sz w:val="16"/>
                <w:szCs w:val="16"/>
              </w:rPr>
            </w:pPr>
            <w:r w:rsidRPr="00CA0AE3">
              <w:rPr>
                <w:rFonts w:ascii="Times New Roman" w:hAnsi="Times New Roman" w:cs="Times New Roman"/>
                <w:sz w:val="16"/>
                <w:szCs w:val="16"/>
              </w:rPr>
              <w:t>MA Department of Public Health</w:t>
            </w:r>
          </w:p>
          <w:p w:rsidR="00E52B7B" w:rsidRPr="00CA0AE3" w:rsidRDefault="00E52B7B" w:rsidP="00E52B7B">
            <w:pPr>
              <w:spacing w:after="0" w:line="240" w:lineRule="auto"/>
              <w:jc w:val="center"/>
              <w:rPr>
                <w:rFonts w:ascii="Times New Roman" w:hAnsi="Times New Roman" w:cs="Times New Roman"/>
                <w:sz w:val="16"/>
                <w:szCs w:val="16"/>
              </w:rPr>
            </w:pPr>
            <w:r w:rsidRPr="00CA0AE3">
              <w:rPr>
                <w:rFonts w:ascii="Times New Roman" w:hAnsi="Times New Roman" w:cs="Times New Roman"/>
                <w:sz w:val="16"/>
                <w:szCs w:val="16"/>
              </w:rPr>
              <w:t xml:space="preserve">(Annual) </w:t>
            </w:r>
          </w:p>
        </w:tc>
        <w:tc>
          <w:tcPr>
            <w:tcW w:w="583" w:type="pct"/>
            <w:vAlign w:val="center"/>
          </w:tcPr>
          <w:p w:rsidR="00E52B7B" w:rsidRPr="00CA0AE3" w:rsidRDefault="00E52B7B" w:rsidP="00E52B7B">
            <w:pPr>
              <w:spacing w:after="0" w:line="240" w:lineRule="auto"/>
              <w:jc w:val="center"/>
              <w:rPr>
                <w:rFonts w:ascii="Times New Roman" w:hAnsi="Times New Roman" w:cs="Times New Roman"/>
                <w:color w:val="000000"/>
                <w:sz w:val="16"/>
                <w:szCs w:val="16"/>
              </w:rPr>
            </w:pPr>
            <w:r w:rsidRPr="00CA0AE3">
              <w:rPr>
                <w:rFonts w:ascii="Times New Roman" w:hAnsi="Times New Roman" w:cs="Times New Roman"/>
                <w:color w:val="000000"/>
                <w:sz w:val="16"/>
                <w:szCs w:val="16"/>
              </w:rPr>
              <w:t>Cambridge, Somerville, Everett, Malden, Revere, Statewide</w:t>
            </w:r>
          </w:p>
        </w:tc>
        <w:tc>
          <w:tcPr>
            <w:tcW w:w="408" w:type="pct"/>
            <w:vAlign w:val="center"/>
          </w:tcPr>
          <w:p w:rsidR="00E52B7B" w:rsidRPr="00CA0AE3" w:rsidRDefault="00E52B7B" w:rsidP="00E52B7B">
            <w:pPr>
              <w:spacing w:after="0" w:line="240" w:lineRule="auto"/>
              <w:jc w:val="center"/>
              <w:rPr>
                <w:rFonts w:ascii="Times New Roman" w:hAnsi="Times New Roman" w:cs="Times New Roman"/>
                <w:sz w:val="16"/>
                <w:szCs w:val="16"/>
              </w:rPr>
            </w:pPr>
            <w:r w:rsidRPr="00CA0AE3">
              <w:rPr>
                <w:rFonts w:ascii="Times New Roman" w:eastAsia="Times New Roman" w:hAnsi="Times New Roman" w:cs="Times New Roman"/>
                <w:sz w:val="16"/>
                <w:szCs w:val="16"/>
              </w:rPr>
              <w:t>R</w:t>
            </w:r>
          </w:p>
        </w:tc>
        <w:tc>
          <w:tcPr>
            <w:tcW w:w="408" w:type="pct"/>
            <w:vAlign w:val="center"/>
          </w:tcPr>
          <w:p w:rsidR="00E52B7B" w:rsidRPr="00CA0AE3" w:rsidRDefault="00E52B7B" w:rsidP="00E52B7B">
            <w:pPr>
              <w:spacing w:after="0" w:line="240" w:lineRule="auto"/>
              <w:jc w:val="center"/>
              <w:rPr>
                <w:rFonts w:ascii="Times New Roman" w:eastAsia="Times New Roman" w:hAnsi="Times New Roman" w:cs="Times New Roman"/>
                <w:sz w:val="16"/>
                <w:szCs w:val="16"/>
              </w:rPr>
            </w:pPr>
            <w:r w:rsidRPr="00CA0AE3">
              <w:rPr>
                <w:rFonts w:ascii="Times New Roman" w:eastAsia="Times New Roman" w:hAnsi="Times New Roman" w:cs="Times New Roman"/>
                <w:sz w:val="16"/>
                <w:szCs w:val="16"/>
              </w:rPr>
              <w:t>R</w:t>
            </w:r>
          </w:p>
        </w:tc>
        <w:tc>
          <w:tcPr>
            <w:tcW w:w="408" w:type="pct"/>
            <w:vAlign w:val="center"/>
          </w:tcPr>
          <w:p w:rsidR="00E52B7B" w:rsidRPr="00CA0AE3" w:rsidRDefault="00E52B7B" w:rsidP="00E52B7B">
            <w:pPr>
              <w:spacing w:after="0" w:line="240" w:lineRule="auto"/>
              <w:jc w:val="center"/>
              <w:rPr>
                <w:rFonts w:ascii="Times New Roman" w:eastAsia="Times New Roman" w:hAnsi="Times New Roman" w:cs="Times New Roman"/>
                <w:sz w:val="16"/>
                <w:szCs w:val="16"/>
              </w:rPr>
            </w:pPr>
            <w:r w:rsidRPr="00CA0AE3">
              <w:rPr>
                <w:rFonts w:ascii="Times New Roman" w:eastAsia="Times New Roman" w:hAnsi="Times New Roman" w:cs="Times New Roman"/>
                <w:sz w:val="16"/>
                <w:szCs w:val="16"/>
              </w:rPr>
              <w:t>R</w:t>
            </w:r>
          </w:p>
        </w:tc>
        <w:tc>
          <w:tcPr>
            <w:tcW w:w="408" w:type="pct"/>
            <w:vAlign w:val="center"/>
          </w:tcPr>
          <w:p w:rsidR="00E52B7B" w:rsidRPr="00CA0AE3" w:rsidRDefault="00E52B7B" w:rsidP="00E52B7B">
            <w:pPr>
              <w:spacing w:after="0" w:line="240" w:lineRule="auto"/>
              <w:jc w:val="center"/>
              <w:rPr>
                <w:rFonts w:ascii="Times New Roman" w:eastAsia="Times New Roman" w:hAnsi="Times New Roman" w:cs="Times New Roman"/>
                <w:sz w:val="16"/>
                <w:szCs w:val="16"/>
              </w:rPr>
            </w:pPr>
            <w:r w:rsidRPr="00CA0AE3">
              <w:rPr>
                <w:rFonts w:ascii="Times New Roman" w:eastAsia="Times New Roman" w:hAnsi="Times New Roman" w:cs="Times New Roman"/>
                <w:sz w:val="16"/>
                <w:szCs w:val="16"/>
              </w:rPr>
              <w:t>R</w:t>
            </w:r>
          </w:p>
        </w:tc>
        <w:tc>
          <w:tcPr>
            <w:tcW w:w="408" w:type="pct"/>
            <w:vAlign w:val="center"/>
          </w:tcPr>
          <w:p w:rsidR="00E52B7B" w:rsidRPr="00CA0AE3" w:rsidRDefault="00E52B7B" w:rsidP="00E52B7B">
            <w:pPr>
              <w:spacing w:after="0" w:line="240" w:lineRule="auto"/>
              <w:jc w:val="center"/>
              <w:rPr>
                <w:rFonts w:ascii="Times New Roman" w:eastAsia="Times New Roman" w:hAnsi="Times New Roman" w:cs="Times New Roman"/>
                <w:sz w:val="16"/>
                <w:szCs w:val="16"/>
              </w:rPr>
            </w:pPr>
            <w:r w:rsidRPr="00CA0AE3">
              <w:rPr>
                <w:rFonts w:ascii="Times New Roman" w:eastAsia="Times New Roman" w:hAnsi="Times New Roman" w:cs="Times New Roman"/>
                <w:sz w:val="16"/>
                <w:szCs w:val="16"/>
              </w:rPr>
              <w:t>R</w:t>
            </w:r>
          </w:p>
        </w:tc>
      </w:tr>
      <w:tr w:rsidR="00E52B7B" w:rsidRPr="00CA0AE3" w:rsidTr="00E52B7B">
        <w:trPr>
          <w:cantSplit/>
        </w:trPr>
        <w:tc>
          <w:tcPr>
            <w:tcW w:w="394" w:type="pct"/>
            <w:noWrap/>
            <w:vAlign w:val="center"/>
          </w:tcPr>
          <w:p w:rsidR="00E52B7B" w:rsidRPr="00CA0AE3" w:rsidRDefault="00E52B7B" w:rsidP="00E52B7B">
            <w:pPr>
              <w:spacing w:after="0" w:line="240" w:lineRule="auto"/>
              <w:jc w:val="center"/>
              <w:rPr>
                <w:rFonts w:ascii="Times New Roman" w:hAnsi="Times New Roman" w:cs="Times New Roman"/>
                <w:sz w:val="16"/>
                <w:szCs w:val="16"/>
              </w:rPr>
            </w:pPr>
            <w:r w:rsidRPr="00CA0AE3">
              <w:rPr>
                <w:rFonts w:ascii="Times New Roman" w:hAnsi="Times New Roman" w:cs="Times New Roman"/>
                <w:sz w:val="16"/>
                <w:szCs w:val="16"/>
              </w:rPr>
              <w:t>11</w:t>
            </w:r>
          </w:p>
        </w:tc>
        <w:tc>
          <w:tcPr>
            <w:tcW w:w="1420" w:type="pct"/>
            <w:vAlign w:val="center"/>
          </w:tcPr>
          <w:p w:rsidR="00E52B7B" w:rsidRPr="00CA0AE3" w:rsidRDefault="00E52B7B" w:rsidP="00E52B7B">
            <w:pPr>
              <w:spacing w:after="0" w:line="240" w:lineRule="auto"/>
              <w:jc w:val="center"/>
              <w:rPr>
                <w:rFonts w:ascii="Times New Roman" w:hAnsi="Times New Roman" w:cs="Times New Roman"/>
                <w:color w:val="000000"/>
                <w:sz w:val="16"/>
                <w:szCs w:val="16"/>
              </w:rPr>
            </w:pPr>
            <w:r w:rsidRPr="00CA0AE3">
              <w:rPr>
                <w:rFonts w:ascii="Times New Roman" w:hAnsi="Times New Roman" w:cs="Times New Roman"/>
                <w:color w:val="000000"/>
                <w:sz w:val="16"/>
                <w:szCs w:val="16"/>
              </w:rPr>
              <w:t xml:space="preserve">Age-adjusted rate* per 100,000 </w:t>
            </w:r>
            <w:r w:rsidRPr="00CA0AE3">
              <w:rPr>
                <w:rFonts w:ascii="Times New Roman" w:hAnsi="Times New Roman" w:cs="Times New Roman"/>
                <w:sz w:val="16"/>
                <w:szCs w:val="16"/>
              </w:rPr>
              <w:t>for Emergency Department visits</w:t>
            </w:r>
            <w:r w:rsidRPr="00CA0AE3">
              <w:rPr>
                <w:rFonts w:ascii="Times New Roman" w:hAnsi="Times New Roman" w:cs="Times New Roman"/>
                <w:color w:val="000000"/>
                <w:sz w:val="16"/>
                <w:szCs w:val="16"/>
              </w:rPr>
              <w:t xml:space="preserve"> related to Opioid poisoning.</w:t>
            </w:r>
          </w:p>
        </w:tc>
        <w:tc>
          <w:tcPr>
            <w:tcW w:w="563" w:type="pct"/>
            <w:vAlign w:val="center"/>
          </w:tcPr>
          <w:p w:rsidR="00E52B7B" w:rsidRPr="00CA0AE3" w:rsidRDefault="00E52B7B" w:rsidP="00E52B7B">
            <w:pPr>
              <w:spacing w:after="0" w:line="240" w:lineRule="auto"/>
              <w:jc w:val="center"/>
              <w:rPr>
                <w:rFonts w:ascii="Times New Roman" w:hAnsi="Times New Roman" w:cs="Times New Roman"/>
                <w:sz w:val="16"/>
                <w:szCs w:val="16"/>
              </w:rPr>
            </w:pPr>
            <w:r w:rsidRPr="00CA0AE3">
              <w:rPr>
                <w:rFonts w:ascii="Times New Roman" w:hAnsi="Times New Roman" w:cs="Times New Roman"/>
                <w:sz w:val="16"/>
                <w:szCs w:val="16"/>
              </w:rPr>
              <w:t>MA Department of Public Health</w:t>
            </w:r>
          </w:p>
          <w:p w:rsidR="00E52B7B" w:rsidRPr="00CA0AE3" w:rsidRDefault="00E52B7B" w:rsidP="00E52B7B">
            <w:pPr>
              <w:spacing w:after="0" w:line="240" w:lineRule="auto"/>
              <w:jc w:val="center"/>
              <w:rPr>
                <w:rFonts w:ascii="Times New Roman" w:hAnsi="Times New Roman" w:cs="Times New Roman"/>
                <w:sz w:val="16"/>
                <w:szCs w:val="16"/>
              </w:rPr>
            </w:pPr>
            <w:r w:rsidRPr="00CA0AE3">
              <w:rPr>
                <w:rFonts w:ascii="Times New Roman" w:hAnsi="Times New Roman" w:cs="Times New Roman"/>
                <w:sz w:val="16"/>
                <w:szCs w:val="16"/>
              </w:rPr>
              <w:t xml:space="preserve">(Annual) </w:t>
            </w:r>
          </w:p>
        </w:tc>
        <w:tc>
          <w:tcPr>
            <w:tcW w:w="583" w:type="pct"/>
            <w:vAlign w:val="center"/>
          </w:tcPr>
          <w:p w:rsidR="00E52B7B" w:rsidRPr="00CA0AE3" w:rsidRDefault="00E52B7B" w:rsidP="00E52B7B">
            <w:pPr>
              <w:spacing w:after="0" w:line="240" w:lineRule="auto"/>
              <w:jc w:val="center"/>
              <w:rPr>
                <w:rFonts w:ascii="Times New Roman" w:hAnsi="Times New Roman" w:cs="Times New Roman"/>
                <w:color w:val="000000"/>
                <w:sz w:val="16"/>
                <w:szCs w:val="16"/>
              </w:rPr>
            </w:pPr>
            <w:r w:rsidRPr="00CA0AE3">
              <w:rPr>
                <w:rFonts w:ascii="Times New Roman" w:hAnsi="Times New Roman" w:cs="Times New Roman"/>
                <w:color w:val="000000"/>
                <w:sz w:val="16"/>
                <w:szCs w:val="16"/>
              </w:rPr>
              <w:t>Cambridge, Somerville, Everett, Malden, Revere, Statewide</w:t>
            </w:r>
          </w:p>
        </w:tc>
        <w:tc>
          <w:tcPr>
            <w:tcW w:w="408" w:type="pct"/>
            <w:vAlign w:val="center"/>
          </w:tcPr>
          <w:p w:rsidR="00E52B7B" w:rsidRPr="00CA0AE3" w:rsidRDefault="00E52B7B" w:rsidP="00E52B7B">
            <w:pPr>
              <w:spacing w:after="0" w:line="240" w:lineRule="auto"/>
              <w:jc w:val="center"/>
              <w:rPr>
                <w:rFonts w:ascii="Times New Roman" w:hAnsi="Times New Roman" w:cs="Times New Roman"/>
                <w:sz w:val="16"/>
                <w:szCs w:val="16"/>
              </w:rPr>
            </w:pPr>
            <w:r w:rsidRPr="00CA0AE3">
              <w:rPr>
                <w:rFonts w:ascii="Times New Roman" w:eastAsia="Times New Roman" w:hAnsi="Times New Roman" w:cs="Times New Roman"/>
                <w:sz w:val="16"/>
                <w:szCs w:val="16"/>
              </w:rPr>
              <w:t>R</w:t>
            </w:r>
          </w:p>
        </w:tc>
        <w:tc>
          <w:tcPr>
            <w:tcW w:w="408" w:type="pct"/>
            <w:vAlign w:val="center"/>
          </w:tcPr>
          <w:p w:rsidR="00E52B7B" w:rsidRPr="00CA0AE3" w:rsidRDefault="00E52B7B" w:rsidP="00E52B7B">
            <w:pPr>
              <w:spacing w:after="0" w:line="240" w:lineRule="auto"/>
              <w:jc w:val="center"/>
              <w:rPr>
                <w:rFonts w:ascii="Times New Roman" w:eastAsia="Times New Roman" w:hAnsi="Times New Roman" w:cs="Times New Roman"/>
                <w:sz w:val="16"/>
                <w:szCs w:val="16"/>
              </w:rPr>
            </w:pPr>
            <w:r w:rsidRPr="00CA0AE3">
              <w:rPr>
                <w:rFonts w:ascii="Times New Roman" w:eastAsia="Times New Roman" w:hAnsi="Times New Roman" w:cs="Times New Roman"/>
                <w:sz w:val="16"/>
                <w:szCs w:val="16"/>
              </w:rPr>
              <w:t>R</w:t>
            </w:r>
          </w:p>
        </w:tc>
        <w:tc>
          <w:tcPr>
            <w:tcW w:w="408" w:type="pct"/>
            <w:vAlign w:val="center"/>
          </w:tcPr>
          <w:p w:rsidR="00E52B7B" w:rsidRPr="00CA0AE3" w:rsidRDefault="00E52B7B" w:rsidP="00E52B7B">
            <w:pPr>
              <w:spacing w:after="0" w:line="240" w:lineRule="auto"/>
              <w:jc w:val="center"/>
              <w:rPr>
                <w:rFonts w:ascii="Times New Roman" w:eastAsia="Times New Roman" w:hAnsi="Times New Roman" w:cs="Times New Roman"/>
                <w:sz w:val="16"/>
                <w:szCs w:val="16"/>
              </w:rPr>
            </w:pPr>
            <w:r w:rsidRPr="00CA0AE3">
              <w:rPr>
                <w:rFonts w:ascii="Times New Roman" w:eastAsia="Times New Roman" w:hAnsi="Times New Roman" w:cs="Times New Roman"/>
                <w:sz w:val="16"/>
                <w:szCs w:val="16"/>
              </w:rPr>
              <w:t>R</w:t>
            </w:r>
          </w:p>
        </w:tc>
        <w:tc>
          <w:tcPr>
            <w:tcW w:w="408" w:type="pct"/>
            <w:vAlign w:val="center"/>
          </w:tcPr>
          <w:p w:rsidR="00E52B7B" w:rsidRPr="00CA0AE3" w:rsidRDefault="00E52B7B" w:rsidP="00E52B7B">
            <w:pPr>
              <w:spacing w:after="0" w:line="240" w:lineRule="auto"/>
              <w:jc w:val="center"/>
              <w:rPr>
                <w:rFonts w:ascii="Times New Roman" w:eastAsia="Times New Roman" w:hAnsi="Times New Roman" w:cs="Times New Roman"/>
                <w:sz w:val="16"/>
                <w:szCs w:val="16"/>
              </w:rPr>
            </w:pPr>
            <w:r w:rsidRPr="00CA0AE3">
              <w:rPr>
                <w:rFonts w:ascii="Times New Roman" w:eastAsia="Times New Roman" w:hAnsi="Times New Roman" w:cs="Times New Roman"/>
                <w:sz w:val="16"/>
                <w:szCs w:val="16"/>
              </w:rPr>
              <w:t>R</w:t>
            </w:r>
          </w:p>
        </w:tc>
        <w:tc>
          <w:tcPr>
            <w:tcW w:w="408" w:type="pct"/>
            <w:vAlign w:val="center"/>
          </w:tcPr>
          <w:p w:rsidR="00E52B7B" w:rsidRPr="00CA0AE3" w:rsidRDefault="00E52B7B" w:rsidP="00E52B7B">
            <w:pPr>
              <w:spacing w:after="0" w:line="240" w:lineRule="auto"/>
              <w:jc w:val="center"/>
              <w:rPr>
                <w:rFonts w:ascii="Times New Roman" w:eastAsia="Times New Roman" w:hAnsi="Times New Roman" w:cs="Times New Roman"/>
                <w:sz w:val="16"/>
                <w:szCs w:val="16"/>
              </w:rPr>
            </w:pPr>
            <w:r w:rsidRPr="00CA0AE3">
              <w:rPr>
                <w:rFonts w:ascii="Times New Roman" w:eastAsia="Times New Roman" w:hAnsi="Times New Roman" w:cs="Times New Roman"/>
                <w:sz w:val="16"/>
                <w:szCs w:val="16"/>
              </w:rPr>
              <w:t>R</w:t>
            </w:r>
          </w:p>
        </w:tc>
      </w:tr>
      <w:tr w:rsidR="00E52B7B" w:rsidRPr="00CA0AE3" w:rsidTr="00E52B7B">
        <w:trPr>
          <w:cantSplit/>
        </w:trPr>
        <w:tc>
          <w:tcPr>
            <w:tcW w:w="394" w:type="pct"/>
            <w:noWrap/>
            <w:vAlign w:val="center"/>
          </w:tcPr>
          <w:p w:rsidR="00E52B7B" w:rsidRPr="00CA0AE3" w:rsidRDefault="00E52B7B" w:rsidP="00E52B7B">
            <w:pPr>
              <w:spacing w:after="0" w:line="240" w:lineRule="auto"/>
              <w:jc w:val="center"/>
              <w:rPr>
                <w:rFonts w:ascii="Times New Roman" w:hAnsi="Times New Roman" w:cs="Times New Roman"/>
                <w:sz w:val="16"/>
                <w:szCs w:val="16"/>
              </w:rPr>
            </w:pPr>
            <w:r w:rsidRPr="00CA0AE3">
              <w:rPr>
                <w:rFonts w:ascii="Times New Roman" w:hAnsi="Times New Roman" w:cs="Times New Roman"/>
                <w:sz w:val="16"/>
                <w:szCs w:val="16"/>
              </w:rPr>
              <w:t>12</w:t>
            </w:r>
          </w:p>
        </w:tc>
        <w:tc>
          <w:tcPr>
            <w:tcW w:w="1420" w:type="pct"/>
            <w:vAlign w:val="center"/>
          </w:tcPr>
          <w:p w:rsidR="00E52B7B" w:rsidRPr="00CA0AE3" w:rsidRDefault="00E52B7B" w:rsidP="00E52B7B">
            <w:pPr>
              <w:spacing w:after="0" w:line="240" w:lineRule="auto"/>
              <w:jc w:val="center"/>
              <w:rPr>
                <w:rFonts w:ascii="Times New Roman" w:hAnsi="Times New Roman" w:cs="Times New Roman"/>
                <w:color w:val="000000"/>
                <w:sz w:val="16"/>
                <w:szCs w:val="16"/>
              </w:rPr>
            </w:pPr>
            <w:r w:rsidRPr="00CA0AE3">
              <w:rPr>
                <w:rFonts w:ascii="Times New Roman" w:hAnsi="Times New Roman" w:cs="Times New Roman"/>
                <w:color w:val="000000"/>
                <w:sz w:val="16"/>
                <w:szCs w:val="16"/>
              </w:rPr>
              <w:t xml:space="preserve">Age-adjusted rate* per 100,000 for </w:t>
            </w:r>
            <w:r w:rsidRPr="00CA0AE3">
              <w:rPr>
                <w:rFonts w:ascii="Times New Roman" w:hAnsi="Times New Roman" w:cs="Times New Roman"/>
                <w:sz w:val="16"/>
                <w:szCs w:val="16"/>
              </w:rPr>
              <w:t>hospitalizations related to</w:t>
            </w:r>
            <w:r w:rsidRPr="00CA0AE3">
              <w:rPr>
                <w:rFonts w:ascii="Times New Roman" w:hAnsi="Times New Roman" w:cs="Times New Roman"/>
                <w:color w:val="000000"/>
                <w:sz w:val="16"/>
                <w:szCs w:val="16"/>
              </w:rPr>
              <w:t xml:space="preserve"> Hypertension.</w:t>
            </w:r>
          </w:p>
        </w:tc>
        <w:tc>
          <w:tcPr>
            <w:tcW w:w="563" w:type="pct"/>
            <w:vAlign w:val="center"/>
          </w:tcPr>
          <w:p w:rsidR="00E52B7B" w:rsidRPr="00CA0AE3" w:rsidRDefault="00E52B7B" w:rsidP="00E52B7B">
            <w:pPr>
              <w:spacing w:after="0" w:line="240" w:lineRule="auto"/>
              <w:jc w:val="center"/>
              <w:rPr>
                <w:rFonts w:ascii="Times New Roman" w:hAnsi="Times New Roman" w:cs="Times New Roman"/>
                <w:sz w:val="16"/>
                <w:szCs w:val="16"/>
              </w:rPr>
            </w:pPr>
            <w:r w:rsidRPr="00CA0AE3">
              <w:rPr>
                <w:rFonts w:ascii="Times New Roman" w:hAnsi="Times New Roman" w:cs="Times New Roman"/>
                <w:sz w:val="16"/>
                <w:szCs w:val="16"/>
              </w:rPr>
              <w:t>MA Department of Public Health</w:t>
            </w:r>
          </w:p>
          <w:p w:rsidR="00E52B7B" w:rsidRPr="00CA0AE3" w:rsidRDefault="00E52B7B" w:rsidP="00E52B7B">
            <w:pPr>
              <w:spacing w:after="0" w:line="240" w:lineRule="auto"/>
              <w:jc w:val="center"/>
              <w:rPr>
                <w:rFonts w:ascii="Times New Roman" w:hAnsi="Times New Roman" w:cs="Times New Roman"/>
                <w:sz w:val="16"/>
                <w:szCs w:val="16"/>
              </w:rPr>
            </w:pPr>
            <w:r w:rsidRPr="00CA0AE3">
              <w:rPr>
                <w:rFonts w:ascii="Times New Roman" w:hAnsi="Times New Roman" w:cs="Times New Roman"/>
                <w:sz w:val="16"/>
                <w:szCs w:val="16"/>
              </w:rPr>
              <w:t xml:space="preserve">(Annual) </w:t>
            </w:r>
          </w:p>
        </w:tc>
        <w:tc>
          <w:tcPr>
            <w:tcW w:w="583" w:type="pct"/>
            <w:vAlign w:val="center"/>
          </w:tcPr>
          <w:p w:rsidR="00E52B7B" w:rsidRPr="00CA0AE3" w:rsidRDefault="00E52B7B" w:rsidP="00E52B7B">
            <w:pPr>
              <w:spacing w:after="0" w:line="240" w:lineRule="auto"/>
              <w:jc w:val="center"/>
              <w:rPr>
                <w:rFonts w:ascii="Times New Roman" w:hAnsi="Times New Roman" w:cs="Times New Roman"/>
                <w:color w:val="000000"/>
                <w:sz w:val="16"/>
                <w:szCs w:val="16"/>
              </w:rPr>
            </w:pPr>
            <w:r w:rsidRPr="00CA0AE3">
              <w:rPr>
                <w:rFonts w:ascii="Times New Roman" w:hAnsi="Times New Roman" w:cs="Times New Roman"/>
                <w:color w:val="000000"/>
                <w:sz w:val="16"/>
                <w:szCs w:val="16"/>
              </w:rPr>
              <w:t>Cambridge, Somerville, Everett, Malden, Revere, Statewide</w:t>
            </w:r>
          </w:p>
        </w:tc>
        <w:tc>
          <w:tcPr>
            <w:tcW w:w="408" w:type="pct"/>
            <w:vAlign w:val="center"/>
          </w:tcPr>
          <w:p w:rsidR="00E52B7B" w:rsidRPr="00CA0AE3" w:rsidRDefault="00E52B7B" w:rsidP="00E52B7B">
            <w:pPr>
              <w:spacing w:after="0" w:line="240" w:lineRule="auto"/>
              <w:jc w:val="center"/>
              <w:rPr>
                <w:rFonts w:ascii="Times New Roman" w:hAnsi="Times New Roman" w:cs="Times New Roman"/>
                <w:sz w:val="16"/>
                <w:szCs w:val="16"/>
              </w:rPr>
            </w:pPr>
            <w:r w:rsidRPr="00CA0AE3">
              <w:rPr>
                <w:rFonts w:ascii="Times New Roman" w:eastAsia="Times New Roman" w:hAnsi="Times New Roman" w:cs="Times New Roman"/>
                <w:sz w:val="16"/>
                <w:szCs w:val="16"/>
              </w:rPr>
              <w:t>R</w:t>
            </w:r>
          </w:p>
        </w:tc>
        <w:tc>
          <w:tcPr>
            <w:tcW w:w="408" w:type="pct"/>
            <w:vAlign w:val="center"/>
          </w:tcPr>
          <w:p w:rsidR="00E52B7B" w:rsidRPr="00CA0AE3" w:rsidRDefault="00E52B7B" w:rsidP="00E52B7B">
            <w:pPr>
              <w:spacing w:after="0" w:line="240" w:lineRule="auto"/>
              <w:jc w:val="center"/>
              <w:rPr>
                <w:rFonts w:ascii="Times New Roman" w:eastAsia="Times New Roman" w:hAnsi="Times New Roman" w:cs="Times New Roman"/>
                <w:sz w:val="16"/>
                <w:szCs w:val="16"/>
              </w:rPr>
            </w:pPr>
            <w:r w:rsidRPr="00CA0AE3">
              <w:rPr>
                <w:rFonts w:ascii="Times New Roman" w:eastAsia="Times New Roman" w:hAnsi="Times New Roman" w:cs="Times New Roman"/>
                <w:sz w:val="16"/>
                <w:szCs w:val="16"/>
              </w:rPr>
              <w:t>R</w:t>
            </w:r>
          </w:p>
        </w:tc>
        <w:tc>
          <w:tcPr>
            <w:tcW w:w="408" w:type="pct"/>
            <w:vAlign w:val="center"/>
          </w:tcPr>
          <w:p w:rsidR="00E52B7B" w:rsidRPr="00CA0AE3" w:rsidRDefault="00E52B7B" w:rsidP="00E52B7B">
            <w:pPr>
              <w:spacing w:after="0" w:line="240" w:lineRule="auto"/>
              <w:jc w:val="center"/>
              <w:rPr>
                <w:rFonts w:ascii="Times New Roman" w:eastAsia="Times New Roman" w:hAnsi="Times New Roman" w:cs="Times New Roman"/>
                <w:sz w:val="16"/>
                <w:szCs w:val="16"/>
              </w:rPr>
            </w:pPr>
            <w:r w:rsidRPr="00CA0AE3">
              <w:rPr>
                <w:rFonts w:ascii="Times New Roman" w:eastAsia="Times New Roman" w:hAnsi="Times New Roman" w:cs="Times New Roman"/>
                <w:sz w:val="16"/>
                <w:szCs w:val="16"/>
              </w:rPr>
              <w:t>R</w:t>
            </w:r>
          </w:p>
        </w:tc>
        <w:tc>
          <w:tcPr>
            <w:tcW w:w="408" w:type="pct"/>
            <w:vAlign w:val="center"/>
          </w:tcPr>
          <w:p w:rsidR="00E52B7B" w:rsidRPr="00CA0AE3" w:rsidRDefault="00E52B7B" w:rsidP="00E52B7B">
            <w:pPr>
              <w:spacing w:after="0" w:line="240" w:lineRule="auto"/>
              <w:jc w:val="center"/>
              <w:rPr>
                <w:rFonts w:ascii="Times New Roman" w:eastAsia="Times New Roman" w:hAnsi="Times New Roman" w:cs="Times New Roman"/>
                <w:sz w:val="16"/>
                <w:szCs w:val="16"/>
              </w:rPr>
            </w:pPr>
            <w:r w:rsidRPr="00CA0AE3">
              <w:rPr>
                <w:rFonts w:ascii="Times New Roman" w:eastAsia="Times New Roman" w:hAnsi="Times New Roman" w:cs="Times New Roman"/>
                <w:sz w:val="16"/>
                <w:szCs w:val="16"/>
              </w:rPr>
              <w:t>R</w:t>
            </w:r>
          </w:p>
        </w:tc>
        <w:tc>
          <w:tcPr>
            <w:tcW w:w="408" w:type="pct"/>
            <w:vAlign w:val="center"/>
          </w:tcPr>
          <w:p w:rsidR="00E52B7B" w:rsidRPr="00CA0AE3" w:rsidRDefault="00E52B7B" w:rsidP="00E52B7B">
            <w:pPr>
              <w:spacing w:after="0" w:line="240" w:lineRule="auto"/>
              <w:jc w:val="center"/>
              <w:rPr>
                <w:rFonts w:ascii="Times New Roman" w:eastAsia="Times New Roman" w:hAnsi="Times New Roman" w:cs="Times New Roman"/>
                <w:sz w:val="16"/>
                <w:szCs w:val="16"/>
              </w:rPr>
            </w:pPr>
            <w:r w:rsidRPr="00CA0AE3">
              <w:rPr>
                <w:rFonts w:ascii="Times New Roman" w:eastAsia="Times New Roman" w:hAnsi="Times New Roman" w:cs="Times New Roman"/>
                <w:sz w:val="16"/>
                <w:szCs w:val="16"/>
              </w:rPr>
              <w:t>R</w:t>
            </w:r>
          </w:p>
        </w:tc>
      </w:tr>
      <w:tr w:rsidR="00E52B7B" w:rsidRPr="00CA0AE3" w:rsidTr="00E52B7B">
        <w:trPr>
          <w:cantSplit/>
        </w:trPr>
        <w:tc>
          <w:tcPr>
            <w:tcW w:w="394" w:type="pct"/>
            <w:noWrap/>
            <w:vAlign w:val="center"/>
          </w:tcPr>
          <w:p w:rsidR="00E52B7B" w:rsidRPr="00CA0AE3" w:rsidRDefault="00E52B7B" w:rsidP="00E52B7B">
            <w:pPr>
              <w:spacing w:after="0" w:line="240" w:lineRule="auto"/>
              <w:jc w:val="center"/>
              <w:rPr>
                <w:rFonts w:ascii="Times New Roman" w:hAnsi="Times New Roman" w:cs="Times New Roman"/>
                <w:sz w:val="16"/>
                <w:szCs w:val="16"/>
              </w:rPr>
            </w:pPr>
            <w:r w:rsidRPr="00CA0AE3">
              <w:rPr>
                <w:rFonts w:ascii="Times New Roman" w:hAnsi="Times New Roman" w:cs="Times New Roman"/>
                <w:sz w:val="16"/>
                <w:szCs w:val="16"/>
              </w:rPr>
              <w:t>13</w:t>
            </w:r>
          </w:p>
        </w:tc>
        <w:tc>
          <w:tcPr>
            <w:tcW w:w="1420" w:type="pct"/>
            <w:vAlign w:val="center"/>
          </w:tcPr>
          <w:p w:rsidR="00E52B7B" w:rsidRPr="00CA0AE3" w:rsidRDefault="00E52B7B" w:rsidP="00E52B7B">
            <w:pPr>
              <w:spacing w:after="0" w:line="240" w:lineRule="auto"/>
              <w:jc w:val="center"/>
              <w:rPr>
                <w:rFonts w:ascii="Times New Roman" w:hAnsi="Times New Roman" w:cs="Times New Roman"/>
                <w:color w:val="000000"/>
                <w:sz w:val="16"/>
                <w:szCs w:val="16"/>
              </w:rPr>
            </w:pPr>
            <w:r w:rsidRPr="00CA0AE3">
              <w:rPr>
                <w:rFonts w:ascii="Times New Roman" w:hAnsi="Times New Roman" w:cs="Times New Roman"/>
                <w:color w:val="000000"/>
                <w:sz w:val="16"/>
                <w:szCs w:val="16"/>
              </w:rPr>
              <w:t>Age-adjusted rate* per 100,000 for</w:t>
            </w:r>
          </w:p>
          <w:p w:rsidR="00E52B7B" w:rsidRPr="00CA0AE3" w:rsidRDefault="00E52B7B" w:rsidP="00E52B7B">
            <w:pPr>
              <w:spacing w:after="0" w:line="240" w:lineRule="auto"/>
              <w:jc w:val="center"/>
              <w:rPr>
                <w:rFonts w:ascii="Times New Roman" w:hAnsi="Times New Roman" w:cs="Times New Roman"/>
                <w:sz w:val="16"/>
                <w:szCs w:val="16"/>
              </w:rPr>
            </w:pPr>
            <w:r w:rsidRPr="00CA0AE3">
              <w:rPr>
                <w:rFonts w:ascii="Times New Roman" w:hAnsi="Times New Roman" w:cs="Times New Roman"/>
                <w:color w:val="000000"/>
                <w:sz w:val="16"/>
                <w:szCs w:val="16"/>
              </w:rPr>
              <w:t xml:space="preserve">1) </w:t>
            </w:r>
            <w:r w:rsidRPr="00CA0AE3">
              <w:rPr>
                <w:rFonts w:ascii="Times New Roman" w:hAnsi="Times New Roman" w:cs="Times New Roman"/>
                <w:sz w:val="16"/>
                <w:szCs w:val="16"/>
              </w:rPr>
              <w:t>hospitalizations and</w:t>
            </w:r>
          </w:p>
          <w:p w:rsidR="00E52B7B" w:rsidRPr="00CA0AE3" w:rsidRDefault="00E52B7B" w:rsidP="00E52B7B">
            <w:pPr>
              <w:spacing w:after="0" w:line="240" w:lineRule="auto"/>
              <w:jc w:val="center"/>
              <w:rPr>
                <w:rFonts w:ascii="Times New Roman" w:hAnsi="Times New Roman" w:cs="Times New Roman"/>
                <w:sz w:val="16"/>
                <w:szCs w:val="16"/>
              </w:rPr>
            </w:pPr>
            <w:r w:rsidRPr="00CA0AE3">
              <w:rPr>
                <w:rFonts w:ascii="Times New Roman" w:hAnsi="Times New Roman" w:cs="Times New Roman"/>
                <w:sz w:val="16"/>
                <w:szCs w:val="16"/>
              </w:rPr>
              <w:t>2) Emergency Department visits</w:t>
            </w:r>
            <w:r w:rsidRPr="00CA0AE3">
              <w:rPr>
                <w:rFonts w:ascii="Times New Roman" w:hAnsi="Times New Roman" w:cs="Times New Roman"/>
                <w:b/>
                <w:color w:val="FF0000"/>
                <w:sz w:val="16"/>
                <w:szCs w:val="16"/>
              </w:rPr>
              <w:t xml:space="preserve"> </w:t>
            </w:r>
            <w:r w:rsidRPr="00CA0AE3">
              <w:rPr>
                <w:rFonts w:ascii="Times New Roman" w:hAnsi="Times New Roman" w:cs="Times New Roman"/>
                <w:sz w:val="16"/>
                <w:szCs w:val="16"/>
              </w:rPr>
              <w:t>related to Renal Failure or Renal Disorder.</w:t>
            </w:r>
          </w:p>
        </w:tc>
        <w:tc>
          <w:tcPr>
            <w:tcW w:w="563" w:type="pct"/>
            <w:vAlign w:val="center"/>
          </w:tcPr>
          <w:p w:rsidR="00E52B7B" w:rsidRPr="00CA0AE3" w:rsidRDefault="00E52B7B" w:rsidP="00E52B7B">
            <w:pPr>
              <w:spacing w:after="0" w:line="240" w:lineRule="auto"/>
              <w:jc w:val="center"/>
              <w:rPr>
                <w:rFonts w:ascii="Times New Roman" w:hAnsi="Times New Roman" w:cs="Times New Roman"/>
                <w:sz w:val="16"/>
                <w:szCs w:val="16"/>
              </w:rPr>
            </w:pPr>
            <w:r w:rsidRPr="00CA0AE3">
              <w:rPr>
                <w:rFonts w:ascii="Times New Roman" w:hAnsi="Times New Roman" w:cs="Times New Roman"/>
                <w:sz w:val="16"/>
                <w:szCs w:val="16"/>
              </w:rPr>
              <w:t>MA Department of Public Health</w:t>
            </w:r>
          </w:p>
          <w:p w:rsidR="00E52B7B" w:rsidRPr="00CA0AE3" w:rsidRDefault="00E52B7B" w:rsidP="00E52B7B">
            <w:pPr>
              <w:spacing w:after="0" w:line="240" w:lineRule="auto"/>
              <w:jc w:val="center"/>
              <w:rPr>
                <w:rFonts w:ascii="Times New Roman" w:hAnsi="Times New Roman" w:cs="Times New Roman"/>
                <w:sz w:val="16"/>
                <w:szCs w:val="16"/>
              </w:rPr>
            </w:pPr>
            <w:r w:rsidRPr="00CA0AE3">
              <w:rPr>
                <w:rFonts w:ascii="Times New Roman" w:hAnsi="Times New Roman" w:cs="Times New Roman"/>
                <w:sz w:val="16"/>
                <w:szCs w:val="16"/>
              </w:rPr>
              <w:t xml:space="preserve">(Annual) </w:t>
            </w:r>
          </w:p>
        </w:tc>
        <w:tc>
          <w:tcPr>
            <w:tcW w:w="583" w:type="pct"/>
            <w:vAlign w:val="center"/>
          </w:tcPr>
          <w:p w:rsidR="00E52B7B" w:rsidRPr="00CA0AE3" w:rsidRDefault="00E52B7B" w:rsidP="00E52B7B">
            <w:pPr>
              <w:spacing w:after="0" w:line="240" w:lineRule="auto"/>
              <w:jc w:val="center"/>
              <w:rPr>
                <w:rFonts w:ascii="Times New Roman" w:hAnsi="Times New Roman" w:cs="Times New Roman"/>
                <w:color w:val="000000"/>
                <w:sz w:val="16"/>
                <w:szCs w:val="16"/>
              </w:rPr>
            </w:pPr>
            <w:r w:rsidRPr="00CA0AE3">
              <w:rPr>
                <w:rFonts w:ascii="Times New Roman" w:hAnsi="Times New Roman" w:cs="Times New Roman"/>
                <w:color w:val="000000"/>
                <w:sz w:val="16"/>
                <w:szCs w:val="16"/>
              </w:rPr>
              <w:t>Cambridge, Somerville, Everett, Malden, Revere, Statewide</w:t>
            </w:r>
          </w:p>
        </w:tc>
        <w:tc>
          <w:tcPr>
            <w:tcW w:w="408" w:type="pct"/>
            <w:vAlign w:val="center"/>
          </w:tcPr>
          <w:p w:rsidR="00E52B7B" w:rsidRPr="00CA0AE3" w:rsidRDefault="00E52B7B" w:rsidP="00E52B7B">
            <w:pPr>
              <w:spacing w:after="0" w:line="240" w:lineRule="auto"/>
              <w:jc w:val="center"/>
              <w:rPr>
                <w:rFonts w:ascii="Times New Roman" w:hAnsi="Times New Roman" w:cs="Times New Roman"/>
                <w:sz w:val="16"/>
                <w:szCs w:val="16"/>
              </w:rPr>
            </w:pPr>
            <w:r w:rsidRPr="00CA0AE3">
              <w:rPr>
                <w:rFonts w:ascii="Times New Roman" w:eastAsia="Times New Roman" w:hAnsi="Times New Roman" w:cs="Times New Roman"/>
                <w:sz w:val="16"/>
                <w:szCs w:val="16"/>
              </w:rPr>
              <w:t>R</w:t>
            </w:r>
          </w:p>
        </w:tc>
        <w:tc>
          <w:tcPr>
            <w:tcW w:w="408" w:type="pct"/>
            <w:vAlign w:val="center"/>
          </w:tcPr>
          <w:p w:rsidR="00E52B7B" w:rsidRPr="00CA0AE3" w:rsidRDefault="00E52B7B" w:rsidP="00E52B7B">
            <w:pPr>
              <w:spacing w:after="0" w:line="240" w:lineRule="auto"/>
              <w:jc w:val="center"/>
              <w:rPr>
                <w:rFonts w:ascii="Times New Roman" w:eastAsia="Times New Roman" w:hAnsi="Times New Roman" w:cs="Times New Roman"/>
                <w:sz w:val="16"/>
                <w:szCs w:val="16"/>
              </w:rPr>
            </w:pPr>
            <w:r w:rsidRPr="00CA0AE3">
              <w:rPr>
                <w:rFonts w:ascii="Times New Roman" w:eastAsia="Times New Roman" w:hAnsi="Times New Roman" w:cs="Times New Roman"/>
                <w:sz w:val="16"/>
                <w:szCs w:val="16"/>
              </w:rPr>
              <w:t>R</w:t>
            </w:r>
          </w:p>
        </w:tc>
        <w:tc>
          <w:tcPr>
            <w:tcW w:w="408" w:type="pct"/>
            <w:vAlign w:val="center"/>
          </w:tcPr>
          <w:p w:rsidR="00E52B7B" w:rsidRPr="00CA0AE3" w:rsidRDefault="00E52B7B" w:rsidP="00E52B7B">
            <w:pPr>
              <w:spacing w:after="0" w:line="240" w:lineRule="auto"/>
              <w:jc w:val="center"/>
              <w:rPr>
                <w:rFonts w:ascii="Times New Roman" w:eastAsia="Times New Roman" w:hAnsi="Times New Roman" w:cs="Times New Roman"/>
                <w:sz w:val="16"/>
                <w:szCs w:val="16"/>
              </w:rPr>
            </w:pPr>
            <w:r w:rsidRPr="00CA0AE3">
              <w:rPr>
                <w:rFonts w:ascii="Times New Roman" w:eastAsia="Times New Roman" w:hAnsi="Times New Roman" w:cs="Times New Roman"/>
                <w:sz w:val="16"/>
                <w:szCs w:val="16"/>
              </w:rPr>
              <w:t>R</w:t>
            </w:r>
          </w:p>
        </w:tc>
        <w:tc>
          <w:tcPr>
            <w:tcW w:w="408" w:type="pct"/>
            <w:vAlign w:val="center"/>
          </w:tcPr>
          <w:p w:rsidR="00E52B7B" w:rsidRPr="00CA0AE3" w:rsidRDefault="00E52B7B" w:rsidP="00E52B7B">
            <w:pPr>
              <w:spacing w:after="0" w:line="240" w:lineRule="auto"/>
              <w:jc w:val="center"/>
              <w:rPr>
                <w:rFonts w:ascii="Times New Roman" w:eastAsia="Times New Roman" w:hAnsi="Times New Roman" w:cs="Times New Roman"/>
                <w:sz w:val="16"/>
                <w:szCs w:val="16"/>
              </w:rPr>
            </w:pPr>
            <w:r w:rsidRPr="00CA0AE3">
              <w:rPr>
                <w:rFonts w:ascii="Times New Roman" w:eastAsia="Times New Roman" w:hAnsi="Times New Roman" w:cs="Times New Roman"/>
                <w:sz w:val="16"/>
                <w:szCs w:val="16"/>
              </w:rPr>
              <w:t>R</w:t>
            </w:r>
          </w:p>
        </w:tc>
        <w:tc>
          <w:tcPr>
            <w:tcW w:w="408" w:type="pct"/>
            <w:vAlign w:val="center"/>
          </w:tcPr>
          <w:p w:rsidR="00E52B7B" w:rsidRPr="00CA0AE3" w:rsidRDefault="00E52B7B" w:rsidP="00E52B7B">
            <w:pPr>
              <w:spacing w:after="0" w:line="240" w:lineRule="auto"/>
              <w:jc w:val="center"/>
              <w:rPr>
                <w:rFonts w:ascii="Times New Roman" w:eastAsia="Times New Roman" w:hAnsi="Times New Roman" w:cs="Times New Roman"/>
                <w:sz w:val="16"/>
                <w:szCs w:val="16"/>
              </w:rPr>
            </w:pPr>
            <w:r w:rsidRPr="00CA0AE3">
              <w:rPr>
                <w:rFonts w:ascii="Times New Roman" w:eastAsia="Times New Roman" w:hAnsi="Times New Roman" w:cs="Times New Roman"/>
                <w:sz w:val="16"/>
                <w:szCs w:val="16"/>
              </w:rPr>
              <w:t>R</w:t>
            </w:r>
          </w:p>
        </w:tc>
      </w:tr>
    </w:tbl>
    <w:p w:rsidR="00E52B7B" w:rsidRPr="00CA0AE3" w:rsidRDefault="00E52B7B" w:rsidP="00E52B7B">
      <w:pPr>
        <w:spacing w:after="0" w:line="240" w:lineRule="auto"/>
        <w:rPr>
          <w:i/>
          <w:sz w:val="18"/>
          <w:szCs w:val="18"/>
        </w:rPr>
      </w:pPr>
      <w:r w:rsidRPr="00CA0AE3">
        <w:rPr>
          <w:sz w:val="18"/>
          <w:szCs w:val="18"/>
        </w:rPr>
        <w:t>*</w:t>
      </w:r>
      <w:r w:rsidRPr="00CA0AE3">
        <w:rPr>
          <w:i/>
          <w:sz w:val="18"/>
          <w:szCs w:val="18"/>
        </w:rPr>
        <w:t>Age-adjusted and age-specific rates are expressed per 100,000 persons.</w:t>
      </w:r>
    </w:p>
    <w:p w:rsidR="00E52B7B" w:rsidRPr="00E52B7B" w:rsidRDefault="00E52B7B" w:rsidP="00E52B7B">
      <w:pPr>
        <w:spacing w:after="0" w:line="240" w:lineRule="auto"/>
        <w:rPr>
          <w:i/>
          <w:sz w:val="18"/>
          <w:szCs w:val="18"/>
        </w:rPr>
      </w:pPr>
      <w:r w:rsidRPr="00CA0AE3">
        <w:rPr>
          <w:i/>
          <w:sz w:val="18"/>
          <w:szCs w:val="18"/>
        </w:rPr>
        <w:t>^ Measures are reported using the most recent available data from public sources.</w:t>
      </w:r>
    </w:p>
    <w:p w:rsidR="00E52B7B" w:rsidRPr="00E52B7B" w:rsidRDefault="00E52B7B" w:rsidP="00E52B7B">
      <w:pPr>
        <w:spacing w:after="0" w:line="240" w:lineRule="auto"/>
      </w:pPr>
    </w:p>
    <w:p w:rsidR="001A296D" w:rsidRPr="00E52B7B" w:rsidRDefault="001A296D" w:rsidP="00E52B7B">
      <w:pPr>
        <w:pStyle w:val="Default"/>
        <w:rPr>
          <w:sz w:val="18"/>
          <w:szCs w:val="18"/>
        </w:rPr>
      </w:pPr>
    </w:p>
    <w:p w:rsidR="008E52F7" w:rsidRDefault="00C947DF">
      <w:pPr>
        <w:pStyle w:val="ListParagraph"/>
        <w:autoSpaceDE w:val="0"/>
        <w:autoSpaceDN w:val="0"/>
        <w:adjustRightInd w:val="0"/>
        <w:spacing w:after="0" w:line="240" w:lineRule="auto"/>
        <w:ind w:left="1080"/>
        <w:contextualSpacing w:val="0"/>
        <w:jc w:val="both"/>
      </w:pPr>
      <w:r w:rsidRPr="00E52B7B">
        <w:tab/>
      </w:r>
    </w:p>
    <w:p w:rsidR="008E52F7" w:rsidRDefault="008E52F7">
      <w:pPr>
        <w:spacing w:after="0" w:line="240" w:lineRule="auto"/>
      </w:pPr>
      <w:r>
        <w:br w:type="page"/>
      </w:r>
    </w:p>
    <w:p w:rsidR="005F46C3" w:rsidRPr="00CA2FE3" w:rsidRDefault="008E52F7">
      <w:pPr>
        <w:pStyle w:val="ListParagraph"/>
        <w:autoSpaceDE w:val="0"/>
        <w:autoSpaceDN w:val="0"/>
        <w:adjustRightInd w:val="0"/>
        <w:spacing w:after="0" w:line="240" w:lineRule="auto"/>
        <w:ind w:left="1080"/>
        <w:contextualSpacing w:val="0"/>
        <w:jc w:val="both"/>
        <w:rPr>
          <w:b/>
        </w:rPr>
      </w:pPr>
      <w:r w:rsidRPr="00CA2FE3">
        <w:rPr>
          <w:b/>
        </w:rPr>
        <w:lastRenderedPageBreak/>
        <w:t>Appendix: Measure Slates 1-6</w:t>
      </w:r>
    </w:p>
    <w:p w:rsidR="008E52F7" w:rsidRDefault="008E52F7">
      <w:pPr>
        <w:pStyle w:val="ListParagraph"/>
        <w:autoSpaceDE w:val="0"/>
        <w:autoSpaceDN w:val="0"/>
        <w:adjustRightInd w:val="0"/>
        <w:spacing w:after="0" w:line="240" w:lineRule="auto"/>
        <w:ind w:left="1080"/>
        <w:contextualSpacing w:val="0"/>
        <w:jc w:val="both"/>
      </w:pPr>
    </w:p>
    <w:tbl>
      <w:tblPr>
        <w:tblW w:w="0" w:type="auto"/>
        <w:jc w:val="center"/>
        <w:tblCellMar>
          <w:left w:w="0" w:type="dxa"/>
          <w:right w:w="0" w:type="dxa"/>
        </w:tblCellMar>
        <w:tblLook w:val="04A0" w:firstRow="1" w:lastRow="0" w:firstColumn="1" w:lastColumn="0" w:noHBand="0" w:noVBand="1"/>
      </w:tblPr>
      <w:tblGrid>
        <w:gridCol w:w="371"/>
        <w:gridCol w:w="1455"/>
        <w:gridCol w:w="1103"/>
        <w:gridCol w:w="1363"/>
        <w:gridCol w:w="1431"/>
        <w:gridCol w:w="1068"/>
        <w:gridCol w:w="1068"/>
        <w:gridCol w:w="1069"/>
        <w:gridCol w:w="1068"/>
        <w:gridCol w:w="1069"/>
        <w:gridCol w:w="1875"/>
      </w:tblGrid>
      <w:tr w:rsidR="008E52F7" w:rsidRPr="00CA0AE3" w:rsidTr="003C48F3">
        <w:trPr>
          <w:cantSplit/>
          <w:jc w:val="center"/>
        </w:trPr>
        <w:tc>
          <w:tcPr>
            <w:tcW w:w="0" w:type="auto"/>
            <w:gridSpan w:val="11"/>
            <w:tcBorders>
              <w:top w:val="single" w:sz="8" w:space="0" w:color="000000"/>
              <w:left w:val="single" w:sz="8" w:space="0" w:color="000000"/>
              <w:bottom w:val="single" w:sz="8" w:space="0" w:color="000000"/>
              <w:right w:val="single" w:sz="8" w:space="0" w:color="000000"/>
            </w:tcBorders>
            <w:shd w:val="clear" w:color="auto" w:fill="C6D9F1" w:themeFill="text2" w:themeFillTint="33"/>
          </w:tcPr>
          <w:p w:rsidR="008E52F7" w:rsidRPr="00CA0AE3" w:rsidRDefault="008E52F7" w:rsidP="008E52F7">
            <w:pPr>
              <w:spacing w:after="0" w:line="240" w:lineRule="auto"/>
              <w:rPr>
                <w:rFonts w:eastAsia="Times New Roman"/>
                <w:b/>
                <w:bCs/>
                <w:color w:val="000000"/>
                <w:kern w:val="24"/>
                <w:sz w:val="20"/>
                <w:szCs w:val="20"/>
              </w:rPr>
            </w:pPr>
            <w:r w:rsidRPr="00CA0AE3">
              <w:rPr>
                <w:rFonts w:eastAsia="Times New Roman"/>
                <w:b/>
                <w:bCs/>
                <w:color w:val="000000"/>
                <w:kern w:val="24"/>
                <w:sz w:val="20"/>
                <w:szCs w:val="20"/>
              </w:rPr>
              <w:t>Required Measure Slate:  Improvement and Outcomes Measures</w:t>
            </w:r>
          </w:p>
          <w:p w:rsidR="008E52F7" w:rsidRPr="00CA0AE3" w:rsidRDefault="008E52F7" w:rsidP="008E52F7">
            <w:pPr>
              <w:spacing w:after="0" w:line="240" w:lineRule="auto"/>
              <w:rPr>
                <w:rFonts w:eastAsia="Times New Roman"/>
                <w:b/>
                <w:bCs/>
                <w:color w:val="000000"/>
                <w:kern w:val="24"/>
                <w:sz w:val="20"/>
                <w:szCs w:val="20"/>
              </w:rPr>
            </w:pPr>
            <w:r w:rsidRPr="00CA0AE3">
              <w:rPr>
                <w:b/>
                <w:i/>
                <w:sz w:val="20"/>
                <w:szCs w:val="20"/>
              </w:rPr>
              <w:t xml:space="preserve">(Achieve 2 out of 4 in Year 1, 4 of 11 Outcome Measures in Year 2, 5 out of </w:t>
            </w:r>
            <w:proofErr w:type="gramStart"/>
            <w:r w:rsidRPr="00CA0AE3">
              <w:rPr>
                <w:b/>
                <w:i/>
                <w:sz w:val="20"/>
                <w:szCs w:val="20"/>
              </w:rPr>
              <w:t>11  in</w:t>
            </w:r>
            <w:proofErr w:type="gramEnd"/>
            <w:r w:rsidRPr="00CA0AE3">
              <w:rPr>
                <w:b/>
                <w:i/>
                <w:sz w:val="20"/>
                <w:szCs w:val="20"/>
              </w:rPr>
              <w:t xml:space="preserve"> Year 3, 6 out of 11 in Year 4, and 7 out of 11 in Year 5).</w:t>
            </w:r>
          </w:p>
        </w:tc>
      </w:tr>
      <w:tr w:rsidR="008E52F7" w:rsidRPr="00CA0AE3" w:rsidTr="003C48F3">
        <w:trPr>
          <w:cantSplit/>
          <w:jc w:val="center"/>
        </w:trPr>
        <w:tc>
          <w:tcPr>
            <w:tcW w:w="0" w:type="auto"/>
            <w:gridSpan w:val="2"/>
            <w:tcBorders>
              <w:top w:val="single" w:sz="8" w:space="0" w:color="000000"/>
              <w:left w:val="single" w:sz="8" w:space="0" w:color="000000"/>
              <w:bottom w:val="single" w:sz="8" w:space="0" w:color="000000"/>
              <w:right w:val="single" w:sz="8" w:space="0" w:color="000000"/>
            </w:tcBorders>
            <w:shd w:val="clear" w:color="auto" w:fill="C6D9F1" w:themeFill="text2" w:themeFillTint="33"/>
            <w:vAlign w:val="center"/>
          </w:tcPr>
          <w:p w:rsidR="008E52F7" w:rsidRPr="00CA0AE3" w:rsidRDefault="008E52F7" w:rsidP="008E52F7">
            <w:pPr>
              <w:spacing w:after="0" w:line="240" w:lineRule="auto"/>
              <w:jc w:val="center"/>
              <w:rPr>
                <w:rFonts w:eastAsia="Times New Roman"/>
                <w:b/>
                <w:bCs/>
                <w:color w:val="000000"/>
                <w:kern w:val="24"/>
                <w:sz w:val="20"/>
                <w:szCs w:val="20"/>
              </w:rPr>
            </w:pPr>
            <w:r w:rsidRPr="00CA0AE3">
              <w:rPr>
                <w:rFonts w:eastAsia="Times New Roman"/>
                <w:b/>
                <w:bCs/>
                <w:color w:val="000000"/>
                <w:kern w:val="24"/>
                <w:sz w:val="20"/>
                <w:szCs w:val="20"/>
              </w:rPr>
              <w:t>Measure Slate 1</w:t>
            </w:r>
          </w:p>
        </w:tc>
        <w:tc>
          <w:tcPr>
            <w:tcW w:w="0" w:type="auto"/>
            <w:gridSpan w:val="3"/>
            <w:tcBorders>
              <w:top w:val="single" w:sz="8" w:space="0" w:color="000000"/>
              <w:left w:val="single" w:sz="8" w:space="0" w:color="000000"/>
              <w:bottom w:val="single" w:sz="8" w:space="0" w:color="000000"/>
              <w:right w:val="single" w:sz="8" w:space="0" w:color="000000"/>
            </w:tcBorders>
            <w:shd w:val="clear" w:color="auto" w:fill="C6D9F1" w:themeFill="text2" w:themeFillTint="33"/>
            <w:tcMar>
              <w:top w:w="13" w:type="dxa"/>
              <w:left w:w="93" w:type="dxa"/>
              <w:bottom w:w="0" w:type="dxa"/>
              <w:right w:w="93" w:type="dxa"/>
            </w:tcMar>
            <w:vAlign w:val="center"/>
            <w:hideMark/>
          </w:tcPr>
          <w:p w:rsidR="008E52F7" w:rsidRPr="00CA0AE3" w:rsidRDefault="008E52F7" w:rsidP="008E52F7">
            <w:pPr>
              <w:spacing w:after="0" w:line="240" w:lineRule="auto"/>
              <w:jc w:val="center"/>
              <w:rPr>
                <w:rFonts w:eastAsia="Times New Roman"/>
                <w:b/>
                <w:bCs/>
                <w:kern w:val="24"/>
                <w:sz w:val="20"/>
                <w:szCs w:val="20"/>
              </w:rPr>
            </w:pPr>
            <w:r w:rsidRPr="00CA0AE3">
              <w:rPr>
                <w:rFonts w:eastAsia="Times New Roman"/>
                <w:b/>
                <w:bCs/>
                <w:kern w:val="24"/>
                <w:sz w:val="20"/>
                <w:szCs w:val="20"/>
              </w:rPr>
              <w:t>1:  Behavioral Health and Primary Care Integration</w:t>
            </w:r>
          </w:p>
        </w:tc>
        <w:tc>
          <w:tcPr>
            <w:tcW w:w="1068" w:type="dxa"/>
            <w:tcBorders>
              <w:top w:val="single" w:sz="8" w:space="0" w:color="000000"/>
              <w:left w:val="single" w:sz="8" w:space="0" w:color="000000"/>
              <w:bottom w:val="single" w:sz="8" w:space="0" w:color="000000"/>
              <w:right w:val="single" w:sz="8" w:space="0" w:color="000000"/>
            </w:tcBorders>
            <w:shd w:val="clear" w:color="auto" w:fill="C6D9F1" w:themeFill="text2" w:themeFillTint="33"/>
            <w:vAlign w:val="center"/>
          </w:tcPr>
          <w:p w:rsidR="008E52F7" w:rsidRPr="00CA0AE3" w:rsidRDefault="008E52F7" w:rsidP="008E52F7">
            <w:pPr>
              <w:spacing w:after="0" w:line="240" w:lineRule="auto"/>
              <w:jc w:val="center"/>
              <w:rPr>
                <w:rFonts w:eastAsia="Times New Roman"/>
                <w:b/>
                <w:bCs/>
                <w:kern w:val="24"/>
                <w:sz w:val="20"/>
                <w:szCs w:val="20"/>
              </w:rPr>
            </w:pPr>
            <w:r w:rsidRPr="00CA0AE3">
              <w:rPr>
                <w:rFonts w:eastAsia="Times New Roman"/>
                <w:b/>
                <w:bCs/>
                <w:kern w:val="24"/>
                <w:sz w:val="20"/>
                <w:szCs w:val="20"/>
              </w:rPr>
              <w:t xml:space="preserve">Achieve 2 </w:t>
            </w:r>
          </w:p>
          <w:p w:rsidR="008E52F7" w:rsidRPr="00CA0AE3" w:rsidRDefault="008E52F7" w:rsidP="008E52F7">
            <w:pPr>
              <w:spacing w:after="0" w:line="240" w:lineRule="auto"/>
              <w:jc w:val="center"/>
              <w:rPr>
                <w:rFonts w:eastAsia="Times New Roman"/>
                <w:b/>
                <w:bCs/>
                <w:kern w:val="24"/>
                <w:sz w:val="20"/>
                <w:szCs w:val="20"/>
              </w:rPr>
            </w:pPr>
            <w:r w:rsidRPr="00CA0AE3">
              <w:rPr>
                <w:rFonts w:eastAsia="Times New Roman"/>
                <w:b/>
                <w:bCs/>
                <w:kern w:val="24"/>
                <w:sz w:val="20"/>
                <w:szCs w:val="20"/>
              </w:rPr>
              <w:t>of 4 Measures</w:t>
            </w:r>
          </w:p>
        </w:tc>
        <w:tc>
          <w:tcPr>
            <w:tcW w:w="1068" w:type="dxa"/>
            <w:tcBorders>
              <w:top w:val="single" w:sz="8" w:space="0" w:color="000000"/>
              <w:left w:val="single" w:sz="8" w:space="0" w:color="000000"/>
              <w:bottom w:val="single" w:sz="8" w:space="0" w:color="000000"/>
              <w:right w:val="single" w:sz="8" w:space="0" w:color="000000"/>
            </w:tcBorders>
            <w:shd w:val="clear" w:color="auto" w:fill="C6D9F1" w:themeFill="text2" w:themeFillTint="33"/>
            <w:tcMar>
              <w:top w:w="13" w:type="dxa"/>
              <w:left w:w="93" w:type="dxa"/>
              <w:bottom w:w="0" w:type="dxa"/>
              <w:right w:w="93" w:type="dxa"/>
            </w:tcMar>
            <w:vAlign w:val="center"/>
            <w:hideMark/>
          </w:tcPr>
          <w:p w:rsidR="008E52F7" w:rsidRPr="00CA0AE3" w:rsidRDefault="008E52F7" w:rsidP="008E52F7">
            <w:pPr>
              <w:spacing w:after="0" w:line="240" w:lineRule="auto"/>
              <w:jc w:val="center"/>
              <w:rPr>
                <w:rFonts w:eastAsia="Times New Roman"/>
                <w:b/>
                <w:bCs/>
                <w:kern w:val="24"/>
                <w:sz w:val="20"/>
                <w:szCs w:val="20"/>
              </w:rPr>
            </w:pPr>
            <w:r w:rsidRPr="00CA0AE3">
              <w:rPr>
                <w:rFonts w:eastAsia="Times New Roman"/>
                <w:b/>
                <w:bCs/>
                <w:kern w:val="24"/>
                <w:sz w:val="20"/>
                <w:szCs w:val="20"/>
              </w:rPr>
              <w:t>Achieve 4 of 11 Measures</w:t>
            </w:r>
          </w:p>
        </w:tc>
        <w:tc>
          <w:tcPr>
            <w:tcW w:w="1069" w:type="dxa"/>
            <w:tcBorders>
              <w:top w:val="single" w:sz="8" w:space="0" w:color="000000"/>
              <w:left w:val="single" w:sz="8" w:space="0" w:color="000000"/>
              <w:bottom w:val="single" w:sz="8" w:space="0" w:color="000000"/>
              <w:right w:val="single" w:sz="8" w:space="0" w:color="000000"/>
            </w:tcBorders>
            <w:shd w:val="clear" w:color="auto" w:fill="C6D9F1" w:themeFill="text2" w:themeFillTint="33"/>
            <w:tcMar>
              <w:top w:w="13" w:type="dxa"/>
              <w:left w:w="93" w:type="dxa"/>
              <w:bottom w:w="0" w:type="dxa"/>
              <w:right w:w="93" w:type="dxa"/>
            </w:tcMar>
            <w:vAlign w:val="center"/>
            <w:hideMark/>
          </w:tcPr>
          <w:p w:rsidR="008E52F7" w:rsidRPr="00CA0AE3" w:rsidRDefault="008E52F7" w:rsidP="008E52F7">
            <w:pPr>
              <w:spacing w:after="0" w:line="240" w:lineRule="auto"/>
              <w:jc w:val="center"/>
              <w:rPr>
                <w:rFonts w:eastAsia="Times New Roman"/>
                <w:b/>
                <w:bCs/>
                <w:kern w:val="24"/>
                <w:sz w:val="20"/>
                <w:szCs w:val="20"/>
              </w:rPr>
            </w:pPr>
            <w:r w:rsidRPr="00CA0AE3">
              <w:rPr>
                <w:rFonts w:eastAsia="Times New Roman"/>
                <w:b/>
                <w:bCs/>
                <w:kern w:val="24"/>
                <w:sz w:val="20"/>
                <w:szCs w:val="20"/>
              </w:rPr>
              <w:t>Achieve 5 of 11 Measures</w:t>
            </w:r>
          </w:p>
        </w:tc>
        <w:tc>
          <w:tcPr>
            <w:tcW w:w="1068" w:type="dxa"/>
            <w:tcBorders>
              <w:top w:val="single" w:sz="8" w:space="0" w:color="000000"/>
              <w:left w:val="single" w:sz="8" w:space="0" w:color="000000"/>
              <w:bottom w:val="single" w:sz="8" w:space="0" w:color="000000"/>
              <w:right w:val="single" w:sz="8" w:space="0" w:color="000000"/>
            </w:tcBorders>
            <w:shd w:val="clear" w:color="auto" w:fill="C6D9F1" w:themeFill="text2" w:themeFillTint="33"/>
            <w:tcMar>
              <w:top w:w="13" w:type="dxa"/>
              <w:left w:w="93" w:type="dxa"/>
              <w:bottom w:w="0" w:type="dxa"/>
              <w:right w:w="93" w:type="dxa"/>
            </w:tcMar>
            <w:vAlign w:val="center"/>
            <w:hideMark/>
          </w:tcPr>
          <w:p w:rsidR="008E52F7" w:rsidRPr="00CA0AE3" w:rsidRDefault="008E52F7" w:rsidP="008E52F7">
            <w:pPr>
              <w:spacing w:after="0" w:line="240" w:lineRule="auto"/>
              <w:jc w:val="center"/>
              <w:rPr>
                <w:rFonts w:eastAsia="Times New Roman"/>
                <w:b/>
                <w:bCs/>
                <w:kern w:val="24"/>
                <w:sz w:val="20"/>
                <w:szCs w:val="20"/>
              </w:rPr>
            </w:pPr>
            <w:r w:rsidRPr="00CA0AE3">
              <w:rPr>
                <w:rFonts w:eastAsia="Times New Roman"/>
                <w:b/>
                <w:bCs/>
                <w:kern w:val="24"/>
                <w:sz w:val="20"/>
                <w:szCs w:val="20"/>
              </w:rPr>
              <w:t>Achieve 6 of 11 Measures</w:t>
            </w:r>
          </w:p>
        </w:tc>
        <w:tc>
          <w:tcPr>
            <w:tcW w:w="1069" w:type="dxa"/>
            <w:tcBorders>
              <w:top w:val="single" w:sz="8" w:space="0" w:color="000000"/>
              <w:left w:val="single" w:sz="8" w:space="0" w:color="000000"/>
              <w:bottom w:val="single" w:sz="8" w:space="0" w:color="000000"/>
              <w:right w:val="single" w:sz="8" w:space="0" w:color="000000"/>
            </w:tcBorders>
            <w:shd w:val="clear" w:color="auto" w:fill="C6D9F1" w:themeFill="text2" w:themeFillTint="33"/>
            <w:tcMar>
              <w:top w:w="13" w:type="dxa"/>
              <w:left w:w="93" w:type="dxa"/>
              <w:bottom w:w="0" w:type="dxa"/>
              <w:right w:w="93" w:type="dxa"/>
            </w:tcMar>
            <w:vAlign w:val="center"/>
            <w:hideMark/>
          </w:tcPr>
          <w:p w:rsidR="008E52F7" w:rsidRPr="00CA0AE3" w:rsidRDefault="008E52F7" w:rsidP="008E52F7">
            <w:pPr>
              <w:spacing w:after="0" w:line="240" w:lineRule="auto"/>
              <w:jc w:val="center"/>
              <w:rPr>
                <w:rFonts w:eastAsia="Times New Roman"/>
                <w:b/>
                <w:bCs/>
                <w:kern w:val="24"/>
                <w:sz w:val="20"/>
                <w:szCs w:val="20"/>
              </w:rPr>
            </w:pPr>
            <w:r w:rsidRPr="00CA0AE3">
              <w:rPr>
                <w:rFonts w:eastAsia="Times New Roman"/>
                <w:b/>
                <w:bCs/>
                <w:kern w:val="24"/>
                <w:sz w:val="20"/>
                <w:szCs w:val="20"/>
              </w:rPr>
              <w:t>Achieve 7 of 11 Measures</w:t>
            </w:r>
          </w:p>
        </w:tc>
        <w:tc>
          <w:tcPr>
            <w:tcW w:w="0" w:type="auto"/>
            <w:tcBorders>
              <w:top w:val="single" w:sz="8" w:space="0" w:color="000000"/>
              <w:left w:val="single" w:sz="8" w:space="0" w:color="000000"/>
              <w:bottom w:val="single" w:sz="8" w:space="0" w:color="000000"/>
              <w:right w:val="single" w:sz="8" w:space="0" w:color="000000"/>
            </w:tcBorders>
            <w:shd w:val="clear" w:color="auto" w:fill="C6D9F1" w:themeFill="text2" w:themeFillTint="33"/>
            <w:vAlign w:val="center"/>
          </w:tcPr>
          <w:p w:rsidR="008E52F7" w:rsidRDefault="00CA2FE3" w:rsidP="00CA2FE3">
            <w:pPr>
              <w:spacing w:after="0" w:line="240" w:lineRule="auto"/>
              <w:rPr>
                <w:rFonts w:eastAsia="Times New Roman"/>
                <w:b/>
                <w:bCs/>
                <w:kern w:val="24"/>
                <w:sz w:val="20"/>
                <w:szCs w:val="20"/>
              </w:rPr>
            </w:pPr>
            <w:r>
              <w:rPr>
                <w:rFonts w:eastAsia="Times New Roman"/>
                <w:b/>
                <w:bCs/>
                <w:kern w:val="24"/>
                <w:sz w:val="20"/>
                <w:szCs w:val="20"/>
              </w:rPr>
              <w:t>Baseline (B)</w:t>
            </w:r>
          </w:p>
          <w:p w:rsidR="00CA2FE3" w:rsidRDefault="00CA2FE3" w:rsidP="00CA2FE3">
            <w:pPr>
              <w:spacing w:after="0" w:line="240" w:lineRule="auto"/>
              <w:rPr>
                <w:rFonts w:eastAsia="Times New Roman"/>
                <w:b/>
                <w:bCs/>
                <w:kern w:val="24"/>
                <w:sz w:val="20"/>
                <w:szCs w:val="20"/>
              </w:rPr>
            </w:pPr>
            <w:r>
              <w:rPr>
                <w:rFonts w:eastAsia="Times New Roman"/>
                <w:b/>
                <w:bCs/>
                <w:kern w:val="24"/>
                <w:sz w:val="20"/>
                <w:szCs w:val="20"/>
              </w:rPr>
              <w:t>Outcome (O)</w:t>
            </w:r>
          </w:p>
          <w:p w:rsidR="00CA2FE3" w:rsidRPr="00CA0AE3" w:rsidRDefault="00CA2FE3" w:rsidP="00CA2FE3">
            <w:pPr>
              <w:spacing w:after="0" w:line="240" w:lineRule="auto"/>
              <w:rPr>
                <w:rFonts w:eastAsia="Times New Roman"/>
                <w:b/>
                <w:bCs/>
                <w:kern w:val="24"/>
                <w:sz w:val="20"/>
                <w:szCs w:val="20"/>
              </w:rPr>
            </w:pPr>
            <w:r>
              <w:rPr>
                <w:rFonts w:eastAsia="Times New Roman"/>
                <w:b/>
                <w:bCs/>
                <w:kern w:val="24"/>
                <w:sz w:val="20"/>
                <w:szCs w:val="20"/>
              </w:rPr>
              <w:t>Reporting (R)</w:t>
            </w:r>
          </w:p>
        </w:tc>
      </w:tr>
      <w:tr w:rsidR="008E52F7" w:rsidRPr="00CA0AE3" w:rsidTr="003C48F3">
        <w:trPr>
          <w:cantSplit/>
          <w:jc w:val="center"/>
        </w:trPr>
        <w:tc>
          <w:tcPr>
            <w:tcW w:w="370" w:type="dxa"/>
            <w:tcBorders>
              <w:top w:val="single" w:sz="8" w:space="0" w:color="000000"/>
              <w:left w:val="single" w:sz="8" w:space="0" w:color="000000"/>
              <w:bottom w:val="single" w:sz="8" w:space="0" w:color="000000"/>
              <w:right w:val="single" w:sz="8" w:space="0" w:color="000000"/>
            </w:tcBorders>
            <w:shd w:val="clear" w:color="auto" w:fill="C6D9F1" w:themeFill="text2" w:themeFillTint="33"/>
            <w:vAlign w:val="center"/>
          </w:tcPr>
          <w:p w:rsidR="008E52F7" w:rsidRPr="00CA0AE3" w:rsidRDefault="008E52F7" w:rsidP="008E52F7">
            <w:pPr>
              <w:spacing w:after="0" w:line="240" w:lineRule="auto"/>
              <w:jc w:val="center"/>
              <w:rPr>
                <w:rFonts w:eastAsia="Times New Roman"/>
                <w:b/>
                <w:bCs/>
                <w:color w:val="000000"/>
                <w:kern w:val="24"/>
                <w:sz w:val="20"/>
                <w:szCs w:val="20"/>
              </w:rPr>
            </w:pPr>
            <w:r w:rsidRPr="00CA0AE3">
              <w:rPr>
                <w:rFonts w:eastAsia="Times New Roman"/>
                <w:b/>
                <w:bCs/>
                <w:color w:val="000000"/>
                <w:kern w:val="24"/>
                <w:sz w:val="20"/>
                <w:szCs w:val="20"/>
              </w:rPr>
              <w:t>#</w:t>
            </w:r>
          </w:p>
        </w:tc>
        <w:tc>
          <w:tcPr>
            <w:tcW w:w="1455" w:type="dxa"/>
            <w:tcBorders>
              <w:top w:val="single" w:sz="8" w:space="0" w:color="000000"/>
              <w:left w:val="single" w:sz="8" w:space="0" w:color="000000"/>
              <w:bottom w:val="single" w:sz="8" w:space="0" w:color="000000"/>
              <w:right w:val="single" w:sz="8" w:space="0" w:color="000000"/>
            </w:tcBorders>
            <w:shd w:val="clear" w:color="auto" w:fill="C6D9F1" w:themeFill="text2" w:themeFillTint="33"/>
            <w:tcMar>
              <w:top w:w="13" w:type="dxa"/>
              <w:left w:w="93" w:type="dxa"/>
              <w:bottom w:w="0" w:type="dxa"/>
              <w:right w:w="93" w:type="dxa"/>
            </w:tcMar>
            <w:vAlign w:val="center"/>
            <w:hideMark/>
          </w:tcPr>
          <w:p w:rsidR="008E52F7" w:rsidRPr="00CA0AE3" w:rsidRDefault="008E52F7" w:rsidP="008E52F7">
            <w:pPr>
              <w:spacing w:after="0" w:line="240" w:lineRule="auto"/>
              <w:jc w:val="center"/>
              <w:rPr>
                <w:rFonts w:eastAsia="Times New Roman"/>
                <w:sz w:val="20"/>
                <w:szCs w:val="20"/>
              </w:rPr>
            </w:pPr>
            <w:r w:rsidRPr="00CA0AE3">
              <w:rPr>
                <w:rFonts w:eastAsia="Times New Roman"/>
                <w:b/>
                <w:bCs/>
                <w:color w:val="000000"/>
                <w:kern w:val="24"/>
                <w:sz w:val="20"/>
                <w:szCs w:val="20"/>
              </w:rPr>
              <w:t>Measure Description</w:t>
            </w:r>
          </w:p>
        </w:tc>
        <w:tc>
          <w:tcPr>
            <w:tcW w:w="0" w:type="auto"/>
            <w:tcBorders>
              <w:top w:val="single" w:sz="8" w:space="0" w:color="000000"/>
              <w:left w:val="single" w:sz="8" w:space="0" w:color="000000"/>
              <w:bottom w:val="single" w:sz="8" w:space="0" w:color="000000"/>
              <w:right w:val="single" w:sz="8" w:space="0" w:color="000000"/>
            </w:tcBorders>
            <w:shd w:val="clear" w:color="auto" w:fill="C6D9F1" w:themeFill="text2" w:themeFillTint="33"/>
            <w:tcMar>
              <w:top w:w="13" w:type="dxa"/>
              <w:left w:w="93" w:type="dxa"/>
              <w:bottom w:w="0" w:type="dxa"/>
              <w:right w:w="93" w:type="dxa"/>
            </w:tcMar>
            <w:vAlign w:val="center"/>
            <w:hideMark/>
          </w:tcPr>
          <w:p w:rsidR="008E52F7" w:rsidRPr="00CA0AE3" w:rsidRDefault="008E52F7" w:rsidP="008E52F7">
            <w:pPr>
              <w:spacing w:after="0" w:line="240" w:lineRule="auto"/>
              <w:jc w:val="center"/>
              <w:rPr>
                <w:rFonts w:eastAsia="Times New Roman"/>
                <w:color w:val="000000"/>
                <w:kern w:val="24"/>
                <w:sz w:val="20"/>
                <w:szCs w:val="20"/>
              </w:rPr>
            </w:pPr>
            <w:r w:rsidRPr="00CA0AE3">
              <w:rPr>
                <w:rFonts w:eastAsia="Times New Roman"/>
                <w:b/>
                <w:bCs/>
                <w:color w:val="000000"/>
                <w:kern w:val="24"/>
                <w:sz w:val="20"/>
                <w:szCs w:val="20"/>
              </w:rPr>
              <w:t>Measure Steward</w:t>
            </w:r>
          </w:p>
          <w:p w:rsidR="008E52F7" w:rsidRPr="00CA0AE3" w:rsidRDefault="008E52F7" w:rsidP="008E52F7">
            <w:pPr>
              <w:spacing w:after="0" w:line="240" w:lineRule="auto"/>
              <w:jc w:val="center"/>
              <w:rPr>
                <w:rFonts w:eastAsia="Times New Roman"/>
                <w:b/>
                <w:sz w:val="20"/>
                <w:szCs w:val="20"/>
              </w:rPr>
            </w:pPr>
            <w:r w:rsidRPr="00CA0AE3">
              <w:rPr>
                <w:rFonts w:eastAsia="Times New Roman"/>
                <w:b/>
                <w:color w:val="000000"/>
                <w:kern w:val="24"/>
                <w:sz w:val="20"/>
                <w:szCs w:val="20"/>
              </w:rPr>
              <w:t>NQF#</w:t>
            </w:r>
          </w:p>
        </w:tc>
        <w:tc>
          <w:tcPr>
            <w:tcW w:w="0" w:type="auto"/>
            <w:tcBorders>
              <w:top w:val="single" w:sz="8" w:space="0" w:color="000000"/>
              <w:left w:val="single" w:sz="8" w:space="0" w:color="000000"/>
              <w:bottom w:val="single" w:sz="8" w:space="0" w:color="000000"/>
              <w:right w:val="single" w:sz="8" w:space="0" w:color="000000"/>
            </w:tcBorders>
            <w:shd w:val="clear" w:color="auto" w:fill="C6D9F1" w:themeFill="text2" w:themeFillTint="33"/>
            <w:tcMar>
              <w:top w:w="13" w:type="dxa"/>
              <w:left w:w="93" w:type="dxa"/>
              <w:bottom w:w="0" w:type="dxa"/>
              <w:right w:w="93" w:type="dxa"/>
            </w:tcMar>
            <w:vAlign w:val="center"/>
            <w:hideMark/>
          </w:tcPr>
          <w:p w:rsidR="008E52F7" w:rsidRPr="00CA0AE3" w:rsidRDefault="008E52F7" w:rsidP="008E52F7">
            <w:pPr>
              <w:spacing w:after="0" w:line="240" w:lineRule="auto"/>
              <w:jc w:val="center"/>
              <w:rPr>
                <w:rFonts w:eastAsia="Times New Roman"/>
                <w:sz w:val="20"/>
                <w:szCs w:val="20"/>
              </w:rPr>
            </w:pPr>
            <w:r w:rsidRPr="00CA0AE3">
              <w:rPr>
                <w:rFonts w:eastAsia="Times New Roman"/>
                <w:b/>
                <w:bCs/>
                <w:color w:val="000000"/>
                <w:kern w:val="24"/>
                <w:sz w:val="20"/>
                <w:szCs w:val="20"/>
              </w:rPr>
              <w:t>Benchmark</w:t>
            </w:r>
          </w:p>
        </w:tc>
        <w:tc>
          <w:tcPr>
            <w:tcW w:w="0" w:type="auto"/>
            <w:tcBorders>
              <w:top w:val="single" w:sz="8" w:space="0" w:color="000000"/>
              <w:left w:val="single" w:sz="8" w:space="0" w:color="000000"/>
              <w:bottom w:val="single" w:sz="8" w:space="0" w:color="000000"/>
              <w:right w:val="single" w:sz="8" w:space="0" w:color="000000"/>
            </w:tcBorders>
            <w:shd w:val="clear" w:color="auto" w:fill="C6D9F1" w:themeFill="text2" w:themeFillTint="33"/>
            <w:tcMar>
              <w:top w:w="13" w:type="dxa"/>
              <w:left w:w="93" w:type="dxa"/>
              <w:bottom w:w="0" w:type="dxa"/>
              <w:right w:w="93" w:type="dxa"/>
            </w:tcMar>
            <w:vAlign w:val="center"/>
            <w:hideMark/>
          </w:tcPr>
          <w:p w:rsidR="008E52F7" w:rsidRPr="00CA0AE3" w:rsidRDefault="008E52F7" w:rsidP="008E52F7">
            <w:pPr>
              <w:spacing w:after="0" w:line="240" w:lineRule="auto"/>
              <w:jc w:val="center"/>
              <w:rPr>
                <w:rFonts w:eastAsia="Times New Roman"/>
                <w:sz w:val="20"/>
                <w:szCs w:val="20"/>
              </w:rPr>
            </w:pPr>
            <w:r w:rsidRPr="00CA0AE3">
              <w:rPr>
                <w:rFonts w:eastAsia="Times New Roman"/>
                <w:b/>
                <w:bCs/>
                <w:color w:val="000000"/>
                <w:kern w:val="24"/>
                <w:sz w:val="20"/>
                <w:szCs w:val="20"/>
              </w:rPr>
              <w:t>Improvement Methodology</w:t>
            </w:r>
          </w:p>
        </w:tc>
        <w:tc>
          <w:tcPr>
            <w:tcW w:w="1068" w:type="dxa"/>
            <w:tcBorders>
              <w:top w:val="single" w:sz="8" w:space="0" w:color="000000"/>
              <w:left w:val="single" w:sz="8" w:space="0" w:color="000000"/>
              <w:bottom w:val="single" w:sz="8" w:space="0" w:color="000000"/>
              <w:right w:val="single" w:sz="8" w:space="0" w:color="000000"/>
            </w:tcBorders>
            <w:shd w:val="clear" w:color="auto" w:fill="C6D9F1" w:themeFill="text2" w:themeFillTint="33"/>
            <w:tcMar>
              <w:top w:w="13" w:type="dxa"/>
              <w:left w:w="93" w:type="dxa"/>
              <w:bottom w:w="0" w:type="dxa"/>
              <w:right w:w="93" w:type="dxa"/>
            </w:tcMar>
            <w:vAlign w:val="center"/>
            <w:hideMark/>
          </w:tcPr>
          <w:p w:rsidR="008E52F7" w:rsidRPr="00CA0AE3" w:rsidRDefault="008E52F7" w:rsidP="008E52F7">
            <w:pPr>
              <w:spacing w:after="0" w:line="240" w:lineRule="auto"/>
              <w:jc w:val="center"/>
              <w:rPr>
                <w:rFonts w:eastAsia="Times New Roman"/>
                <w:color w:val="000000"/>
                <w:kern w:val="24"/>
                <w:sz w:val="20"/>
                <w:szCs w:val="20"/>
              </w:rPr>
            </w:pPr>
            <w:r w:rsidRPr="00CA0AE3">
              <w:rPr>
                <w:rFonts w:eastAsia="Times New Roman"/>
                <w:b/>
                <w:bCs/>
                <w:color w:val="000000"/>
                <w:kern w:val="24"/>
                <w:sz w:val="20"/>
                <w:szCs w:val="20"/>
              </w:rPr>
              <w:t>Year 1</w:t>
            </w:r>
          </w:p>
          <w:p w:rsidR="008E52F7" w:rsidRPr="00CA0AE3" w:rsidRDefault="008E52F7" w:rsidP="008E52F7">
            <w:pPr>
              <w:spacing w:after="0" w:line="240" w:lineRule="auto"/>
              <w:jc w:val="center"/>
              <w:rPr>
                <w:rFonts w:eastAsia="Times New Roman"/>
                <w:sz w:val="20"/>
                <w:szCs w:val="20"/>
              </w:rPr>
            </w:pPr>
            <w:r w:rsidRPr="00CA0AE3">
              <w:rPr>
                <w:rFonts w:eastAsia="Times New Roman"/>
                <w:color w:val="000000"/>
                <w:kern w:val="24"/>
                <w:sz w:val="20"/>
                <w:szCs w:val="20"/>
              </w:rPr>
              <w:t>SFY 2018</w:t>
            </w:r>
          </w:p>
        </w:tc>
        <w:tc>
          <w:tcPr>
            <w:tcW w:w="1068" w:type="dxa"/>
            <w:tcBorders>
              <w:top w:val="single" w:sz="8" w:space="0" w:color="000000"/>
              <w:left w:val="single" w:sz="8" w:space="0" w:color="000000"/>
              <w:bottom w:val="single" w:sz="8" w:space="0" w:color="000000"/>
              <w:right w:val="single" w:sz="8" w:space="0" w:color="000000"/>
            </w:tcBorders>
            <w:shd w:val="clear" w:color="auto" w:fill="C6D9F1" w:themeFill="text2" w:themeFillTint="33"/>
            <w:tcMar>
              <w:top w:w="13" w:type="dxa"/>
              <w:left w:w="93" w:type="dxa"/>
              <w:bottom w:w="0" w:type="dxa"/>
              <w:right w:w="93" w:type="dxa"/>
            </w:tcMar>
            <w:vAlign w:val="center"/>
            <w:hideMark/>
          </w:tcPr>
          <w:p w:rsidR="008E52F7" w:rsidRPr="00CA0AE3" w:rsidRDefault="008E52F7" w:rsidP="008E52F7">
            <w:pPr>
              <w:spacing w:after="0" w:line="240" w:lineRule="auto"/>
              <w:jc w:val="center"/>
              <w:rPr>
                <w:rFonts w:eastAsia="Times New Roman"/>
                <w:color w:val="000000"/>
                <w:kern w:val="24"/>
                <w:sz w:val="20"/>
                <w:szCs w:val="20"/>
              </w:rPr>
            </w:pPr>
            <w:r w:rsidRPr="00CA0AE3">
              <w:rPr>
                <w:rFonts w:eastAsia="Times New Roman"/>
                <w:b/>
                <w:bCs/>
                <w:color w:val="000000"/>
                <w:kern w:val="24"/>
                <w:sz w:val="20"/>
                <w:szCs w:val="20"/>
              </w:rPr>
              <w:t>Year 2</w:t>
            </w:r>
          </w:p>
          <w:p w:rsidR="008E52F7" w:rsidRPr="00CA0AE3" w:rsidRDefault="008E52F7" w:rsidP="008E52F7">
            <w:pPr>
              <w:spacing w:after="0" w:line="240" w:lineRule="auto"/>
              <w:jc w:val="center"/>
              <w:rPr>
                <w:rFonts w:eastAsia="Times New Roman"/>
                <w:color w:val="000000"/>
                <w:kern w:val="24"/>
                <w:sz w:val="20"/>
                <w:szCs w:val="20"/>
              </w:rPr>
            </w:pPr>
            <w:r w:rsidRPr="00CA0AE3">
              <w:rPr>
                <w:rFonts w:eastAsia="Times New Roman"/>
                <w:color w:val="000000"/>
                <w:kern w:val="24"/>
                <w:sz w:val="20"/>
                <w:szCs w:val="20"/>
              </w:rPr>
              <w:t xml:space="preserve">SFY </w:t>
            </w:r>
          </w:p>
          <w:p w:rsidR="008E52F7" w:rsidRPr="00CA0AE3" w:rsidRDefault="008E52F7" w:rsidP="008E52F7">
            <w:pPr>
              <w:spacing w:after="0" w:line="240" w:lineRule="auto"/>
              <w:jc w:val="center"/>
              <w:rPr>
                <w:rFonts w:eastAsia="Times New Roman"/>
                <w:sz w:val="20"/>
                <w:szCs w:val="20"/>
              </w:rPr>
            </w:pPr>
            <w:r w:rsidRPr="00CA0AE3">
              <w:rPr>
                <w:rFonts w:eastAsia="Times New Roman"/>
                <w:color w:val="000000"/>
                <w:kern w:val="24"/>
                <w:sz w:val="20"/>
                <w:szCs w:val="20"/>
              </w:rPr>
              <w:t>2019</w:t>
            </w:r>
          </w:p>
        </w:tc>
        <w:tc>
          <w:tcPr>
            <w:tcW w:w="1069" w:type="dxa"/>
            <w:tcBorders>
              <w:top w:val="single" w:sz="8" w:space="0" w:color="000000"/>
              <w:left w:val="single" w:sz="8" w:space="0" w:color="000000"/>
              <w:bottom w:val="single" w:sz="8" w:space="0" w:color="000000"/>
              <w:right w:val="single" w:sz="8" w:space="0" w:color="000000"/>
            </w:tcBorders>
            <w:shd w:val="clear" w:color="auto" w:fill="C6D9F1" w:themeFill="text2" w:themeFillTint="33"/>
            <w:tcMar>
              <w:top w:w="13" w:type="dxa"/>
              <w:left w:w="93" w:type="dxa"/>
              <w:bottom w:w="0" w:type="dxa"/>
              <w:right w:w="93" w:type="dxa"/>
            </w:tcMar>
            <w:vAlign w:val="center"/>
            <w:hideMark/>
          </w:tcPr>
          <w:p w:rsidR="008E52F7" w:rsidRPr="00CA0AE3" w:rsidRDefault="008E52F7" w:rsidP="008E52F7">
            <w:pPr>
              <w:spacing w:after="0" w:line="240" w:lineRule="auto"/>
              <w:jc w:val="center"/>
              <w:rPr>
                <w:rFonts w:eastAsia="Times New Roman"/>
                <w:color w:val="000000"/>
                <w:kern w:val="24"/>
                <w:sz w:val="20"/>
                <w:szCs w:val="20"/>
              </w:rPr>
            </w:pPr>
            <w:r w:rsidRPr="00CA0AE3">
              <w:rPr>
                <w:rFonts w:eastAsia="Times New Roman"/>
                <w:b/>
                <w:bCs/>
                <w:color w:val="000000"/>
                <w:kern w:val="24"/>
                <w:sz w:val="20"/>
                <w:szCs w:val="20"/>
              </w:rPr>
              <w:t>Year 3</w:t>
            </w:r>
          </w:p>
          <w:p w:rsidR="008E52F7" w:rsidRPr="00CA0AE3" w:rsidRDefault="008E52F7" w:rsidP="008E52F7">
            <w:pPr>
              <w:spacing w:after="0" w:line="240" w:lineRule="auto"/>
              <w:jc w:val="center"/>
              <w:rPr>
                <w:rFonts w:eastAsia="Times New Roman"/>
                <w:color w:val="000000"/>
                <w:kern w:val="24"/>
                <w:sz w:val="20"/>
                <w:szCs w:val="20"/>
              </w:rPr>
            </w:pPr>
            <w:r w:rsidRPr="00CA0AE3">
              <w:rPr>
                <w:rFonts w:eastAsia="Times New Roman"/>
                <w:color w:val="000000"/>
                <w:kern w:val="24"/>
                <w:sz w:val="20"/>
                <w:szCs w:val="20"/>
              </w:rPr>
              <w:t xml:space="preserve">SFY </w:t>
            </w:r>
          </w:p>
          <w:p w:rsidR="008E52F7" w:rsidRPr="00CA0AE3" w:rsidRDefault="008E52F7" w:rsidP="008E52F7">
            <w:pPr>
              <w:spacing w:after="0" w:line="240" w:lineRule="auto"/>
              <w:jc w:val="center"/>
              <w:rPr>
                <w:rFonts w:eastAsia="Times New Roman"/>
                <w:sz w:val="20"/>
                <w:szCs w:val="20"/>
              </w:rPr>
            </w:pPr>
            <w:r w:rsidRPr="00CA0AE3">
              <w:rPr>
                <w:rFonts w:eastAsia="Times New Roman"/>
                <w:color w:val="000000"/>
                <w:kern w:val="24"/>
                <w:sz w:val="20"/>
                <w:szCs w:val="20"/>
              </w:rPr>
              <w:t>2020</w:t>
            </w:r>
          </w:p>
        </w:tc>
        <w:tc>
          <w:tcPr>
            <w:tcW w:w="1068" w:type="dxa"/>
            <w:tcBorders>
              <w:top w:val="single" w:sz="8" w:space="0" w:color="000000"/>
              <w:left w:val="single" w:sz="8" w:space="0" w:color="000000"/>
              <w:bottom w:val="single" w:sz="8" w:space="0" w:color="000000"/>
              <w:right w:val="single" w:sz="8" w:space="0" w:color="000000"/>
            </w:tcBorders>
            <w:shd w:val="clear" w:color="auto" w:fill="C6D9F1" w:themeFill="text2" w:themeFillTint="33"/>
            <w:tcMar>
              <w:top w:w="13" w:type="dxa"/>
              <w:left w:w="93" w:type="dxa"/>
              <w:bottom w:w="0" w:type="dxa"/>
              <w:right w:w="93" w:type="dxa"/>
            </w:tcMar>
            <w:vAlign w:val="center"/>
            <w:hideMark/>
          </w:tcPr>
          <w:p w:rsidR="008E52F7" w:rsidRPr="00CA0AE3" w:rsidRDefault="008E52F7" w:rsidP="008E52F7">
            <w:pPr>
              <w:spacing w:after="0" w:line="240" w:lineRule="auto"/>
              <w:jc w:val="center"/>
              <w:rPr>
                <w:rFonts w:eastAsia="Times New Roman"/>
                <w:color w:val="000000"/>
                <w:kern w:val="24"/>
                <w:sz w:val="20"/>
                <w:szCs w:val="20"/>
              </w:rPr>
            </w:pPr>
            <w:r w:rsidRPr="00CA0AE3">
              <w:rPr>
                <w:rFonts w:eastAsia="Times New Roman"/>
                <w:b/>
                <w:bCs/>
                <w:color w:val="000000"/>
                <w:kern w:val="24"/>
                <w:sz w:val="20"/>
                <w:szCs w:val="20"/>
              </w:rPr>
              <w:t>Year 4</w:t>
            </w:r>
          </w:p>
          <w:p w:rsidR="008E52F7" w:rsidRPr="00CA0AE3" w:rsidRDefault="008E52F7" w:rsidP="008E52F7">
            <w:pPr>
              <w:spacing w:after="0" w:line="240" w:lineRule="auto"/>
              <w:jc w:val="center"/>
              <w:rPr>
                <w:rFonts w:eastAsia="Times New Roman"/>
                <w:color w:val="000000"/>
                <w:kern w:val="24"/>
                <w:sz w:val="20"/>
                <w:szCs w:val="20"/>
              </w:rPr>
            </w:pPr>
            <w:r w:rsidRPr="00CA0AE3">
              <w:rPr>
                <w:rFonts w:eastAsia="Times New Roman"/>
                <w:color w:val="000000"/>
                <w:kern w:val="24"/>
                <w:sz w:val="20"/>
                <w:szCs w:val="20"/>
              </w:rPr>
              <w:t xml:space="preserve">SFY </w:t>
            </w:r>
          </w:p>
          <w:p w:rsidR="008E52F7" w:rsidRPr="00CA0AE3" w:rsidRDefault="008E52F7" w:rsidP="008E52F7">
            <w:pPr>
              <w:spacing w:after="0" w:line="240" w:lineRule="auto"/>
              <w:jc w:val="center"/>
              <w:rPr>
                <w:rFonts w:eastAsia="Times New Roman"/>
                <w:sz w:val="20"/>
                <w:szCs w:val="20"/>
              </w:rPr>
            </w:pPr>
            <w:r w:rsidRPr="00CA0AE3">
              <w:rPr>
                <w:rFonts w:eastAsia="Times New Roman"/>
                <w:color w:val="000000"/>
                <w:kern w:val="24"/>
                <w:sz w:val="20"/>
                <w:szCs w:val="20"/>
              </w:rPr>
              <w:t>2021</w:t>
            </w:r>
          </w:p>
        </w:tc>
        <w:tc>
          <w:tcPr>
            <w:tcW w:w="1069" w:type="dxa"/>
            <w:tcBorders>
              <w:top w:val="single" w:sz="8" w:space="0" w:color="000000"/>
              <w:left w:val="single" w:sz="8" w:space="0" w:color="000000"/>
              <w:bottom w:val="single" w:sz="8" w:space="0" w:color="000000"/>
              <w:right w:val="single" w:sz="8" w:space="0" w:color="000000"/>
            </w:tcBorders>
            <w:shd w:val="clear" w:color="auto" w:fill="C6D9F1" w:themeFill="text2" w:themeFillTint="33"/>
            <w:tcMar>
              <w:top w:w="13" w:type="dxa"/>
              <w:left w:w="93" w:type="dxa"/>
              <w:bottom w:w="0" w:type="dxa"/>
              <w:right w:w="93" w:type="dxa"/>
            </w:tcMar>
            <w:vAlign w:val="center"/>
            <w:hideMark/>
          </w:tcPr>
          <w:p w:rsidR="008E52F7" w:rsidRPr="00CA0AE3" w:rsidRDefault="008E52F7" w:rsidP="008E52F7">
            <w:pPr>
              <w:spacing w:after="0" w:line="240" w:lineRule="auto"/>
              <w:jc w:val="center"/>
              <w:rPr>
                <w:rFonts w:eastAsia="Times New Roman"/>
                <w:color w:val="000000"/>
                <w:kern w:val="24"/>
                <w:sz w:val="20"/>
                <w:szCs w:val="20"/>
              </w:rPr>
            </w:pPr>
            <w:r w:rsidRPr="00CA0AE3">
              <w:rPr>
                <w:rFonts w:eastAsia="Times New Roman"/>
                <w:b/>
                <w:bCs/>
                <w:color w:val="000000"/>
                <w:kern w:val="24"/>
                <w:sz w:val="20"/>
                <w:szCs w:val="20"/>
              </w:rPr>
              <w:t>Year 5</w:t>
            </w:r>
          </w:p>
          <w:p w:rsidR="008E52F7" w:rsidRPr="00CA0AE3" w:rsidRDefault="008E52F7" w:rsidP="008E52F7">
            <w:pPr>
              <w:spacing w:after="0" w:line="240" w:lineRule="auto"/>
              <w:jc w:val="center"/>
              <w:rPr>
                <w:rFonts w:eastAsia="Times New Roman"/>
                <w:color w:val="000000"/>
                <w:kern w:val="24"/>
                <w:sz w:val="20"/>
                <w:szCs w:val="20"/>
              </w:rPr>
            </w:pPr>
            <w:r w:rsidRPr="00CA0AE3">
              <w:rPr>
                <w:rFonts w:eastAsia="Times New Roman"/>
                <w:color w:val="000000"/>
                <w:kern w:val="24"/>
                <w:sz w:val="20"/>
                <w:szCs w:val="20"/>
              </w:rPr>
              <w:t>SFY 2</w:t>
            </w:r>
          </w:p>
          <w:p w:rsidR="008E52F7" w:rsidRPr="00CA0AE3" w:rsidRDefault="008E52F7" w:rsidP="008E52F7">
            <w:pPr>
              <w:spacing w:after="0" w:line="240" w:lineRule="auto"/>
              <w:jc w:val="center"/>
              <w:rPr>
                <w:rFonts w:eastAsia="Times New Roman"/>
                <w:sz w:val="20"/>
                <w:szCs w:val="20"/>
              </w:rPr>
            </w:pPr>
            <w:r w:rsidRPr="00CA0AE3">
              <w:rPr>
                <w:rFonts w:eastAsia="Times New Roman"/>
                <w:color w:val="000000"/>
                <w:kern w:val="24"/>
                <w:sz w:val="20"/>
                <w:szCs w:val="20"/>
              </w:rPr>
              <w:t>022</w:t>
            </w:r>
          </w:p>
        </w:tc>
        <w:tc>
          <w:tcPr>
            <w:tcW w:w="0" w:type="auto"/>
            <w:tcBorders>
              <w:top w:val="single" w:sz="8" w:space="0" w:color="000000"/>
              <w:left w:val="single" w:sz="8" w:space="0" w:color="000000"/>
              <w:bottom w:val="single" w:sz="8" w:space="0" w:color="000000"/>
              <w:right w:val="single" w:sz="8" w:space="0" w:color="000000"/>
            </w:tcBorders>
            <w:shd w:val="clear" w:color="auto" w:fill="C6D9F1" w:themeFill="text2" w:themeFillTint="33"/>
            <w:vAlign w:val="center"/>
          </w:tcPr>
          <w:p w:rsidR="008E52F7" w:rsidRPr="00CA0AE3" w:rsidRDefault="008E52F7" w:rsidP="008E52F7">
            <w:pPr>
              <w:spacing w:after="0" w:line="240" w:lineRule="auto"/>
              <w:jc w:val="center"/>
              <w:rPr>
                <w:rFonts w:eastAsia="Times New Roman"/>
                <w:b/>
                <w:bCs/>
                <w:kern w:val="24"/>
                <w:sz w:val="20"/>
                <w:szCs w:val="20"/>
              </w:rPr>
            </w:pPr>
            <w:r w:rsidRPr="00CA0AE3">
              <w:rPr>
                <w:rFonts w:eastAsia="Times New Roman"/>
                <w:b/>
                <w:bCs/>
                <w:kern w:val="24"/>
                <w:sz w:val="20"/>
                <w:szCs w:val="20"/>
              </w:rPr>
              <w:t>Rationale for Improvement Target</w:t>
            </w:r>
          </w:p>
        </w:tc>
      </w:tr>
      <w:tr w:rsidR="008E52F7" w:rsidRPr="00CA0AE3" w:rsidTr="003C48F3">
        <w:trPr>
          <w:cantSplit/>
          <w:jc w:val="center"/>
        </w:trPr>
        <w:tc>
          <w:tcPr>
            <w:tcW w:w="370" w:type="dxa"/>
            <w:tcBorders>
              <w:top w:val="single" w:sz="8" w:space="0" w:color="000000"/>
              <w:left w:val="single" w:sz="8" w:space="0" w:color="000000"/>
              <w:bottom w:val="single" w:sz="8" w:space="0" w:color="000000"/>
              <w:right w:val="single" w:sz="8" w:space="0" w:color="000000"/>
            </w:tcBorders>
            <w:shd w:val="clear" w:color="auto" w:fill="auto"/>
            <w:vAlign w:val="center"/>
          </w:tcPr>
          <w:p w:rsidR="008E52F7" w:rsidRPr="00CA0AE3" w:rsidRDefault="008E52F7" w:rsidP="008E52F7">
            <w:pPr>
              <w:spacing w:after="0" w:line="240" w:lineRule="auto"/>
              <w:jc w:val="center"/>
              <w:rPr>
                <w:sz w:val="16"/>
                <w:szCs w:val="16"/>
              </w:rPr>
            </w:pPr>
            <w:r w:rsidRPr="00CA0AE3">
              <w:rPr>
                <w:sz w:val="16"/>
                <w:szCs w:val="16"/>
              </w:rPr>
              <w:t>1</w:t>
            </w:r>
          </w:p>
        </w:tc>
        <w:tc>
          <w:tcPr>
            <w:tcW w:w="1455"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8E52F7" w:rsidRPr="00CA0AE3" w:rsidDel="00FD3B42" w:rsidRDefault="008E52F7" w:rsidP="008E52F7">
            <w:pPr>
              <w:spacing w:after="0" w:line="240" w:lineRule="auto"/>
              <w:rPr>
                <w:bCs/>
                <w:sz w:val="16"/>
                <w:szCs w:val="16"/>
              </w:rPr>
            </w:pPr>
            <w:r w:rsidRPr="00CA0AE3">
              <w:rPr>
                <w:bCs/>
                <w:sz w:val="16"/>
                <w:szCs w:val="16"/>
              </w:rPr>
              <w:t>Depression Response at 6 Months - Progress Towards Remission (across all core primary care sites)</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8E52F7" w:rsidRPr="00CA0AE3" w:rsidRDefault="008E52F7" w:rsidP="008E52F7">
            <w:pPr>
              <w:spacing w:after="0" w:line="240" w:lineRule="auto"/>
              <w:jc w:val="center"/>
              <w:rPr>
                <w:sz w:val="16"/>
                <w:szCs w:val="16"/>
              </w:rPr>
            </w:pPr>
            <w:r w:rsidRPr="00CA0AE3">
              <w:rPr>
                <w:bCs/>
                <w:sz w:val="16"/>
                <w:szCs w:val="16"/>
              </w:rPr>
              <w:t>NQF 1884</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8E52F7" w:rsidRPr="00CA0AE3" w:rsidRDefault="008E52F7" w:rsidP="008E52F7">
            <w:pPr>
              <w:spacing w:after="0" w:line="240" w:lineRule="auto"/>
              <w:jc w:val="center"/>
              <w:rPr>
                <w:bCs/>
                <w:sz w:val="16"/>
                <w:szCs w:val="16"/>
              </w:rPr>
            </w:pPr>
            <w:r w:rsidRPr="00CA0AE3">
              <w:rPr>
                <w:bCs/>
                <w:sz w:val="16"/>
                <w:szCs w:val="16"/>
              </w:rPr>
              <w:t xml:space="preserve">No external benchmark; </w:t>
            </w:r>
          </w:p>
          <w:p w:rsidR="008E52F7" w:rsidRPr="00CA0AE3" w:rsidDel="00FD3B42" w:rsidRDefault="008E52F7" w:rsidP="008E52F7">
            <w:pPr>
              <w:spacing w:after="0" w:line="240" w:lineRule="auto"/>
              <w:jc w:val="center"/>
              <w:rPr>
                <w:bCs/>
                <w:sz w:val="16"/>
                <w:szCs w:val="16"/>
              </w:rPr>
            </w:pPr>
            <w:r w:rsidRPr="00CA0AE3">
              <w:rPr>
                <w:bCs/>
                <w:sz w:val="16"/>
                <w:szCs w:val="16"/>
              </w:rPr>
              <w:t>hospital-specific improvement target = 45%</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8E52F7" w:rsidRPr="00CA0AE3" w:rsidRDefault="008E52F7" w:rsidP="008E52F7">
            <w:pPr>
              <w:spacing w:after="0" w:line="240" w:lineRule="auto"/>
              <w:jc w:val="center"/>
              <w:rPr>
                <w:bCs/>
                <w:sz w:val="16"/>
                <w:szCs w:val="16"/>
              </w:rPr>
            </w:pPr>
            <w:r w:rsidRPr="00CA0AE3">
              <w:rPr>
                <w:bCs/>
                <w:sz w:val="16"/>
                <w:szCs w:val="16"/>
              </w:rPr>
              <w:t>Gap to Goal</w:t>
            </w:r>
          </w:p>
          <w:p w:rsidR="008E52F7" w:rsidRPr="00CA0AE3" w:rsidRDefault="008E52F7" w:rsidP="008E52F7">
            <w:pPr>
              <w:spacing w:after="0" w:line="240" w:lineRule="auto"/>
              <w:jc w:val="center"/>
              <w:rPr>
                <w:bCs/>
                <w:sz w:val="16"/>
                <w:szCs w:val="16"/>
              </w:rPr>
            </w:pPr>
            <w:r w:rsidRPr="00CA0AE3">
              <w:rPr>
                <w:bCs/>
                <w:sz w:val="16"/>
                <w:szCs w:val="16"/>
              </w:rPr>
              <w:t>(10%) or attainment at target</w:t>
            </w:r>
          </w:p>
        </w:tc>
        <w:tc>
          <w:tcPr>
            <w:tcW w:w="1068"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8E52F7" w:rsidRPr="00CA0AE3" w:rsidRDefault="008E52F7" w:rsidP="008E52F7">
            <w:pPr>
              <w:spacing w:after="0" w:line="240" w:lineRule="auto"/>
              <w:jc w:val="center"/>
              <w:rPr>
                <w:rFonts w:eastAsia="Times New Roman"/>
                <w:b/>
                <w:sz w:val="16"/>
                <w:szCs w:val="16"/>
              </w:rPr>
            </w:pPr>
            <w:r w:rsidRPr="00CA0AE3">
              <w:rPr>
                <w:rFonts w:eastAsia="Times New Roman"/>
                <w:b/>
                <w:sz w:val="16"/>
                <w:szCs w:val="16"/>
              </w:rPr>
              <w:t>O</w:t>
            </w:r>
          </w:p>
        </w:tc>
        <w:tc>
          <w:tcPr>
            <w:tcW w:w="1068"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8E52F7" w:rsidRPr="00CA0AE3" w:rsidRDefault="008E52F7" w:rsidP="008E52F7">
            <w:pPr>
              <w:spacing w:after="0" w:line="240" w:lineRule="auto"/>
              <w:jc w:val="center"/>
              <w:rPr>
                <w:rFonts w:eastAsia="Times New Roman"/>
                <w:b/>
                <w:sz w:val="16"/>
                <w:szCs w:val="16"/>
              </w:rPr>
            </w:pPr>
            <w:r w:rsidRPr="00CA0AE3">
              <w:rPr>
                <w:rFonts w:eastAsia="Times New Roman"/>
                <w:b/>
                <w:sz w:val="16"/>
                <w:szCs w:val="16"/>
              </w:rPr>
              <w:t>O</w:t>
            </w:r>
          </w:p>
        </w:tc>
        <w:tc>
          <w:tcPr>
            <w:tcW w:w="1069"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8E52F7" w:rsidRPr="00CA0AE3" w:rsidRDefault="008E52F7" w:rsidP="008E52F7">
            <w:pPr>
              <w:spacing w:after="0" w:line="240" w:lineRule="auto"/>
              <w:jc w:val="center"/>
              <w:rPr>
                <w:rFonts w:eastAsia="Times New Roman"/>
                <w:b/>
                <w:sz w:val="16"/>
                <w:szCs w:val="16"/>
              </w:rPr>
            </w:pPr>
            <w:r w:rsidRPr="00CA0AE3">
              <w:rPr>
                <w:rFonts w:eastAsia="Times New Roman"/>
                <w:b/>
                <w:sz w:val="16"/>
                <w:szCs w:val="16"/>
              </w:rPr>
              <w:t>O</w:t>
            </w:r>
          </w:p>
        </w:tc>
        <w:tc>
          <w:tcPr>
            <w:tcW w:w="1068"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8E52F7" w:rsidRPr="00CA0AE3" w:rsidRDefault="008E52F7" w:rsidP="008E52F7">
            <w:pPr>
              <w:spacing w:after="0" w:line="240" w:lineRule="auto"/>
              <w:jc w:val="center"/>
              <w:rPr>
                <w:rFonts w:eastAsia="Times New Roman"/>
                <w:b/>
                <w:sz w:val="16"/>
                <w:szCs w:val="16"/>
              </w:rPr>
            </w:pPr>
            <w:r w:rsidRPr="00CA0AE3">
              <w:rPr>
                <w:rFonts w:eastAsia="Times New Roman"/>
                <w:b/>
                <w:sz w:val="16"/>
                <w:szCs w:val="16"/>
              </w:rPr>
              <w:t>O</w:t>
            </w:r>
          </w:p>
        </w:tc>
        <w:tc>
          <w:tcPr>
            <w:tcW w:w="1069"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8E52F7" w:rsidRPr="00CA0AE3" w:rsidRDefault="008E52F7" w:rsidP="008E52F7">
            <w:pPr>
              <w:spacing w:after="0" w:line="240" w:lineRule="auto"/>
              <w:jc w:val="center"/>
              <w:rPr>
                <w:rFonts w:eastAsia="Times New Roman"/>
                <w:b/>
                <w:sz w:val="16"/>
                <w:szCs w:val="16"/>
              </w:rPr>
            </w:pPr>
            <w:r w:rsidRPr="00CA0AE3">
              <w:rPr>
                <w:rFonts w:eastAsia="Times New Roman"/>
                <w:b/>
                <w:sz w:val="16"/>
                <w:szCs w:val="16"/>
              </w:rPr>
              <w:t>O</w:t>
            </w:r>
          </w:p>
        </w:tc>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tcPr>
          <w:p w:rsidR="008E52F7" w:rsidRPr="00CA0AE3" w:rsidRDefault="008E52F7" w:rsidP="008E52F7">
            <w:pPr>
              <w:spacing w:after="0" w:line="240" w:lineRule="auto"/>
              <w:rPr>
                <w:sz w:val="16"/>
                <w:szCs w:val="16"/>
              </w:rPr>
            </w:pPr>
            <w:r w:rsidRPr="00CA0AE3">
              <w:rPr>
                <w:sz w:val="16"/>
                <w:szCs w:val="16"/>
              </w:rPr>
              <w:t>This target is based on literature on collaborative care indicating that a rate of 45% on the depression response measures represents the highest level of statistically meaningful improvement that has currently been achieved</w:t>
            </w:r>
            <w:r w:rsidRPr="00CA0AE3">
              <w:rPr>
                <w:rStyle w:val="FootnoteReference"/>
                <w:sz w:val="16"/>
                <w:szCs w:val="16"/>
              </w:rPr>
              <w:footnoteReference w:id="104"/>
            </w:r>
            <w:r w:rsidRPr="00CA0AE3">
              <w:rPr>
                <w:sz w:val="16"/>
                <w:szCs w:val="16"/>
              </w:rPr>
              <w:t>.</w:t>
            </w:r>
          </w:p>
        </w:tc>
      </w:tr>
      <w:tr w:rsidR="008E52F7" w:rsidRPr="00CA0AE3" w:rsidTr="003C48F3">
        <w:trPr>
          <w:cantSplit/>
          <w:jc w:val="center"/>
        </w:trPr>
        <w:tc>
          <w:tcPr>
            <w:tcW w:w="370" w:type="dxa"/>
            <w:tcBorders>
              <w:top w:val="single" w:sz="8" w:space="0" w:color="000000"/>
              <w:left w:val="single" w:sz="8" w:space="0" w:color="000000"/>
              <w:bottom w:val="single" w:sz="8" w:space="0" w:color="000000"/>
              <w:right w:val="single" w:sz="8" w:space="0" w:color="000000"/>
            </w:tcBorders>
            <w:shd w:val="clear" w:color="auto" w:fill="auto"/>
            <w:vAlign w:val="center"/>
          </w:tcPr>
          <w:p w:rsidR="008E52F7" w:rsidRPr="00CA0AE3" w:rsidRDefault="008E52F7" w:rsidP="008E52F7">
            <w:pPr>
              <w:spacing w:after="0" w:line="240" w:lineRule="auto"/>
              <w:jc w:val="center"/>
              <w:rPr>
                <w:sz w:val="16"/>
                <w:szCs w:val="16"/>
              </w:rPr>
            </w:pPr>
            <w:r w:rsidRPr="00CA0AE3">
              <w:rPr>
                <w:sz w:val="16"/>
                <w:szCs w:val="16"/>
              </w:rPr>
              <w:t>2</w:t>
            </w:r>
          </w:p>
        </w:tc>
        <w:tc>
          <w:tcPr>
            <w:tcW w:w="1455"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8E52F7" w:rsidRPr="00CA0AE3" w:rsidDel="00FD3B42" w:rsidRDefault="008E52F7" w:rsidP="008E52F7">
            <w:pPr>
              <w:spacing w:after="0" w:line="240" w:lineRule="auto"/>
              <w:rPr>
                <w:bCs/>
                <w:sz w:val="16"/>
                <w:szCs w:val="16"/>
              </w:rPr>
            </w:pPr>
            <w:r w:rsidRPr="00CA0AE3">
              <w:rPr>
                <w:bCs/>
                <w:sz w:val="16"/>
                <w:szCs w:val="16"/>
              </w:rPr>
              <w:t>Depression Response at 12 Months - Progress Towards Remission (across all core primary care sites)</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8E52F7" w:rsidRPr="00CA0AE3" w:rsidRDefault="008E52F7" w:rsidP="008E52F7">
            <w:pPr>
              <w:spacing w:after="0" w:line="240" w:lineRule="auto"/>
              <w:jc w:val="center"/>
              <w:rPr>
                <w:sz w:val="16"/>
                <w:szCs w:val="16"/>
              </w:rPr>
            </w:pPr>
            <w:r w:rsidRPr="00CA0AE3">
              <w:rPr>
                <w:bCs/>
                <w:sz w:val="16"/>
                <w:szCs w:val="16"/>
              </w:rPr>
              <w:t>NQF 1885</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8E52F7" w:rsidRPr="00CA0AE3" w:rsidRDefault="008E52F7" w:rsidP="008E52F7">
            <w:pPr>
              <w:spacing w:after="0" w:line="240" w:lineRule="auto"/>
              <w:jc w:val="center"/>
              <w:rPr>
                <w:bCs/>
                <w:sz w:val="16"/>
                <w:szCs w:val="16"/>
              </w:rPr>
            </w:pPr>
            <w:r w:rsidRPr="00CA0AE3">
              <w:rPr>
                <w:bCs/>
                <w:sz w:val="16"/>
                <w:szCs w:val="16"/>
              </w:rPr>
              <w:t xml:space="preserve">No external benchmark; </w:t>
            </w:r>
          </w:p>
          <w:p w:rsidR="008E52F7" w:rsidRPr="00CA0AE3" w:rsidDel="00FD3B42" w:rsidRDefault="008E52F7" w:rsidP="008E52F7">
            <w:pPr>
              <w:spacing w:after="0" w:line="240" w:lineRule="auto"/>
              <w:jc w:val="center"/>
              <w:rPr>
                <w:bCs/>
                <w:sz w:val="16"/>
                <w:szCs w:val="16"/>
              </w:rPr>
            </w:pPr>
            <w:r w:rsidRPr="00CA0AE3">
              <w:rPr>
                <w:bCs/>
                <w:sz w:val="16"/>
                <w:szCs w:val="16"/>
              </w:rPr>
              <w:t>hospital-specific improvement target = 45%</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8E52F7" w:rsidRPr="00CA0AE3" w:rsidRDefault="008E52F7" w:rsidP="008E52F7">
            <w:pPr>
              <w:spacing w:after="0" w:line="240" w:lineRule="auto"/>
              <w:jc w:val="center"/>
              <w:rPr>
                <w:bCs/>
                <w:sz w:val="16"/>
                <w:szCs w:val="16"/>
              </w:rPr>
            </w:pPr>
            <w:r w:rsidRPr="00CA0AE3">
              <w:rPr>
                <w:bCs/>
                <w:sz w:val="16"/>
                <w:szCs w:val="16"/>
              </w:rPr>
              <w:t>Gap to Goal</w:t>
            </w:r>
          </w:p>
          <w:p w:rsidR="008E52F7" w:rsidRPr="00CA0AE3" w:rsidRDefault="008E52F7" w:rsidP="008E52F7">
            <w:pPr>
              <w:spacing w:after="0" w:line="240" w:lineRule="auto"/>
              <w:jc w:val="center"/>
              <w:rPr>
                <w:bCs/>
                <w:sz w:val="16"/>
                <w:szCs w:val="16"/>
              </w:rPr>
            </w:pPr>
            <w:r w:rsidRPr="00CA0AE3">
              <w:rPr>
                <w:bCs/>
                <w:sz w:val="16"/>
                <w:szCs w:val="16"/>
              </w:rPr>
              <w:t>(10%) or attainment at target</w:t>
            </w:r>
          </w:p>
        </w:tc>
        <w:tc>
          <w:tcPr>
            <w:tcW w:w="1068"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8E52F7" w:rsidRPr="00CA0AE3" w:rsidRDefault="008E52F7" w:rsidP="008E52F7">
            <w:pPr>
              <w:spacing w:after="0" w:line="240" w:lineRule="auto"/>
              <w:jc w:val="center"/>
              <w:rPr>
                <w:rFonts w:eastAsia="Times New Roman"/>
                <w:b/>
                <w:sz w:val="16"/>
                <w:szCs w:val="16"/>
              </w:rPr>
            </w:pPr>
            <w:r w:rsidRPr="00CA0AE3">
              <w:rPr>
                <w:rFonts w:eastAsia="Times New Roman"/>
                <w:b/>
                <w:sz w:val="16"/>
                <w:szCs w:val="16"/>
              </w:rPr>
              <w:t xml:space="preserve">B </w:t>
            </w:r>
          </w:p>
          <w:p w:rsidR="008E52F7" w:rsidRPr="00CA0AE3" w:rsidRDefault="008E52F7" w:rsidP="008E52F7">
            <w:pPr>
              <w:spacing w:after="0" w:line="240" w:lineRule="auto"/>
              <w:jc w:val="center"/>
              <w:rPr>
                <w:rFonts w:eastAsia="Times New Roman"/>
                <w:b/>
                <w:bCs/>
                <w:kern w:val="24"/>
                <w:sz w:val="16"/>
                <w:szCs w:val="16"/>
              </w:rPr>
            </w:pPr>
          </w:p>
        </w:tc>
        <w:tc>
          <w:tcPr>
            <w:tcW w:w="1068"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8E52F7" w:rsidRPr="00CA0AE3" w:rsidRDefault="008E52F7" w:rsidP="008E52F7">
            <w:pPr>
              <w:spacing w:after="0" w:line="240" w:lineRule="auto"/>
              <w:jc w:val="center"/>
              <w:rPr>
                <w:rFonts w:eastAsia="Times New Roman"/>
                <w:b/>
                <w:sz w:val="16"/>
                <w:szCs w:val="16"/>
              </w:rPr>
            </w:pPr>
            <w:r w:rsidRPr="00CA0AE3">
              <w:rPr>
                <w:rFonts w:eastAsia="Times New Roman"/>
                <w:b/>
                <w:sz w:val="16"/>
                <w:szCs w:val="16"/>
              </w:rPr>
              <w:t>O</w:t>
            </w:r>
          </w:p>
          <w:p w:rsidR="008E52F7" w:rsidRPr="00CA0AE3" w:rsidRDefault="008E52F7" w:rsidP="008E52F7">
            <w:pPr>
              <w:spacing w:after="0" w:line="240" w:lineRule="auto"/>
              <w:jc w:val="center"/>
              <w:rPr>
                <w:rFonts w:eastAsia="Times New Roman"/>
                <w:b/>
                <w:sz w:val="16"/>
                <w:szCs w:val="16"/>
              </w:rPr>
            </w:pPr>
          </w:p>
        </w:tc>
        <w:tc>
          <w:tcPr>
            <w:tcW w:w="1069"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8E52F7" w:rsidRPr="00CA0AE3" w:rsidRDefault="008E52F7" w:rsidP="008E52F7">
            <w:pPr>
              <w:spacing w:after="0" w:line="240" w:lineRule="auto"/>
              <w:jc w:val="center"/>
              <w:rPr>
                <w:rFonts w:eastAsia="Times New Roman"/>
                <w:b/>
                <w:sz w:val="16"/>
                <w:szCs w:val="16"/>
              </w:rPr>
            </w:pPr>
            <w:r w:rsidRPr="00CA0AE3">
              <w:rPr>
                <w:rFonts w:eastAsia="Times New Roman"/>
                <w:b/>
                <w:sz w:val="16"/>
                <w:szCs w:val="16"/>
              </w:rPr>
              <w:t>O</w:t>
            </w:r>
          </w:p>
          <w:p w:rsidR="008E52F7" w:rsidRPr="00CA0AE3" w:rsidRDefault="008E52F7" w:rsidP="008E52F7">
            <w:pPr>
              <w:spacing w:after="0" w:line="240" w:lineRule="auto"/>
              <w:jc w:val="center"/>
              <w:rPr>
                <w:rFonts w:eastAsia="Times New Roman"/>
                <w:b/>
                <w:sz w:val="16"/>
                <w:szCs w:val="16"/>
              </w:rPr>
            </w:pPr>
          </w:p>
        </w:tc>
        <w:tc>
          <w:tcPr>
            <w:tcW w:w="1068"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8E52F7" w:rsidRPr="00CA0AE3" w:rsidRDefault="008E52F7" w:rsidP="008E52F7">
            <w:pPr>
              <w:spacing w:after="0" w:line="240" w:lineRule="auto"/>
              <w:jc w:val="center"/>
              <w:rPr>
                <w:rFonts w:eastAsia="Times New Roman"/>
                <w:b/>
                <w:sz w:val="16"/>
                <w:szCs w:val="16"/>
              </w:rPr>
            </w:pPr>
            <w:r w:rsidRPr="00CA0AE3">
              <w:rPr>
                <w:rFonts w:eastAsia="Times New Roman"/>
                <w:b/>
                <w:sz w:val="16"/>
                <w:szCs w:val="16"/>
              </w:rPr>
              <w:t>O</w:t>
            </w:r>
          </w:p>
          <w:p w:rsidR="008E52F7" w:rsidRPr="00CA0AE3" w:rsidRDefault="008E52F7" w:rsidP="008E52F7">
            <w:pPr>
              <w:spacing w:after="0" w:line="240" w:lineRule="auto"/>
              <w:jc w:val="center"/>
              <w:rPr>
                <w:rFonts w:eastAsia="Times New Roman"/>
                <w:b/>
                <w:sz w:val="16"/>
                <w:szCs w:val="16"/>
              </w:rPr>
            </w:pPr>
          </w:p>
        </w:tc>
        <w:tc>
          <w:tcPr>
            <w:tcW w:w="1069"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8E52F7" w:rsidRPr="00CA0AE3" w:rsidRDefault="008E52F7" w:rsidP="008E52F7">
            <w:pPr>
              <w:spacing w:after="0" w:line="240" w:lineRule="auto"/>
              <w:jc w:val="center"/>
              <w:rPr>
                <w:rFonts w:eastAsia="Times New Roman"/>
                <w:b/>
                <w:sz w:val="16"/>
                <w:szCs w:val="16"/>
              </w:rPr>
            </w:pPr>
            <w:r w:rsidRPr="00CA0AE3">
              <w:rPr>
                <w:rFonts w:eastAsia="Times New Roman"/>
                <w:b/>
                <w:sz w:val="16"/>
                <w:szCs w:val="16"/>
              </w:rPr>
              <w:t>O</w:t>
            </w:r>
          </w:p>
          <w:p w:rsidR="008E52F7" w:rsidRPr="00CA0AE3" w:rsidRDefault="008E52F7" w:rsidP="008E52F7">
            <w:pPr>
              <w:spacing w:after="0" w:line="240" w:lineRule="auto"/>
              <w:jc w:val="center"/>
              <w:rPr>
                <w:rFonts w:eastAsia="Times New Roman"/>
                <w:b/>
                <w:sz w:val="16"/>
                <w:szCs w:val="16"/>
              </w:rPr>
            </w:pPr>
          </w:p>
        </w:tc>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tcPr>
          <w:p w:rsidR="008E52F7" w:rsidRPr="00CA0AE3" w:rsidRDefault="008E52F7" w:rsidP="008E52F7">
            <w:pPr>
              <w:spacing w:after="0" w:line="240" w:lineRule="auto"/>
              <w:rPr>
                <w:sz w:val="16"/>
                <w:szCs w:val="16"/>
              </w:rPr>
            </w:pPr>
            <w:r w:rsidRPr="00CA0AE3">
              <w:rPr>
                <w:sz w:val="16"/>
                <w:szCs w:val="16"/>
              </w:rPr>
              <w:t>This target is, based on literature on collaborative care indicating that a rate of 45% on the depression response measures represents the highest level of statistically meaningful improvement that has currently been achieved</w:t>
            </w:r>
            <w:r w:rsidRPr="00CA0AE3">
              <w:rPr>
                <w:rStyle w:val="FootnoteReference"/>
                <w:sz w:val="16"/>
                <w:szCs w:val="16"/>
              </w:rPr>
              <w:footnoteReference w:id="105"/>
            </w:r>
            <w:r w:rsidRPr="00CA0AE3">
              <w:rPr>
                <w:sz w:val="16"/>
                <w:szCs w:val="16"/>
              </w:rPr>
              <w:t xml:space="preserve">. </w:t>
            </w:r>
          </w:p>
        </w:tc>
      </w:tr>
      <w:tr w:rsidR="008E52F7" w:rsidRPr="00CA0AE3" w:rsidTr="003C48F3">
        <w:trPr>
          <w:cantSplit/>
          <w:jc w:val="center"/>
        </w:trPr>
        <w:tc>
          <w:tcPr>
            <w:tcW w:w="370" w:type="dxa"/>
            <w:tcBorders>
              <w:top w:val="single" w:sz="8" w:space="0" w:color="000000"/>
              <w:left w:val="single" w:sz="8" w:space="0" w:color="000000"/>
              <w:bottom w:val="single" w:sz="8" w:space="0" w:color="000000"/>
              <w:right w:val="single" w:sz="8" w:space="0" w:color="000000"/>
            </w:tcBorders>
            <w:shd w:val="clear" w:color="auto" w:fill="auto"/>
            <w:vAlign w:val="center"/>
          </w:tcPr>
          <w:p w:rsidR="008E52F7" w:rsidRPr="00CA0AE3" w:rsidRDefault="008E52F7" w:rsidP="008E52F7">
            <w:pPr>
              <w:spacing w:after="0" w:line="240" w:lineRule="auto"/>
              <w:jc w:val="center"/>
              <w:rPr>
                <w:sz w:val="16"/>
                <w:szCs w:val="16"/>
              </w:rPr>
            </w:pPr>
            <w:r w:rsidRPr="00CA0AE3">
              <w:rPr>
                <w:sz w:val="16"/>
                <w:szCs w:val="16"/>
              </w:rPr>
              <w:t>3</w:t>
            </w:r>
          </w:p>
        </w:tc>
        <w:tc>
          <w:tcPr>
            <w:tcW w:w="1455"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8E52F7" w:rsidRPr="00CA0AE3" w:rsidRDefault="008E52F7" w:rsidP="008E52F7">
            <w:pPr>
              <w:spacing w:after="0" w:line="240" w:lineRule="auto"/>
              <w:rPr>
                <w:sz w:val="16"/>
                <w:szCs w:val="16"/>
              </w:rPr>
            </w:pPr>
            <w:r w:rsidRPr="00CA0AE3">
              <w:rPr>
                <w:bCs/>
                <w:sz w:val="16"/>
                <w:szCs w:val="16"/>
              </w:rPr>
              <w:t>Primary Care Provider confidence in management of depression, measured through annual survey</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8E52F7" w:rsidRPr="00CA0AE3" w:rsidRDefault="008E52F7" w:rsidP="008E52F7">
            <w:pPr>
              <w:spacing w:after="0" w:line="240" w:lineRule="auto"/>
              <w:jc w:val="center"/>
              <w:rPr>
                <w:bCs/>
                <w:sz w:val="16"/>
                <w:szCs w:val="16"/>
              </w:rPr>
            </w:pPr>
            <w:r w:rsidRPr="00CA0AE3">
              <w:rPr>
                <w:sz w:val="16"/>
                <w:szCs w:val="16"/>
              </w:rPr>
              <w:t>PCMH</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8E52F7" w:rsidRPr="00CA0AE3" w:rsidRDefault="008E52F7" w:rsidP="008E52F7">
            <w:pPr>
              <w:spacing w:after="0" w:line="240" w:lineRule="auto"/>
              <w:jc w:val="center"/>
              <w:rPr>
                <w:sz w:val="16"/>
                <w:szCs w:val="16"/>
              </w:rPr>
            </w:pPr>
            <w:r w:rsidRPr="00CA0AE3">
              <w:rPr>
                <w:sz w:val="16"/>
                <w:szCs w:val="16"/>
              </w:rPr>
              <w:t>No external benchmark; hospital specific improvement target = 90%</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8E52F7" w:rsidRPr="00CA0AE3" w:rsidRDefault="008E52F7" w:rsidP="008E52F7">
            <w:pPr>
              <w:spacing w:after="0" w:line="240" w:lineRule="auto"/>
              <w:jc w:val="center"/>
              <w:rPr>
                <w:color w:val="000000"/>
                <w:sz w:val="16"/>
                <w:szCs w:val="16"/>
              </w:rPr>
            </w:pPr>
            <w:r w:rsidRPr="00CA0AE3">
              <w:rPr>
                <w:bCs/>
                <w:sz w:val="16"/>
                <w:szCs w:val="16"/>
              </w:rPr>
              <w:t>Gap to Goal (10%) or attainment at target</w:t>
            </w:r>
          </w:p>
        </w:tc>
        <w:tc>
          <w:tcPr>
            <w:tcW w:w="1068"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8E52F7" w:rsidRPr="00CA0AE3" w:rsidRDefault="008E52F7" w:rsidP="008E52F7">
            <w:pPr>
              <w:spacing w:after="0" w:line="240" w:lineRule="auto"/>
              <w:jc w:val="center"/>
              <w:rPr>
                <w:rFonts w:eastAsia="Times New Roman"/>
                <w:b/>
                <w:bCs/>
                <w:kern w:val="24"/>
                <w:sz w:val="16"/>
                <w:szCs w:val="16"/>
              </w:rPr>
            </w:pPr>
            <w:r w:rsidRPr="00CA0AE3">
              <w:rPr>
                <w:rFonts w:eastAsia="Times New Roman"/>
                <w:b/>
                <w:bCs/>
                <w:kern w:val="24"/>
                <w:sz w:val="16"/>
                <w:szCs w:val="16"/>
              </w:rPr>
              <w:t>B</w:t>
            </w:r>
          </w:p>
        </w:tc>
        <w:tc>
          <w:tcPr>
            <w:tcW w:w="1068"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8E52F7" w:rsidRPr="00CA0AE3" w:rsidRDefault="008E52F7" w:rsidP="008E52F7">
            <w:pPr>
              <w:spacing w:after="0" w:line="240" w:lineRule="auto"/>
              <w:jc w:val="center"/>
              <w:rPr>
                <w:rFonts w:eastAsia="Times New Roman"/>
                <w:b/>
                <w:sz w:val="16"/>
                <w:szCs w:val="16"/>
              </w:rPr>
            </w:pPr>
            <w:r w:rsidRPr="00CA0AE3">
              <w:rPr>
                <w:rFonts w:eastAsia="Times New Roman"/>
                <w:b/>
                <w:sz w:val="16"/>
                <w:szCs w:val="16"/>
              </w:rPr>
              <w:t>O</w:t>
            </w:r>
          </w:p>
        </w:tc>
        <w:tc>
          <w:tcPr>
            <w:tcW w:w="1069"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8E52F7" w:rsidRPr="00CA0AE3" w:rsidRDefault="008E52F7" w:rsidP="008E52F7">
            <w:pPr>
              <w:spacing w:after="0" w:line="240" w:lineRule="auto"/>
              <w:jc w:val="center"/>
              <w:rPr>
                <w:rFonts w:eastAsia="Times New Roman"/>
                <w:b/>
                <w:sz w:val="16"/>
                <w:szCs w:val="16"/>
              </w:rPr>
            </w:pPr>
            <w:r w:rsidRPr="00CA0AE3">
              <w:rPr>
                <w:rFonts w:eastAsia="Times New Roman"/>
                <w:b/>
                <w:sz w:val="16"/>
                <w:szCs w:val="16"/>
              </w:rPr>
              <w:t>O</w:t>
            </w:r>
          </w:p>
        </w:tc>
        <w:tc>
          <w:tcPr>
            <w:tcW w:w="1068"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8E52F7" w:rsidRPr="00CA0AE3" w:rsidRDefault="008E52F7" w:rsidP="008E52F7">
            <w:pPr>
              <w:spacing w:after="0" w:line="240" w:lineRule="auto"/>
              <w:jc w:val="center"/>
              <w:rPr>
                <w:rFonts w:eastAsia="Times New Roman"/>
                <w:b/>
                <w:sz w:val="16"/>
                <w:szCs w:val="16"/>
              </w:rPr>
            </w:pPr>
            <w:r w:rsidRPr="00CA0AE3">
              <w:rPr>
                <w:rFonts w:eastAsia="Times New Roman"/>
                <w:b/>
                <w:sz w:val="16"/>
                <w:szCs w:val="16"/>
              </w:rPr>
              <w:t>O</w:t>
            </w:r>
          </w:p>
        </w:tc>
        <w:tc>
          <w:tcPr>
            <w:tcW w:w="1069"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8E52F7" w:rsidRPr="00CA0AE3" w:rsidRDefault="008E52F7" w:rsidP="008E52F7">
            <w:pPr>
              <w:spacing w:after="0" w:line="240" w:lineRule="auto"/>
              <w:jc w:val="center"/>
              <w:rPr>
                <w:rFonts w:eastAsia="Times New Roman"/>
                <w:b/>
                <w:sz w:val="16"/>
                <w:szCs w:val="16"/>
              </w:rPr>
            </w:pPr>
            <w:r w:rsidRPr="00CA0AE3">
              <w:rPr>
                <w:rFonts w:eastAsia="Times New Roman"/>
                <w:b/>
                <w:sz w:val="16"/>
                <w:szCs w:val="16"/>
              </w:rPr>
              <w:t>O</w:t>
            </w:r>
          </w:p>
        </w:tc>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tcPr>
          <w:p w:rsidR="008E52F7" w:rsidRPr="00CA0AE3" w:rsidRDefault="008E52F7" w:rsidP="008E52F7">
            <w:pPr>
              <w:spacing w:after="0" w:line="240" w:lineRule="auto"/>
              <w:rPr>
                <w:rFonts w:eastAsia="Times New Roman"/>
                <w:sz w:val="16"/>
                <w:szCs w:val="16"/>
              </w:rPr>
            </w:pPr>
            <w:r w:rsidRPr="00CA0AE3">
              <w:rPr>
                <w:rFonts w:eastAsia="Times New Roman"/>
                <w:sz w:val="16"/>
                <w:szCs w:val="16"/>
              </w:rPr>
              <w:t>Target based on evidence-based depression programming in primary care.</w:t>
            </w:r>
          </w:p>
        </w:tc>
      </w:tr>
      <w:tr w:rsidR="008E52F7" w:rsidRPr="00CA0AE3" w:rsidTr="003C48F3">
        <w:trPr>
          <w:cantSplit/>
          <w:jc w:val="center"/>
        </w:trPr>
        <w:tc>
          <w:tcPr>
            <w:tcW w:w="370" w:type="dxa"/>
            <w:tcBorders>
              <w:top w:val="single" w:sz="8" w:space="0" w:color="000000"/>
              <w:left w:val="single" w:sz="8" w:space="0" w:color="000000"/>
              <w:bottom w:val="single" w:sz="8" w:space="0" w:color="000000"/>
              <w:right w:val="single" w:sz="8" w:space="0" w:color="000000"/>
            </w:tcBorders>
            <w:vAlign w:val="center"/>
          </w:tcPr>
          <w:p w:rsidR="008E52F7" w:rsidRPr="00CA0AE3" w:rsidRDefault="008E52F7" w:rsidP="008E52F7">
            <w:pPr>
              <w:spacing w:after="0" w:line="240" w:lineRule="auto"/>
              <w:jc w:val="center"/>
              <w:rPr>
                <w:sz w:val="16"/>
                <w:szCs w:val="16"/>
              </w:rPr>
            </w:pPr>
            <w:r w:rsidRPr="00CA0AE3">
              <w:rPr>
                <w:sz w:val="16"/>
                <w:szCs w:val="16"/>
              </w:rPr>
              <w:lastRenderedPageBreak/>
              <w:t>4</w:t>
            </w:r>
          </w:p>
        </w:tc>
        <w:tc>
          <w:tcPr>
            <w:tcW w:w="1455"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8E52F7" w:rsidRPr="00CA0AE3" w:rsidRDefault="008E52F7" w:rsidP="008E52F7">
            <w:pPr>
              <w:spacing w:after="0" w:line="240" w:lineRule="auto"/>
              <w:rPr>
                <w:sz w:val="16"/>
                <w:szCs w:val="16"/>
              </w:rPr>
            </w:pPr>
            <w:r w:rsidRPr="00CA0AE3">
              <w:rPr>
                <w:sz w:val="16"/>
                <w:szCs w:val="16"/>
              </w:rPr>
              <w:t xml:space="preserve">Primary Care Provider confidence in management of substance use disorders, measured through annual survey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8E52F7" w:rsidRPr="00CA0AE3" w:rsidRDefault="008E52F7" w:rsidP="008E52F7">
            <w:pPr>
              <w:spacing w:after="0" w:line="240" w:lineRule="auto"/>
              <w:jc w:val="center"/>
              <w:rPr>
                <w:bCs/>
                <w:sz w:val="16"/>
                <w:szCs w:val="16"/>
              </w:rPr>
            </w:pPr>
            <w:r w:rsidRPr="00CA0AE3">
              <w:rPr>
                <w:sz w:val="16"/>
                <w:szCs w:val="16"/>
              </w:rPr>
              <w:t>PCMH</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8E52F7" w:rsidRPr="00CA0AE3" w:rsidRDefault="008E52F7" w:rsidP="008E52F7">
            <w:pPr>
              <w:spacing w:after="0" w:line="240" w:lineRule="auto"/>
              <w:jc w:val="center"/>
              <w:rPr>
                <w:sz w:val="16"/>
                <w:szCs w:val="16"/>
              </w:rPr>
            </w:pPr>
            <w:r w:rsidRPr="00CA0AE3">
              <w:rPr>
                <w:sz w:val="16"/>
                <w:szCs w:val="16"/>
              </w:rPr>
              <w:t>No external benchmark; hospital specific improvement target = 70%</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8E52F7" w:rsidRPr="00CA0AE3" w:rsidRDefault="008E52F7" w:rsidP="008E52F7">
            <w:pPr>
              <w:spacing w:after="0" w:line="240" w:lineRule="auto"/>
              <w:jc w:val="center"/>
              <w:rPr>
                <w:color w:val="000000"/>
                <w:sz w:val="16"/>
                <w:szCs w:val="16"/>
              </w:rPr>
            </w:pPr>
            <w:r w:rsidRPr="00CA0AE3">
              <w:rPr>
                <w:bCs/>
                <w:sz w:val="16"/>
                <w:szCs w:val="16"/>
              </w:rPr>
              <w:t>Gap to Goal (10%) or attainment at target</w:t>
            </w:r>
          </w:p>
        </w:tc>
        <w:tc>
          <w:tcPr>
            <w:tcW w:w="1068"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8E52F7" w:rsidRPr="00CA0AE3" w:rsidRDefault="008E52F7" w:rsidP="008E52F7">
            <w:pPr>
              <w:spacing w:after="0" w:line="240" w:lineRule="auto"/>
              <w:jc w:val="center"/>
              <w:rPr>
                <w:rFonts w:eastAsia="Times New Roman"/>
                <w:b/>
                <w:bCs/>
                <w:kern w:val="24"/>
                <w:sz w:val="16"/>
                <w:szCs w:val="16"/>
              </w:rPr>
            </w:pPr>
            <w:r w:rsidRPr="00CA0AE3">
              <w:rPr>
                <w:rFonts w:eastAsia="Times New Roman"/>
                <w:b/>
                <w:bCs/>
                <w:kern w:val="24"/>
                <w:sz w:val="16"/>
                <w:szCs w:val="16"/>
              </w:rPr>
              <w:t>B</w:t>
            </w:r>
          </w:p>
        </w:tc>
        <w:tc>
          <w:tcPr>
            <w:tcW w:w="1068"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8E52F7" w:rsidRPr="00CA0AE3" w:rsidRDefault="008E52F7" w:rsidP="008E52F7">
            <w:pPr>
              <w:spacing w:after="0" w:line="240" w:lineRule="auto"/>
              <w:jc w:val="center"/>
              <w:rPr>
                <w:rFonts w:eastAsia="Times New Roman"/>
                <w:b/>
                <w:sz w:val="16"/>
                <w:szCs w:val="16"/>
              </w:rPr>
            </w:pPr>
            <w:r w:rsidRPr="00CA0AE3">
              <w:rPr>
                <w:rFonts w:eastAsia="Times New Roman"/>
                <w:b/>
                <w:sz w:val="16"/>
                <w:szCs w:val="16"/>
              </w:rPr>
              <w:t>O</w:t>
            </w:r>
          </w:p>
        </w:tc>
        <w:tc>
          <w:tcPr>
            <w:tcW w:w="1069"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8E52F7" w:rsidRPr="00CA0AE3" w:rsidRDefault="008E52F7" w:rsidP="008E52F7">
            <w:pPr>
              <w:spacing w:after="0" w:line="240" w:lineRule="auto"/>
              <w:jc w:val="center"/>
              <w:rPr>
                <w:rFonts w:eastAsia="Times New Roman"/>
                <w:b/>
                <w:sz w:val="16"/>
                <w:szCs w:val="16"/>
              </w:rPr>
            </w:pPr>
            <w:r w:rsidRPr="00CA0AE3">
              <w:rPr>
                <w:rFonts w:eastAsia="Times New Roman"/>
                <w:b/>
                <w:sz w:val="16"/>
                <w:szCs w:val="16"/>
              </w:rPr>
              <w:t>O</w:t>
            </w:r>
          </w:p>
        </w:tc>
        <w:tc>
          <w:tcPr>
            <w:tcW w:w="1068"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8E52F7" w:rsidRPr="00CA0AE3" w:rsidRDefault="008E52F7" w:rsidP="008E52F7">
            <w:pPr>
              <w:spacing w:after="0" w:line="240" w:lineRule="auto"/>
              <w:jc w:val="center"/>
              <w:rPr>
                <w:rFonts w:eastAsia="Times New Roman"/>
                <w:b/>
                <w:sz w:val="16"/>
                <w:szCs w:val="16"/>
              </w:rPr>
            </w:pPr>
            <w:r w:rsidRPr="00CA0AE3">
              <w:rPr>
                <w:rFonts w:eastAsia="Times New Roman"/>
                <w:b/>
                <w:sz w:val="16"/>
                <w:szCs w:val="16"/>
              </w:rPr>
              <w:t>O</w:t>
            </w:r>
          </w:p>
        </w:tc>
        <w:tc>
          <w:tcPr>
            <w:tcW w:w="1069"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8E52F7" w:rsidRPr="00CA0AE3" w:rsidRDefault="008E52F7" w:rsidP="008E52F7">
            <w:pPr>
              <w:spacing w:after="0" w:line="240" w:lineRule="auto"/>
              <w:jc w:val="center"/>
              <w:rPr>
                <w:rFonts w:eastAsia="Times New Roman"/>
                <w:b/>
                <w:sz w:val="16"/>
                <w:szCs w:val="16"/>
              </w:rPr>
            </w:pPr>
            <w:r w:rsidRPr="00CA0AE3">
              <w:rPr>
                <w:rFonts w:eastAsia="Times New Roman"/>
                <w:b/>
                <w:sz w:val="16"/>
                <w:szCs w:val="16"/>
              </w:rPr>
              <w:t>O</w:t>
            </w:r>
          </w:p>
        </w:tc>
        <w:tc>
          <w:tcPr>
            <w:tcW w:w="0" w:type="auto"/>
            <w:tcBorders>
              <w:top w:val="single" w:sz="8" w:space="0" w:color="000000"/>
              <w:left w:val="single" w:sz="8" w:space="0" w:color="000000"/>
              <w:bottom w:val="single" w:sz="8" w:space="0" w:color="000000"/>
              <w:right w:val="single" w:sz="8" w:space="0" w:color="000000"/>
            </w:tcBorders>
            <w:vAlign w:val="center"/>
          </w:tcPr>
          <w:p w:rsidR="008E52F7" w:rsidRPr="00CA0AE3" w:rsidRDefault="008E52F7" w:rsidP="008E52F7">
            <w:pPr>
              <w:spacing w:after="0" w:line="240" w:lineRule="auto"/>
              <w:rPr>
                <w:rFonts w:eastAsia="Times New Roman"/>
                <w:sz w:val="16"/>
                <w:szCs w:val="16"/>
              </w:rPr>
            </w:pPr>
            <w:r w:rsidRPr="00CA0AE3">
              <w:rPr>
                <w:rFonts w:eastAsia="Times New Roman"/>
                <w:sz w:val="16"/>
                <w:szCs w:val="16"/>
              </w:rPr>
              <w:t>Target based on newness of initiative introducing universal screening for substance use disorders in primary care and care management initiatives.</w:t>
            </w:r>
          </w:p>
        </w:tc>
      </w:tr>
      <w:tr w:rsidR="008E52F7" w:rsidRPr="00CA0AE3" w:rsidTr="003C48F3">
        <w:trPr>
          <w:cantSplit/>
          <w:jc w:val="center"/>
        </w:trPr>
        <w:tc>
          <w:tcPr>
            <w:tcW w:w="370" w:type="dxa"/>
            <w:tcBorders>
              <w:top w:val="single" w:sz="8" w:space="0" w:color="000000"/>
              <w:left w:val="single" w:sz="8" w:space="0" w:color="000000"/>
              <w:bottom w:val="single" w:sz="8" w:space="0" w:color="000000"/>
              <w:right w:val="single" w:sz="8" w:space="0" w:color="000000"/>
            </w:tcBorders>
            <w:vAlign w:val="center"/>
          </w:tcPr>
          <w:p w:rsidR="008E52F7" w:rsidRPr="00CA0AE3" w:rsidRDefault="008E52F7" w:rsidP="008E52F7">
            <w:pPr>
              <w:spacing w:after="0" w:line="240" w:lineRule="auto"/>
              <w:jc w:val="center"/>
              <w:rPr>
                <w:sz w:val="16"/>
                <w:szCs w:val="16"/>
              </w:rPr>
            </w:pPr>
            <w:r w:rsidRPr="00CA0AE3">
              <w:rPr>
                <w:sz w:val="16"/>
                <w:szCs w:val="16"/>
              </w:rPr>
              <w:t>5</w:t>
            </w:r>
          </w:p>
        </w:tc>
        <w:tc>
          <w:tcPr>
            <w:tcW w:w="1455"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8E52F7" w:rsidRPr="00CA0AE3" w:rsidRDefault="008E52F7" w:rsidP="008E52F7">
            <w:pPr>
              <w:spacing w:after="0" w:line="240" w:lineRule="auto"/>
              <w:rPr>
                <w:bCs/>
                <w:sz w:val="16"/>
                <w:szCs w:val="16"/>
              </w:rPr>
            </w:pPr>
            <w:r w:rsidRPr="00CA0AE3">
              <w:rPr>
                <w:bCs/>
                <w:sz w:val="16"/>
                <w:szCs w:val="16"/>
              </w:rPr>
              <w:t>Screening and Brief Intervention for Alcohol Use for adults</w:t>
            </w:r>
          </w:p>
          <w:p w:rsidR="008E52F7" w:rsidRPr="00CA0AE3" w:rsidRDefault="008E52F7" w:rsidP="008E52F7">
            <w:pPr>
              <w:spacing w:after="0" w:line="240" w:lineRule="auto"/>
              <w:rPr>
                <w:bCs/>
                <w:sz w:val="16"/>
                <w:szCs w:val="16"/>
              </w:rPr>
            </w:pPr>
            <w:r w:rsidRPr="00CA0AE3">
              <w:rPr>
                <w:sz w:val="16"/>
                <w:szCs w:val="16"/>
              </w:rPr>
              <w:t>(across all core primary care sites)</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8E52F7" w:rsidRPr="00CA0AE3" w:rsidRDefault="008E52F7" w:rsidP="008E52F7">
            <w:pPr>
              <w:spacing w:after="0" w:line="240" w:lineRule="auto"/>
              <w:jc w:val="center"/>
              <w:rPr>
                <w:sz w:val="16"/>
                <w:szCs w:val="16"/>
              </w:rPr>
            </w:pPr>
            <w:r w:rsidRPr="00CA0AE3">
              <w:rPr>
                <w:bCs/>
                <w:sz w:val="16"/>
                <w:szCs w:val="16"/>
              </w:rPr>
              <w:t>NQF 2152</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8E52F7" w:rsidRPr="00CA0AE3" w:rsidRDefault="008E52F7" w:rsidP="008E52F7">
            <w:pPr>
              <w:spacing w:after="0" w:line="240" w:lineRule="auto"/>
              <w:jc w:val="center"/>
              <w:rPr>
                <w:bCs/>
                <w:sz w:val="16"/>
                <w:szCs w:val="16"/>
              </w:rPr>
            </w:pPr>
            <w:r w:rsidRPr="00CA0AE3">
              <w:rPr>
                <w:sz w:val="16"/>
                <w:szCs w:val="16"/>
              </w:rPr>
              <w:t>No external benchmark; hospital specific improvement target = 65%</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8E52F7" w:rsidRPr="00CA0AE3" w:rsidRDefault="008E52F7" w:rsidP="008E52F7">
            <w:pPr>
              <w:spacing w:after="0" w:line="240" w:lineRule="auto"/>
              <w:jc w:val="center"/>
              <w:rPr>
                <w:sz w:val="16"/>
                <w:szCs w:val="16"/>
              </w:rPr>
            </w:pPr>
            <w:r w:rsidRPr="00CA0AE3">
              <w:rPr>
                <w:bCs/>
                <w:sz w:val="16"/>
                <w:szCs w:val="16"/>
              </w:rPr>
              <w:t>Gap to Goal (10%) or attainment at target</w:t>
            </w:r>
          </w:p>
        </w:tc>
        <w:tc>
          <w:tcPr>
            <w:tcW w:w="1068"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8E52F7" w:rsidRPr="00CA0AE3" w:rsidRDefault="008E52F7" w:rsidP="008E52F7">
            <w:pPr>
              <w:spacing w:after="0" w:line="240" w:lineRule="auto"/>
              <w:jc w:val="center"/>
              <w:rPr>
                <w:rFonts w:eastAsia="Times New Roman"/>
                <w:b/>
                <w:bCs/>
                <w:kern w:val="24"/>
                <w:sz w:val="16"/>
                <w:szCs w:val="16"/>
              </w:rPr>
            </w:pPr>
            <w:r w:rsidRPr="00CA0AE3">
              <w:rPr>
                <w:rFonts w:eastAsia="Times New Roman"/>
                <w:b/>
                <w:bCs/>
                <w:kern w:val="24"/>
                <w:sz w:val="16"/>
                <w:szCs w:val="16"/>
              </w:rPr>
              <w:t>O</w:t>
            </w:r>
          </w:p>
        </w:tc>
        <w:tc>
          <w:tcPr>
            <w:tcW w:w="1068"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8E52F7" w:rsidRPr="00CA0AE3" w:rsidRDefault="008E52F7" w:rsidP="008E52F7">
            <w:pPr>
              <w:spacing w:after="0" w:line="240" w:lineRule="auto"/>
              <w:jc w:val="center"/>
              <w:rPr>
                <w:rFonts w:eastAsia="Times New Roman"/>
                <w:b/>
                <w:sz w:val="16"/>
                <w:szCs w:val="16"/>
              </w:rPr>
            </w:pPr>
            <w:r w:rsidRPr="00CA0AE3">
              <w:rPr>
                <w:rFonts w:eastAsia="Times New Roman"/>
                <w:b/>
                <w:sz w:val="16"/>
                <w:szCs w:val="16"/>
              </w:rPr>
              <w:t>O</w:t>
            </w:r>
          </w:p>
        </w:tc>
        <w:tc>
          <w:tcPr>
            <w:tcW w:w="1069"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8E52F7" w:rsidRPr="00CA0AE3" w:rsidRDefault="008E52F7" w:rsidP="008E52F7">
            <w:pPr>
              <w:spacing w:after="0" w:line="240" w:lineRule="auto"/>
              <w:jc w:val="center"/>
              <w:rPr>
                <w:rFonts w:eastAsia="Times New Roman"/>
                <w:b/>
                <w:sz w:val="16"/>
                <w:szCs w:val="16"/>
              </w:rPr>
            </w:pPr>
            <w:r w:rsidRPr="00CA0AE3">
              <w:rPr>
                <w:rFonts w:eastAsia="Times New Roman"/>
                <w:b/>
                <w:sz w:val="16"/>
                <w:szCs w:val="16"/>
              </w:rPr>
              <w:t>O</w:t>
            </w:r>
          </w:p>
        </w:tc>
        <w:tc>
          <w:tcPr>
            <w:tcW w:w="1068"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8E52F7" w:rsidRPr="00CA0AE3" w:rsidRDefault="008E52F7" w:rsidP="008E52F7">
            <w:pPr>
              <w:spacing w:after="0" w:line="240" w:lineRule="auto"/>
              <w:jc w:val="center"/>
              <w:rPr>
                <w:rFonts w:eastAsia="Times New Roman"/>
                <w:b/>
                <w:sz w:val="16"/>
                <w:szCs w:val="16"/>
              </w:rPr>
            </w:pPr>
            <w:r w:rsidRPr="00CA0AE3">
              <w:rPr>
                <w:rFonts w:eastAsia="Times New Roman"/>
                <w:b/>
                <w:sz w:val="16"/>
                <w:szCs w:val="16"/>
              </w:rPr>
              <w:t>O</w:t>
            </w:r>
          </w:p>
        </w:tc>
        <w:tc>
          <w:tcPr>
            <w:tcW w:w="1069"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8E52F7" w:rsidRPr="00CA0AE3" w:rsidRDefault="008E52F7" w:rsidP="008E52F7">
            <w:pPr>
              <w:spacing w:after="0" w:line="240" w:lineRule="auto"/>
              <w:jc w:val="center"/>
              <w:rPr>
                <w:rFonts w:eastAsia="Times New Roman"/>
                <w:b/>
                <w:sz w:val="16"/>
                <w:szCs w:val="16"/>
              </w:rPr>
            </w:pPr>
            <w:r w:rsidRPr="00CA0AE3">
              <w:rPr>
                <w:rFonts w:eastAsia="Times New Roman"/>
                <w:b/>
                <w:sz w:val="16"/>
                <w:szCs w:val="16"/>
              </w:rPr>
              <w:t>O</w:t>
            </w:r>
          </w:p>
        </w:tc>
        <w:tc>
          <w:tcPr>
            <w:tcW w:w="0" w:type="auto"/>
            <w:tcBorders>
              <w:top w:val="single" w:sz="8" w:space="0" w:color="000000"/>
              <w:left w:val="single" w:sz="8" w:space="0" w:color="000000"/>
              <w:bottom w:val="single" w:sz="8" w:space="0" w:color="000000"/>
              <w:right w:val="single" w:sz="8" w:space="0" w:color="000000"/>
            </w:tcBorders>
            <w:vAlign w:val="center"/>
          </w:tcPr>
          <w:p w:rsidR="008E52F7" w:rsidRPr="00CA0AE3" w:rsidRDefault="008E52F7" w:rsidP="008E52F7">
            <w:pPr>
              <w:spacing w:after="0" w:line="240" w:lineRule="auto"/>
              <w:rPr>
                <w:rFonts w:eastAsia="Times New Roman"/>
                <w:sz w:val="16"/>
                <w:szCs w:val="16"/>
              </w:rPr>
            </w:pPr>
            <w:r w:rsidRPr="00CA0AE3">
              <w:rPr>
                <w:sz w:val="16"/>
                <w:szCs w:val="16"/>
              </w:rPr>
              <w:t>Target based on literature review of best practice performance levels.</w:t>
            </w:r>
            <w:r w:rsidRPr="00CA0AE3">
              <w:rPr>
                <w:rStyle w:val="FootnoteReference"/>
                <w:sz w:val="16"/>
                <w:szCs w:val="16"/>
              </w:rPr>
              <w:footnoteReference w:id="106"/>
            </w:r>
          </w:p>
        </w:tc>
      </w:tr>
      <w:tr w:rsidR="008E52F7" w:rsidRPr="00CA0AE3" w:rsidTr="003C48F3">
        <w:trPr>
          <w:cantSplit/>
          <w:jc w:val="center"/>
        </w:trPr>
        <w:tc>
          <w:tcPr>
            <w:tcW w:w="370" w:type="dxa"/>
            <w:tcBorders>
              <w:top w:val="single" w:sz="8" w:space="0" w:color="000000"/>
              <w:left w:val="single" w:sz="8" w:space="0" w:color="000000"/>
              <w:bottom w:val="single" w:sz="8" w:space="0" w:color="000000"/>
              <w:right w:val="single" w:sz="8" w:space="0" w:color="000000"/>
            </w:tcBorders>
            <w:vAlign w:val="center"/>
          </w:tcPr>
          <w:p w:rsidR="008E52F7" w:rsidRPr="00CA0AE3" w:rsidRDefault="008E52F7" w:rsidP="008E52F7">
            <w:pPr>
              <w:spacing w:after="0" w:line="240" w:lineRule="auto"/>
              <w:jc w:val="center"/>
              <w:rPr>
                <w:sz w:val="16"/>
                <w:szCs w:val="16"/>
              </w:rPr>
            </w:pPr>
            <w:r w:rsidRPr="00CA0AE3">
              <w:rPr>
                <w:sz w:val="16"/>
                <w:szCs w:val="16"/>
              </w:rPr>
              <w:t>6</w:t>
            </w:r>
          </w:p>
        </w:tc>
        <w:tc>
          <w:tcPr>
            <w:tcW w:w="1455"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8E52F7" w:rsidRPr="00CA0AE3" w:rsidRDefault="008E52F7" w:rsidP="008E52F7">
            <w:pPr>
              <w:spacing w:after="0" w:line="240" w:lineRule="auto"/>
              <w:rPr>
                <w:sz w:val="16"/>
                <w:szCs w:val="16"/>
              </w:rPr>
            </w:pPr>
            <w:r w:rsidRPr="00CA0AE3">
              <w:rPr>
                <w:sz w:val="16"/>
                <w:szCs w:val="16"/>
              </w:rPr>
              <w:t>Screening and Brief Intervention for Drug Use for adults</w:t>
            </w:r>
          </w:p>
          <w:p w:rsidR="008E52F7" w:rsidRPr="00CA0AE3" w:rsidRDefault="008E52F7" w:rsidP="008E52F7">
            <w:pPr>
              <w:spacing w:after="0" w:line="240" w:lineRule="auto"/>
              <w:rPr>
                <w:sz w:val="16"/>
                <w:szCs w:val="16"/>
              </w:rPr>
            </w:pPr>
            <w:r w:rsidRPr="00CA0AE3">
              <w:rPr>
                <w:sz w:val="16"/>
                <w:szCs w:val="16"/>
              </w:rPr>
              <w:t>(across all core primary care sites)</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8E52F7" w:rsidRPr="00CA0AE3" w:rsidRDefault="008E52F7" w:rsidP="008E52F7">
            <w:pPr>
              <w:spacing w:after="0" w:line="240" w:lineRule="auto"/>
              <w:jc w:val="center"/>
              <w:rPr>
                <w:bCs/>
                <w:sz w:val="16"/>
                <w:szCs w:val="16"/>
              </w:rPr>
            </w:pPr>
            <w:r w:rsidRPr="00CA0AE3">
              <w:rPr>
                <w:bCs/>
                <w:sz w:val="16"/>
                <w:szCs w:val="16"/>
              </w:rPr>
              <w:t>NQF 2152, adapted to include substance use</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8E52F7" w:rsidRPr="00CA0AE3" w:rsidRDefault="008E52F7" w:rsidP="008E52F7">
            <w:pPr>
              <w:spacing w:after="0" w:line="240" w:lineRule="auto"/>
              <w:jc w:val="center"/>
              <w:rPr>
                <w:bCs/>
                <w:sz w:val="16"/>
                <w:szCs w:val="16"/>
              </w:rPr>
            </w:pPr>
            <w:r w:rsidRPr="00CA0AE3">
              <w:rPr>
                <w:sz w:val="16"/>
                <w:szCs w:val="16"/>
              </w:rPr>
              <w:t>No external benchmark; hospital specific improvement target = 65%</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8E52F7" w:rsidRPr="00CA0AE3" w:rsidRDefault="008E52F7" w:rsidP="008E52F7">
            <w:pPr>
              <w:spacing w:after="0" w:line="240" w:lineRule="auto"/>
              <w:jc w:val="center"/>
              <w:rPr>
                <w:sz w:val="16"/>
                <w:szCs w:val="16"/>
              </w:rPr>
            </w:pPr>
            <w:r w:rsidRPr="00CA0AE3">
              <w:rPr>
                <w:bCs/>
                <w:sz w:val="16"/>
                <w:szCs w:val="16"/>
              </w:rPr>
              <w:t>Gap to Goal (10%) or attainment at target</w:t>
            </w:r>
          </w:p>
        </w:tc>
        <w:tc>
          <w:tcPr>
            <w:tcW w:w="1068"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8E52F7" w:rsidRPr="00CA0AE3" w:rsidRDefault="008E52F7" w:rsidP="008E52F7">
            <w:pPr>
              <w:spacing w:after="0" w:line="240" w:lineRule="auto"/>
              <w:jc w:val="center"/>
              <w:rPr>
                <w:rFonts w:eastAsia="Times New Roman"/>
                <w:b/>
                <w:bCs/>
                <w:kern w:val="24"/>
                <w:sz w:val="16"/>
                <w:szCs w:val="16"/>
              </w:rPr>
            </w:pPr>
            <w:r w:rsidRPr="00CA0AE3">
              <w:rPr>
                <w:rFonts w:eastAsia="Times New Roman"/>
                <w:b/>
                <w:bCs/>
                <w:kern w:val="24"/>
                <w:sz w:val="16"/>
                <w:szCs w:val="16"/>
              </w:rPr>
              <w:t>B</w:t>
            </w:r>
          </w:p>
        </w:tc>
        <w:tc>
          <w:tcPr>
            <w:tcW w:w="1068"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8E52F7" w:rsidRPr="00CA0AE3" w:rsidRDefault="008E52F7" w:rsidP="008E52F7">
            <w:pPr>
              <w:spacing w:after="0" w:line="240" w:lineRule="auto"/>
              <w:jc w:val="center"/>
              <w:rPr>
                <w:rFonts w:eastAsia="Times New Roman"/>
                <w:b/>
                <w:sz w:val="16"/>
                <w:szCs w:val="16"/>
              </w:rPr>
            </w:pPr>
            <w:r w:rsidRPr="00CA0AE3">
              <w:rPr>
                <w:rFonts w:eastAsia="Times New Roman"/>
                <w:b/>
                <w:sz w:val="16"/>
                <w:szCs w:val="16"/>
              </w:rPr>
              <w:t>O</w:t>
            </w:r>
          </w:p>
        </w:tc>
        <w:tc>
          <w:tcPr>
            <w:tcW w:w="1069"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8E52F7" w:rsidRPr="00CA0AE3" w:rsidRDefault="008E52F7" w:rsidP="008E52F7">
            <w:pPr>
              <w:spacing w:after="0" w:line="240" w:lineRule="auto"/>
              <w:jc w:val="center"/>
              <w:rPr>
                <w:rFonts w:eastAsia="Times New Roman"/>
                <w:b/>
                <w:sz w:val="16"/>
                <w:szCs w:val="16"/>
              </w:rPr>
            </w:pPr>
            <w:r w:rsidRPr="00CA0AE3">
              <w:rPr>
                <w:rFonts w:eastAsia="Times New Roman"/>
                <w:b/>
                <w:sz w:val="16"/>
                <w:szCs w:val="16"/>
              </w:rPr>
              <w:t>O</w:t>
            </w:r>
          </w:p>
        </w:tc>
        <w:tc>
          <w:tcPr>
            <w:tcW w:w="1068"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8E52F7" w:rsidRPr="00CA0AE3" w:rsidRDefault="008E52F7" w:rsidP="008E52F7">
            <w:pPr>
              <w:spacing w:after="0" w:line="240" w:lineRule="auto"/>
              <w:jc w:val="center"/>
              <w:rPr>
                <w:rFonts w:eastAsia="Times New Roman"/>
                <w:b/>
                <w:sz w:val="16"/>
                <w:szCs w:val="16"/>
              </w:rPr>
            </w:pPr>
            <w:r w:rsidRPr="00CA0AE3">
              <w:rPr>
                <w:rFonts w:eastAsia="Times New Roman"/>
                <w:b/>
                <w:sz w:val="16"/>
                <w:szCs w:val="16"/>
              </w:rPr>
              <w:t>O</w:t>
            </w:r>
          </w:p>
        </w:tc>
        <w:tc>
          <w:tcPr>
            <w:tcW w:w="1069"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8E52F7" w:rsidRPr="00CA0AE3" w:rsidRDefault="008E52F7" w:rsidP="008E52F7">
            <w:pPr>
              <w:spacing w:after="0" w:line="240" w:lineRule="auto"/>
              <w:jc w:val="center"/>
              <w:rPr>
                <w:rFonts w:eastAsia="Times New Roman"/>
                <w:b/>
                <w:sz w:val="16"/>
                <w:szCs w:val="16"/>
              </w:rPr>
            </w:pPr>
            <w:r w:rsidRPr="00CA0AE3">
              <w:rPr>
                <w:rFonts w:eastAsia="Times New Roman"/>
                <w:b/>
                <w:sz w:val="16"/>
                <w:szCs w:val="16"/>
              </w:rPr>
              <w:t>O</w:t>
            </w:r>
          </w:p>
        </w:tc>
        <w:tc>
          <w:tcPr>
            <w:tcW w:w="0" w:type="auto"/>
            <w:tcBorders>
              <w:top w:val="single" w:sz="8" w:space="0" w:color="000000"/>
              <w:left w:val="single" w:sz="8" w:space="0" w:color="000000"/>
              <w:bottom w:val="single" w:sz="8" w:space="0" w:color="000000"/>
              <w:right w:val="single" w:sz="8" w:space="0" w:color="000000"/>
            </w:tcBorders>
            <w:vAlign w:val="center"/>
          </w:tcPr>
          <w:p w:rsidR="008E52F7" w:rsidRPr="00CA0AE3" w:rsidRDefault="008E52F7" w:rsidP="008E52F7">
            <w:pPr>
              <w:spacing w:after="0" w:line="240" w:lineRule="auto"/>
              <w:rPr>
                <w:rFonts w:eastAsia="Times New Roman"/>
                <w:sz w:val="16"/>
                <w:szCs w:val="16"/>
              </w:rPr>
            </w:pPr>
            <w:r w:rsidRPr="00CA0AE3">
              <w:rPr>
                <w:rFonts w:eastAsia="Times New Roman"/>
                <w:sz w:val="16"/>
                <w:szCs w:val="16"/>
              </w:rPr>
              <w:t xml:space="preserve">Same as above. </w:t>
            </w:r>
          </w:p>
        </w:tc>
      </w:tr>
      <w:tr w:rsidR="008E52F7" w:rsidRPr="00CA0AE3" w:rsidTr="003C48F3">
        <w:trPr>
          <w:cantSplit/>
          <w:jc w:val="center"/>
        </w:trPr>
        <w:tc>
          <w:tcPr>
            <w:tcW w:w="370" w:type="dxa"/>
            <w:tcBorders>
              <w:top w:val="single" w:sz="8" w:space="0" w:color="000000"/>
              <w:left w:val="single" w:sz="8" w:space="0" w:color="000000"/>
              <w:bottom w:val="single" w:sz="8" w:space="0" w:color="000000"/>
              <w:right w:val="single" w:sz="8" w:space="0" w:color="000000"/>
            </w:tcBorders>
            <w:shd w:val="clear" w:color="auto" w:fill="auto"/>
            <w:vAlign w:val="center"/>
          </w:tcPr>
          <w:p w:rsidR="008E52F7" w:rsidRPr="00CA0AE3" w:rsidRDefault="008E52F7" w:rsidP="008E52F7">
            <w:pPr>
              <w:spacing w:after="0" w:line="240" w:lineRule="auto"/>
              <w:jc w:val="center"/>
              <w:rPr>
                <w:sz w:val="16"/>
                <w:szCs w:val="16"/>
              </w:rPr>
            </w:pPr>
            <w:r w:rsidRPr="00CA0AE3">
              <w:rPr>
                <w:sz w:val="16"/>
                <w:szCs w:val="16"/>
              </w:rPr>
              <w:t>7</w:t>
            </w:r>
          </w:p>
        </w:tc>
        <w:tc>
          <w:tcPr>
            <w:tcW w:w="1455"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8E52F7" w:rsidRPr="00CA0AE3" w:rsidRDefault="008E52F7" w:rsidP="008E52F7">
            <w:pPr>
              <w:spacing w:after="0" w:line="240" w:lineRule="auto"/>
              <w:rPr>
                <w:sz w:val="16"/>
                <w:szCs w:val="16"/>
              </w:rPr>
            </w:pPr>
            <w:r w:rsidRPr="00CA0AE3">
              <w:rPr>
                <w:sz w:val="16"/>
                <w:szCs w:val="16"/>
              </w:rPr>
              <w:t>Patients on Chronic Opioid Therapy with a Controlled Substance Agreement</w:t>
            </w:r>
          </w:p>
          <w:p w:rsidR="008E52F7" w:rsidRPr="00CA0AE3" w:rsidRDefault="008E52F7" w:rsidP="008E52F7">
            <w:pPr>
              <w:spacing w:after="0" w:line="240" w:lineRule="auto"/>
              <w:rPr>
                <w:sz w:val="16"/>
                <w:szCs w:val="16"/>
              </w:rPr>
            </w:pPr>
            <w:r w:rsidRPr="00CA0AE3">
              <w:rPr>
                <w:sz w:val="16"/>
                <w:szCs w:val="16"/>
              </w:rPr>
              <w:t>(across all core primary care sites)</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8E52F7" w:rsidRPr="00CA0AE3" w:rsidRDefault="008E52F7" w:rsidP="008E52F7">
            <w:pPr>
              <w:spacing w:after="0" w:line="240" w:lineRule="auto"/>
              <w:jc w:val="center"/>
              <w:rPr>
                <w:bCs/>
                <w:sz w:val="16"/>
                <w:szCs w:val="16"/>
              </w:rPr>
            </w:pPr>
            <w:r w:rsidRPr="00CA0AE3">
              <w:rPr>
                <w:bCs/>
                <w:sz w:val="16"/>
                <w:szCs w:val="16"/>
              </w:rPr>
              <w:t>N/A</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8E52F7" w:rsidRPr="00CA0AE3" w:rsidRDefault="008E52F7" w:rsidP="008E52F7">
            <w:pPr>
              <w:spacing w:after="0" w:line="240" w:lineRule="auto"/>
              <w:jc w:val="center"/>
              <w:rPr>
                <w:sz w:val="16"/>
                <w:szCs w:val="16"/>
              </w:rPr>
            </w:pPr>
            <w:r w:rsidRPr="00CA0AE3">
              <w:rPr>
                <w:sz w:val="16"/>
                <w:szCs w:val="16"/>
              </w:rPr>
              <w:t>No external benchmark; hospital-specific improvement target = 80%</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8E52F7" w:rsidRPr="00CA0AE3" w:rsidRDefault="008E52F7" w:rsidP="008E52F7">
            <w:pPr>
              <w:spacing w:after="0" w:line="240" w:lineRule="auto"/>
              <w:jc w:val="center"/>
              <w:rPr>
                <w:bCs/>
                <w:sz w:val="16"/>
                <w:szCs w:val="16"/>
              </w:rPr>
            </w:pPr>
            <w:r w:rsidRPr="00CA0AE3">
              <w:rPr>
                <w:bCs/>
                <w:sz w:val="16"/>
                <w:szCs w:val="16"/>
              </w:rPr>
              <w:t>Gap to Goal</w:t>
            </w:r>
          </w:p>
          <w:p w:rsidR="008E52F7" w:rsidRPr="00CA0AE3" w:rsidRDefault="008E52F7" w:rsidP="008E52F7">
            <w:pPr>
              <w:spacing w:after="0" w:line="240" w:lineRule="auto"/>
              <w:jc w:val="center"/>
              <w:rPr>
                <w:sz w:val="16"/>
                <w:szCs w:val="16"/>
              </w:rPr>
            </w:pPr>
            <w:r w:rsidRPr="00CA0AE3">
              <w:rPr>
                <w:bCs/>
                <w:sz w:val="16"/>
                <w:szCs w:val="16"/>
              </w:rPr>
              <w:t>(10%) or attainment at target</w:t>
            </w:r>
          </w:p>
        </w:tc>
        <w:tc>
          <w:tcPr>
            <w:tcW w:w="1068"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8E52F7" w:rsidRPr="00CA0AE3" w:rsidRDefault="008E52F7" w:rsidP="008E52F7">
            <w:pPr>
              <w:spacing w:after="0" w:line="240" w:lineRule="auto"/>
              <w:jc w:val="center"/>
              <w:rPr>
                <w:rFonts w:eastAsia="Times New Roman"/>
                <w:b/>
                <w:bCs/>
                <w:kern w:val="24"/>
                <w:sz w:val="16"/>
                <w:szCs w:val="16"/>
              </w:rPr>
            </w:pPr>
            <w:r w:rsidRPr="00CA0AE3">
              <w:rPr>
                <w:rFonts w:eastAsia="Times New Roman"/>
                <w:b/>
                <w:bCs/>
                <w:kern w:val="24"/>
                <w:sz w:val="16"/>
                <w:szCs w:val="16"/>
              </w:rPr>
              <w:t>O</w:t>
            </w:r>
          </w:p>
        </w:tc>
        <w:tc>
          <w:tcPr>
            <w:tcW w:w="1068"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8E52F7" w:rsidRPr="00CA0AE3" w:rsidRDefault="008E52F7" w:rsidP="008E52F7">
            <w:pPr>
              <w:spacing w:after="0" w:line="240" w:lineRule="auto"/>
              <w:jc w:val="center"/>
              <w:rPr>
                <w:rFonts w:eastAsia="Times New Roman"/>
                <w:b/>
                <w:sz w:val="16"/>
                <w:szCs w:val="16"/>
              </w:rPr>
            </w:pPr>
            <w:r w:rsidRPr="00CA0AE3">
              <w:rPr>
                <w:rFonts w:eastAsia="Times New Roman"/>
                <w:b/>
                <w:sz w:val="16"/>
                <w:szCs w:val="16"/>
              </w:rPr>
              <w:t>O</w:t>
            </w:r>
          </w:p>
        </w:tc>
        <w:tc>
          <w:tcPr>
            <w:tcW w:w="1069"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8E52F7" w:rsidRPr="00CA0AE3" w:rsidRDefault="008E52F7" w:rsidP="008E52F7">
            <w:pPr>
              <w:spacing w:after="0" w:line="240" w:lineRule="auto"/>
              <w:jc w:val="center"/>
              <w:rPr>
                <w:rFonts w:eastAsia="Times New Roman"/>
                <w:b/>
                <w:sz w:val="16"/>
                <w:szCs w:val="16"/>
              </w:rPr>
            </w:pPr>
            <w:r w:rsidRPr="00CA0AE3">
              <w:rPr>
                <w:rFonts w:eastAsia="Times New Roman"/>
                <w:b/>
                <w:sz w:val="16"/>
                <w:szCs w:val="16"/>
              </w:rPr>
              <w:t>O</w:t>
            </w:r>
          </w:p>
        </w:tc>
        <w:tc>
          <w:tcPr>
            <w:tcW w:w="1068"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8E52F7" w:rsidRPr="00CA0AE3" w:rsidRDefault="008E52F7" w:rsidP="008E52F7">
            <w:pPr>
              <w:spacing w:after="0" w:line="240" w:lineRule="auto"/>
              <w:jc w:val="center"/>
              <w:rPr>
                <w:rFonts w:eastAsia="Times New Roman"/>
                <w:b/>
                <w:sz w:val="16"/>
                <w:szCs w:val="16"/>
              </w:rPr>
            </w:pPr>
            <w:r w:rsidRPr="00CA0AE3">
              <w:rPr>
                <w:rFonts w:eastAsia="Times New Roman"/>
                <w:b/>
                <w:sz w:val="16"/>
                <w:szCs w:val="16"/>
              </w:rPr>
              <w:t>O</w:t>
            </w:r>
          </w:p>
        </w:tc>
        <w:tc>
          <w:tcPr>
            <w:tcW w:w="1069"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8E52F7" w:rsidRPr="00CA0AE3" w:rsidRDefault="008E52F7" w:rsidP="008E52F7">
            <w:pPr>
              <w:spacing w:after="0" w:line="240" w:lineRule="auto"/>
              <w:jc w:val="center"/>
              <w:rPr>
                <w:rFonts w:eastAsia="Times New Roman"/>
                <w:b/>
                <w:sz w:val="16"/>
                <w:szCs w:val="16"/>
              </w:rPr>
            </w:pPr>
            <w:r w:rsidRPr="00CA0AE3">
              <w:rPr>
                <w:rFonts w:eastAsia="Times New Roman"/>
                <w:b/>
                <w:sz w:val="16"/>
                <w:szCs w:val="16"/>
              </w:rPr>
              <w:t>O</w:t>
            </w:r>
          </w:p>
        </w:tc>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tcPr>
          <w:p w:rsidR="008E52F7" w:rsidRPr="00CA0AE3" w:rsidRDefault="008E52F7" w:rsidP="008E52F7">
            <w:pPr>
              <w:spacing w:after="0" w:line="240" w:lineRule="auto"/>
              <w:rPr>
                <w:rFonts w:eastAsia="Times New Roman"/>
                <w:sz w:val="16"/>
                <w:szCs w:val="16"/>
              </w:rPr>
            </w:pPr>
            <w:r w:rsidRPr="00CA0AE3">
              <w:rPr>
                <w:rFonts w:eastAsia="Times New Roman"/>
                <w:sz w:val="16"/>
                <w:szCs w:val="16"/>
              </w:rPr>
              <w:t>Target aligned to initiative to optimize opioid prescribing practice.</w:t>
            </w:r>
          </w:p>
        </w:tc>
      </w:tr>
      <w:tr w:rsidR="008E52F7" w:rsidRPr="00CA0AE3" w:rsidTr="003C48F3">
        <w:trPr>
          <w:cantSplit/>
          <w:jc w:val="center"/>
        </w:trPr>
        <w:tc>
          <w:tcPr>
            <w:tcW w:w="370" w:type="dxa"/>
            <w:tcBorders>
              <w:top w:val="single" w:sz="8" w:space="0" w:color="000000"/>
              <w:left w:val="single" w:sz="8" w:space="0" w:color="000000"/>
              <w:bottom w:val="single" w:sz="8" w:space="0" w:color="000000"/>
              <w:right w:val="single" w:sz="8" w:space="0" w:color="000000"/>
            </w:tcBorders>
            <w:shd w:val="clear" w:color="auto" w:fill="auto"/>
            <w:vAlign w:val="center"/>
          </w:tcPr>
          <w:p w:rsidR="008E52F7" w:rsidRPr="00CA0AE3" w:rsidRDefault="008E52F7" w:rsidP="008E52F7">
            <w:pPr>
              <w:spacing w:after="0" w:line="240" w:lineRule="auto"/>
              <w:jc w:val="center"/>
              <w:rPr>
                <w:sz w:val="16"/>
                <w:szCs w:val="16"/>
              </w:rPr>
            </w:pPr>
            <w:r w:rsidRPr="00CA0AE3">
              <w:rPr>
                <w:sz w:val="16"/>
                <w:szCs w:val="16"/>
              </w:rPr>
              <w:t>8</w:t>
            </w:r>
          </w:p>
        </w:tc>
        <w:tc>
          <w:tcPr>
            <w:tcW w:w="1455"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8E52F7" w:rsidRPr="00CA0AE3" w:rsidRDefault="008E52F7" w:rsidP="008E52F7">
            <w:pPr>
              <w:spacing w:after="0" w:line="240" w:lineRule="auto"/>
              <w:rPr>
                <w:sz w:val="16"/>
                <w:szCs w:val="16"/>
              </w:rPr>
            </w:pPr>
            <w:r w:rsidRPr="00CA0AE3">
              <w:rPr>
                <w:sz w:val="16"/>
                <w:szCs w:val="16"/>
              </w:rPr>
              <w:t>Patients on Chronic Opioid Therapy with urine drug screening</w:t>
            </w:r>
          </w:p>
          <w:p w:rsidR="008E52F7" w:rsidRPr="00CA0AE3" w:rsidRDefault="008E52F7" w:rsidP="008E52F7">
            <w:pPr>
              <w:spacing w:after="0" w:line="240" w:lineRule="auto"/>
              <w:rPr>
                <w:sz w:val="16"/>
                <w:szCs w:val="16"/>
              </w:rPr>
            </w:pPr>
            <w:r w:rsidRPr="00CA0AE3">
              <w:rPr>
                <w:sz w:val="16"/>
                <w:szCs w:val="16"/>
              </w:rPr>
              <w:t>(across all core primary care sites)</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8E52F7" w:rsidRPr="00CA0AE3" w:rsidRDefault="008E52F7" w:rsidP="008E52F7">
            <w:pPr>
              <w:spacing w:after="0" w:line="240" w:lineRule="auto"/>
              <w:jc w:val="center"/>
              <w:rPr>
                <w:bCs/>
                <w:sz w:val="16"/>
                <w:szCs w:val="16"/>
              </w:rPr>
            </w:pPr>
            <w:r w:rsidRPr="00CA0AE3">
              <w:rPr>
                <w:bCs/>
                <w:sz w:val="16"/>
                <w:szCs w:val="16"/>
              </w:rPr>
              <w:t>N/A</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8E52F7" w:rsidRPr="00CA0AE3" w:rsidRDefault="008E52F7" w:rsidP="008E52F7">
            <w:pPr>
              <w:spacing w:after="0" w:line="240" w:lineRule="auto"/>
              <w:jc w:val="center"/>
              <w:rPr>
                <w:sz w:val="16"/>
                <w:szCs w:val="16"/>
              </w:rPr>
            </w:pPr>
            <w:r w:rsidRPr="00CA0AE3">
              <w:rPr>
                <w:sz w:val="16"/>
                <w:szCs w:val="16"/>
              </w:rPr>
              <w:t>No external benchmark; hospital-specific improvement target = 80%</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8E52F7" w:rsidRPr="00CA0AE3" w:rsidRDefault="008E52F7" w:rsidP="008E52F7">
            <w:pPr>
              <w:spacing w:after="0" w:line="240" w:lineRule="auto"/>
              <w:jc w:val="center"/>
              <w:rPr>
                <w:bCs/>
                <w:sz w:val="16"/>
                <w:szCs w:val="16"/>
              </w:rPr>
            </w:pPr>
            <w:r w:rsidRPr="00CA0AE3">
              <w:rPr>
                <w:bCs/>
                <w:sz w:val="16"/>
                <w:szCs w:val="16"/>
              </w:rPr>
              <w:t>Gap to Goal</w:t>
            </w:r>
          </w:p>
          <w:p w:rsidR="008E52F7" w:rsidRPr="00CA0AE3" w:rsidRDefault="008E52F7" w:rsidP="008E52F7">
            <w:pPr>
              <w:spacing w:after="0" w:line="240" w:lineRule="auto"/>
              <w:jc w:val="center"/>
              <w:rPr>
                <w:sz w:val="16"/>
                <w:szCs w:val="16"/>
              </w:rPr>
            </w:pPr>
            <w:r w:rsidRPr="00CA0AE3">
              <w:rPr>
                <w:bCs/>
                <w:sz w:val="16"/>
                <w:szCs w:val="16"/>
              </w:rPr>
              <w:t>(10%) or attainment at target</w:t>
            </w:r>
          </w:p>
        </w:tc>
        <w:tc>
          <w:tcPr>
            <w:tcW w:w="1068"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8E52F7" w:rsidRPr="00CA0AE3" w:rsidRDefault="008E52F7" w:rsidP="008E52F7">
            <w:pPr>
              <w:spacing w:after="0" w:line="240" w:lineRule="auto"/>
              <w:jc w:val="center"/>
              <w:rPr>
                <w:rFonts w:eastAsia="Times New Roman"/>
                <w:b/>
                <w:bCs/>
                <w:kern w:val="24"/>
                <w:sz w:val="16"/>
                <w:szCs w:val="16"/>
              </w:rPr>
            </w:pPr>
            <w:r w:rsidRPr="00CA0AE3">
              <w:rPr>
                <w:rFonts w:eastAsia="Times New Roman"/>
                <w:b/>
                <w:sz w:val="16"/>
                <w:szCs w:val="16"/>
              </w:rPr>
              <w:t>O</w:t>
            </w:r>
          </w:p>
        </w:tc>
        <w:tc>
          <w:tcPr>
            <w:tcW w:w="1068"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8E52F7" w:rsidRPr="00CA0AE3" w:rsidRDefault="008E52F7" w:rsidP="008E52F7">
            <w:pPr>
              <w:spacing w:after="0" w:line="240" w:lineRule="auto"/>
              <w:jc w:val="center"/>
              <w:rPr>
                <w:rFonts w:eastAsia="Times New Roman"/>
                <w:b/>
                <w:sz w:val="16"/>
                <w:szCs w:val="16"/>
              </w:rPr>
            </w:pPr>
            <w:r w:rsidRPr="00CA0AE3">
              <w:rPr>
                <w:rFonts w:eastAsia="Times New Roman"/>
                <w:b/>
                <w:sz w:val="16"/>
                <w:szCs w:val="16"/>
              </w:rPr>
              <w:t>O</w:t>
            </w:r>
          </w:p>
        </w:tc>
        <w:tc>
          <w:tcPr>
            <w:tcW w:w="1069"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8E52F7" w:rsidRPr="00CA0AE3" w:rsidRDefault="008E52F7" w:rsidP="008E52F7">
            <w:pPr>
              <w:spacing w:after="0" w:line="240" w:lineRule="auto"/>
              <w:jc w:val="center"/>
              <w:rPr>
                <w:rFonts w:eastAsia="Times New Roman"/>
                <w:b/>
                <w:sz w:val="16"/>
                <w:szCs w:val="16"/>
              </w:rPr>
            </w:pPr>
            <w:r w:rsidRPr="00CA0AE3">
              <w:rPr>
                <w:rFonts w:eastAsia="Times New Roman"/>
                <w:b/>
                <w:sz w:val="16"/>
                <w:szCs w:val="16"/>
              </w:rPr>
              <w:t>O</w:t>
            </w:r>
          </w:p>
        </w:tc>
        <w:tc>
          <w:tcPr>
            <w:tcW w:w="1068"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8E52F7" w:rsidRPr="00CA0AE3" w:rsidRDefault="008E52F7" w:rsidP="008E52F7">
            <w:pPr>
              <w:spacing w:after="0" w:line="240" w:lineRule="auto"/>
              <w:jc w:val="center"/>
              <w:rPr>
                <w:rFonts w:eastAsia="Times New Roman"/>
                <w:b/>
                <w:sz w:val="16"/>
                <w:szCs w:val="16"/>
              </w:rPr>
            </w:pPr>
            <w:r w:rsidRPr="00CA0AE3">
              <w:rPr>
                <w:rFonts w:eastAsia="Times New Roman"/>
                <w:b/>
                <w:sz w:val="16"/>
                <w:szCs w:val="16"/>
              </w:rPr>
              <w:t>O</w:t>
            </w:r>
          </w:p>
        </w:tc>
        <w:tc>
          <w:tcPr>
            <w:tcW w:w="1069"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8E52F7" w:rsidRPr="00CA0AE3" w:rsidRDefault="008E52F7" w:rsidP="008E52F7">
            <w:pPr>
              <w:spacing w:after="0" w:line="240" w:lineRule="auto"/>
              <w:jc w:val="center"/>
              <w:rPr>
                <w:rFonts w:eastAsia="Times New Roman"/>
                <w:b/>
                <w:sz w:val="16"/>
                <w:szCs w:val="16"/>
              </w:rPr>
            </w:pPr>
            <w:r w:rsidRPr="00CA0AE3">
              <w:rPr>
                <w:rFonts w:eastAsia="Times New Roman"/>
                <w:b/>
                <w:sz w:val="16"/>
                <w:szCs w:val="16"/>
              </w:rPr>
              <w:t>O</w:t>
            </w:r>
          </w:p>
        </w:tc>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tcPr>
          <w:p w:rsidR="008E52F7" w:rsidRPr="00CA0AE3" w:rsidRDefault="008E52F7" w:rsidP="008E52F7">
            <w:pPr>
              <w:spacing w:after="0" w:line="240" w:lineRule="auto"/>
              <w:rPr>
                <w:rFonts w:eastAsia="Times New Roman"/>
                <w:sz w:val="16"/>
                <w:szCs w:val="16"/>
              </w:rPr>
            </w:pPr>
            <w:r w:rsidRPr="00CA0AE3">
              <w:rPr>
                <w:rFonts w:eastAsia="Times New Roman"/>
                <w:sz w:val="16"/>
                <w:szCs w:val="16"/>
              </w:rPr>
              <w:t>Target aligned to initiative to optimize opioid prescribing practice.</w:t>
            </w:r>
          </w:p>
        </w:tc>
      </w:tr>
      <w:tr w:rsidR="008E52F7" w:rsidRPr="00CA0AE3" w:rsidTr="003C48F3">
        <w:trPr>
          <w:cantSplit/>
          <w:jc w:val="center"/>
        </w:trPr>
        <w:tc>
          <w:tcPr>
            <w:tcW w:w="370" w:type="dxa"/>
            <w:tcBorders>
              <w:top w:val="single" w:sz="8" w:space="0" w:color="000000"/>
              <w:left w:val="single" w:sz="8" w:space="0" w:color="000000"/>
              <w:bottom w:val="single" w:sz="8" w:space="0" w:color="000000"/>
              <w:right w:val="single" w:sz="8" w:space="0" w:color="000000"/>
            </w:tcBorders>
            <w:shd w:val="clear" w:color="auto" w:fill="auto"/>
            <w:vAlign w:val="center"/>
          </w:tcPr>
          <w:p w:rsidR="008E52F7" w:rsidRPr="00CA0AE3" w:rsidRDefault="008E52F7" w:rsidP="008E52F7">
            <w:pPr>
              <w:spacing w:after="0" w:line="240" w:lineRule="auto"/>
              <w:jc w:val="center"/>
              <w:rPr>
                <w:sz w:val="16"/>
                <w:szCs w:val="16"/>
              </w:rPr>
            </w:pPr>
            <w:r w:rsidRPr="00CA0AE3">
              <w:rPr>
                <w:sz w:val="16"/>
                <w:szCs w:val="16"/>
              </w:rPr>
              <w:t>9</w:t>
            </w:r>
          </w:p>
        </w:tc>
        <w:tc>
          <w:tcPr>
            <w:tcW w:w="1455"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8E52F7" w:rsidRPr="00CA0AE3" w:rsidRDefault="008E52F7" w:rsidP="008E52F7">
            <w:pPr>
              <w:spacing w:after="0" w:line="240" w:lineRule="auto"/>
              <w:rPr>
                <w:sz w:val="16"/>
                <w:szCs w:val="16"/>
              </w:rPr>
            </w:pPr>
            <w:r w:rsidRPr="00CA0AE3">
              <w:rPr>
                <w:sz w:val="16"/>
                <w:szCs w:val="16"/>
              </w:rPr>
              <w:t>Patients with chronic pain who had functional assessment</w:t>
            </w:r>
          </w:p>
          <w:p w:rsidR="008E52F7" w:rsidRPr="00CA0AE3" w:rsidRDefault="008E52F7" w:rsidP="008E52F7">
            <w:pPr>
              <w:spacing w:after="0" w:line="240" w:lineRule="auto"/>
              <w:rPr>
                <w:sz w:val="16"/>
                <w:szCs w:val="16"/>
              </w:rPr>
            </w:pPr>
            <w:r w:rsidRPr="00CA0AE3">
              <w:rPr>
                <w:sz w:val="16"/>
                <w:szCs w:val="16"/>
              </w:rPr>
              <w:t xml:space="preserve">(across all core primary care sites)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8E52F7" w:rsidRPr="00CA0AE3" w:rsidRDefault="008E52F7" w:rsidP="008E52F7">
            <w:pPr>
              <w:spacing w:after="0" w:line="240" w:lineRule="auto"/>
              <w:jc w:val="center"/>
              <w:rPr>
                <w:bCs/>
                <w:sz w:val="16"/>
                <w:szCs w:val="16"/>
              </w:rPr>
            </w:pPr>
            <w:r w:rsidRPr="00CA0AE3">
              <w:rPr>
                <w:bCs/>
                <w:sz w:val="16"/>
                <w:szCs w:val="16"/>
              </w:rPr>
              <w:t>NQF 0050, adapted to include all chronic pain conditions</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8E52F7" w:rsidRPr="00CA0AE3" w:rsidRDefault="008E52F7" w:rsidP="008E52F7">
            <w:pPr>
              <w:spacing w:after="0" w:line="240" w:lineRule="auto"/>
              <w:jc w:val="center"/>
              <w:rPr>
                <w:sz w:val="16"/>
                <w:szCs w:val="16"/>
              </w:rPr>
            </w:pPr>
            <w:r w:rsidRPr="00CA0AE3">
              <w:rPr>
                <w:sz w:val="16"/>
                <w:szCs w:val="16"/>
              </w:rPr>
              <w:t>No external benchmark; hospital specific improvement target = 50%</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8E52F7" w:rsidRPr="00CA0AE3" w:rsidRDefault="008E52F7" w:rsidP="008E52F7">
            <w:pPr>
              <w:spacing w:after="0" w:line="240" w:lineRule="auto"/>
              <w:jc w:val="center"/>
              <w:rPr>
                <w:bCs/>
                <w:sz w:val="16"/>
                <w:szCs w:val="16"/>
              </w:rPr>
            </w:pPr>
            <w:r w:rsidRPr="00CA0AE3">
              <w:rPr>
                <w:bCs/>
                <w:sz w:val="16"/>
                <w:szCs w:val="16"/>
              </w:rPr>
              <w:t>Gap to Goal</w:t>
            </w:r>
          </w:p>
          <w:p w:rsidR="008E52F7" w:rsidRPr="00CA0AE3" w:rsidRDefault="008E52F7" w:rsidP="008E52F7">
            <w:pPr>
              <w:spacing w:after="0" w:line="240" w:lineRule="auto"/>
              <w:jc w:val="center"/>
              <w:rPr>
                <w:sz w:val="16"/>
                <w:szCs w:val="16"/>
              </w:rPr>
            </w:pPr>
            <w:r w:rsidRPr="00CA0AE3">
              <w:rPr>
                <w:bCs/>
                <w:sz w:val="16"/>
                <w:szCs w:val="16"/>
              </w:rPr>
              <w:t>(10%) or attainment at target</w:t>
            </w:r>
          </w:p>
        </w:tc>
        <w:tc>
          <w:tcPr>
            <w:tcW w:w="1068"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8E52F7" w:rsidRPr="00CA0AE3" w:rsidRDefault="008E52F7" w:rsidP="008E52F7">
            <w:pPr>
              <w:spacing w:after="0" w:line="240" w:lineRule="auto"/>
              <w:jc w:val="center"/>
              <w:rPr>
                <w:rFonts w:eastAsia="Times New Roman"/>
                <w:b/>
                <w:bCs/>
                <w:kern w:val="24"/>
                <w:sz w:val="16"/>
                <w:szCs w:val="16"/>
              </w:rPr>
            </w:pPr>
            <w:r w:rsidRPr="00CA0AE3">
              <w:rPr>
                <w:rFonts w:eastAsia="Times New Roman"/>
                <w:b/>
                <w:bCs/>
                <w:kern w:val="24"/>
                <w:sz w:val="16"/>
                <w:szCs w:val="16"/>
              </w:rPr>
              <w:t>B</w:t>
            </w:r>
          </w:p>
        </w:tc>
        <w:tc>
          <w:tcPr>
            <w:tcW w:w="1068"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8E52F7" w:rsidRPr="00CA0AE3" w:rsidRDefault="008E52F7" w:rsidP="008E52F7">
            <w:pPr>
              <w:spacing w:after="0" w:line="240" w:lineRule="auto"/>
              <w:jc w:val="center"/>
              <w:rPr>
                <w:rFonts w:eastAsia="Times New Roman"/>
                <w:b/>
                <w:sz w:val="16"/>
                <w:szCs w:val="16"/>
              </w:rPr>
            </w:pPr>
            <w:r w:rsidRPr="00CA0AE3">
              <w:rPr>
                <w:rFonts w:eastAsia="Times New Roman"/>
                <w:b/>
                <w:sz w:val="16"/>
                <w:szCs w:val="16"/>
              </w:rPr>
              <w:t>O</w:t>
            </w:r>
          </w:p>
        </w:tc>
        <w:tc>
          <w:tcPr>
            <w:tcW w:w="1069"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8E52F7" w:rsidRPr="00CA0AE3" w:rsidRDefault="008E52F7" w:rsidP="008E52F7">
            <w:pPr>
              <w:spacing w:after="0" w:line="240" w:lineRule="auto"/>
              <w:jc w:val="center"/>
              <w:rPr>
                <w:rFonts w:eastAsia="Times New Roman"/>
                <w:b/>
                <w:sz w:val="16"/>
                <w:szCs w:val="16"/>
              </w:rPr>
            </w:pPr>
            <w:r w:rsidRPr="00CA0AE3">
              <w:rPr>
                <w:rFonts w:eastAsia="Times New Roman"/>
                <w:b/>
                <w:sz w:val="16"/>
                <w:szCs w:val="16"/>
              </w:rPr>
              <w:t>O</w:t>
            </w:r>
          </w:p>
        </w:tc>
        <w:tc>
          <w:tcPr>
            <w:tcW w:w="1068"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8E52F7" w:rsidRPr="00CA0AE3" w:rsidRDefault="008E52F7" w:rsidP="008E52F7">
            <w:pPr>
              <w:spacing w:after="0" w:line="240" w:lineRule="auto"/>
              <w:jc w:val="center"/>
              <w:rPr>
                <w:rFonts w:eastAsia="Times New Roman"/>
                <w:b/>
                <w:sz w:val="16"/>
                <w:szCs w:val="16"/>
              </w:rPr>
            </w:pPr>
            <w:r w:rsidRPr="00CA0AE3">
              <w:rPr>
                <w:rFonts w:eastAsia="Times New Roman"/>
                <w:b/>
                <w:sz w:val="16"/>
                <w:szCs w:val="16"/>
              </w:rPr>
              <w:t>O</w:t>
            </w:r>
          </w:p>
        </w:tc>
        <w:tc>
          <w:tcPr>
            <w:tcW w:w="1069"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8E52F7" w:rsidRPr="00CA0AE3" w:rsidRDefault="008E52F7" w:rsidP="008E52F7">
            <w:pPr>
              <w:spacing w:after="0" w:line="240" w:lineRule="auto"/>
              <w:jc w:val="center"/>
              <w:rPr>
                <w:rFonts w:eastAsia="Times New Roman"/>
                <w:b/>
                <w:sz w:val="16"/>
                <w:szCs w:val="16"/>
              </w:rPr>
            </w:pPr>
            <w:r w:rsidRPr="00CA0AE3">
              <w:rPr>
                <w:rFonts w:eastAsia="Times New Roman"/>
                <w:b/>
                <w:sz w:val="16"/>
                <w:szCs w:val="16"/>
              </w:rPr>
              <w:t>O</w:t>
            </w:r>
          </w:p>
        </w:tc>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tcPr>
          <w:p w:rsidR="008E52F7" w:rsidRPr="00CA0AE3" w:rsidRDefault="008E52F7" w:rsidP="008E52F7">
            <w:pPr>
              <w:spacing w:after="0" w:line="240" w:lineRule="auto"/>
              <w:rPr>
                <w:rFonts w:eastAsia="Times New Roman"/>
                <w:sz w:val="16"/>
                <w:szCs w:val="16"/>
              </w:rPr>
            </w:pPr>
            <w:r w:rsidRPr="00CA0AE3">
              <w:rPr>
                <w:sz w:val="16"/>
                <w:szCs w:val="16"/>
              </w:rPr>
              <w:t>Target based on newness of initiative, and literature indicating the value of functional assessment in patients with chronic pain</w:t>
            </w:r>
            <w:r w:rsidRPr="00CA0AE3">
              <w:rPr>
                <w:rStyle w:val="FootnoteReference"/>
                <w:sz w:val="16"/>
                <w:szCs w:val="16"/>
              </w:rPr>
              <w:footnoteReference w:id="107"/>
            </w:r>
            <w:r w:rsidRPr="00CA0AE3">
              <w:rPr>
                <w:sz w:val="16"/>
                <w:szCs w:val="16"/>
              </w:rPr>
              <w:t>.</w:t>
            </w:r>
          </w:p>
        </w:tc>
      </w:tr>
      <w:tr w:rsidR="008E52F7" w:rsidRPr="00CA0AE3" w:rsidTr="003C48F3">
        <w:trPr>
          <w:cantSplit/>
          <w:jc w:val="center"/>
        </w:trPr>
        <w:tc>
          <w:tcPr>
            <w:tcW w:w="370" w:type="dxa"/>
            <w:tcBorders>
              <w:top w:val="single" w:sz="8" w:space="0" w:color="000000"/>
              <w:left w:val="single" w:sz="8" w:space="0" w:color="000000"/>
              <w:bottom w:val="single" w:sz="8" w:space="0" w:color="000000"/>
              <w:right w:val="single" w:sz="8" w:space="0" w:color="000000"/>
            </w:tcBorders>
            <w:vAlign w:val="center"/>
          </w:tcPr>
          <w:p w:rsidR="008E52F7" w:rsidRPr="00CA0AE3" w:rsidRDefault="008E52F7" w:rsidP="008E52F7">
            <w:pPr>
              <w:spacing w:after="0" w:line="240" w:lineRule="auto"/>
              <w:jc w:val="center"/>
              <w:rPr>
                <w:sz w:val="16"/>
                <w:szCs w:val="16"/>
              </w:rPr>
            </w:pPr>
            <w:r w:rsidRPr="00CA0AE3">
              <w:rPr>
                <w:sz w:val="16"/>
                <w:szCs w:val="16"/>
              </w:rPr>
              <w:lastRenderedPageBreak/>
              <w:t>10</w:t>
            </w:r>
          </w:p>
        </w:tc>
        <w:tc>
          <w:tcPr>
            <w:tcW w:w="1455"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8E52F7" w:rsidRPr="00CA0AE3" w:rsidRDefault="008E52F7" w:rsidP="008E52F7">
            <w:pPr>
              <w:spacing w:after="0" w:line="240" w:lineRule="auto"/>
              <w:rPr>
                <w:sz w:val="16"/>
                <w:szCs w:val="16"/>
              </w:rPr>
            </w:pPr>
            <w:r w:rsidRPr="00CA0AE3">
              <w:rPr>
                <w:sz w:val="16"/>
                <w:szCs w:val="16"/>
              </w:rPr>
              <w:t>Screening and Brief Intervention for Alcohol and Drug Use for adolescents</w:t>
            </w:r>
          </w:p>
          <w:p w:rsidR="008E52F7" w:rsidRPr="00CA0AE3" w:rsidRDefault="008E52F7" w:rsidP="008E52F7">
            <w:pPr>
              <w:spacing w:after="0" w:line="240" w:lineRule="auto"/>
              <w:rPr>
                <w:sz w:val="16"/>
                <w:szCs w:val="16"/>
              </w:rPr>
            </w:pPr>
            <w:r w:rsidRPr="00CA0AE3">
              <w:rPr>
                <w:sz w:val="16"/>
                <w:szCs w:val="16"/>
              </w:rPr>
              <w:t>(across all core primary care sites)</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8E52F7" w:rsidRPr="00CA0AE3" w:rsidRDefault="008E52F7" w:rsidP="008E52F7">
            <w:pPr>
              <w:spacing w:after="0" w:line="240" w:lineRule="auto"/>
              <w:jc w:val="center"/>
              <w:rPr>
                <w:bCs/>
                <w:sz w:val="16"/>
                <w:szCs w:val="16"/>
              </w:rPr>
            </w:pPr>
            <w:r w:rsidRPr="00CA0AE3">
              <w:rPr>
                <w:bCs/>
                <w:sz w:val="16"/>
                <w:szCs w:val="16"/>
              </w:rPr>
              <w:t>NQF 2152, adapted to expand to new age range for adolescents</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8E52F7" w:rsidRPr="00CA0AE3" w:rsidRDefault="008E52F7" w:rsidP="008E52F7">
            <w:pPr>
              <w:spacing w:after="0" w:line="240" w:lineRule="auto"/>
              <w:jc w:val="center"/>
              <w:rPr>
                <w:bCs/>
                <w:sz w:val="16"/>
                <w:szCs w:val="16"/>
              </w:rPr>
            </w:pPr>
            <w:r w:rsidRPr="00CA0AE3">
              <w:rPr>
                <w:sz w:val="16"/>
                <w:szCs w:val="16"/>
              </w:rPr>
              <w:t>No external benchmark; hospital specific improvement target = 50%</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8E52F7" w:rsidRPr="00CA0AE3" w:rsidRDefault="008E52F7" w:rsidP="008E52F7">
            <w:pPr>
              <w:spacing w:after="0" w:line="240" w:lineRule="auto"/>
              <w:jc w:val="center"/>
              <w:rPr>
                <w:sz w:val="16"/>
                <w:szCs w:val="16"/>
              </w:rPr>
            </w:pPr>
            <w:r w:rsidRPr="00CA0AE3">
              <w:rPr>
                <w:bCs/>
                <w:sz w:val="16"/>
                <w:szCs w:val="16"/>
              </w:rPr>
              <w:t>Gap to Goal (10%) or attainment at target</w:t>
            </w:r>
          </w:p>
        </w:tc>
        <w:tc>
          <w:tcPr>
            <w:tcW w:w="1068"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8E52F7" w:rsidRPr="00CA0AE3" w:rsidRDefault="008E52F7" w:rsidP="008E52F7">
            <w:pPr>
              <w:spacing w:after="0" w:line="240" w:lineRule="auto"/>
              <w:jc w:val="center"/>
              <w:rPr>
                <w:rFonts w:eastAsia="Times New Roman"/>
                <w:b/>
                <w:bCs/>
                <w:kern w:val="24"/>
                <w:sz w:val="16"/>
                <w:szCs w:val="16"/>
              </w:rPr>
            </w:pPr>
            <w:r w:rsidRPr="00CA0AE3">
              <w:rPr>
                <w:rFonts w:eastAsia="Times New Roman"/>
                <w:b/>
                <w:bCs/>
                <w:kern w:val="24"/>
                <w:sz w:val="16"/>
                <w:szCs w:val="16"/>
              </w:rPr>
              <w:t>B</w:t>
            </w:r>
          </w:p>
        </w:tc>
        <w:tc>
          <w:tcPr>
            <w:tcW w:w="1068"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8E52F7" w:rsidRPr="00CA0AE3" w:rsidRDefault="008E52F7" w:rsidP="008E52F7">
            <w:pPr>
              <w:spacing w:after="0" w:line="240" w:lineRule="auto"/>
              <w:jc w:val="center"/>
              <w:rPr>
                <w:rFonts w:eastAsia="Times New Roman"/>
                <w:b/>
                <w:sz w:val="16"/>
                <w:szCs w:val="16"/>
              </w:rPr>
            </w:pPr>
            <w:r w:rsidRPr="00CA0AE3">
              <w:rPr>
                <w:rFonts w:eastAsia="Times New Roman"/>
                <w:b/>
                <w:sz w:val="16"/>
                <w:szCs w:val="16"/>
              </w:rPr>
              <w:t>O</w:t>
            </w:r>
          </w:p>
        </w:tc>
        <w:tc>
          <w:tcPr>
            <w:tcW w:w="1069"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8E52F7" w:rsidRPr="00CA0AE3" w:rsidRDefault="008E52F7" w:rsidP="008E52F7">
            <w:pPr>
              <w:spacing w:after="0" w:line="240" w:lineRule="auto"/>
              <w:jc w:val="center"/>
              <w:rPr>
                <w:rFonts w:eastAsia="Times New Roman"/>
                <w:b/>
                <w:sz w:val="16"/>
                <w:szCs w:val="16"/>
              </w:rPr>
            </w:pPr>
            <w:r w:rsidRPr="00CA0AE3">
              <w:rPr>
                <w:rFonts w:eastAsia="Times New Roman"/>
                <w:b/>
                <w:sz w:val="16"/>
                <w:szCs w:val="16"/>
              </w:rPr>
              <w:t>O</w:t>
            </w:r>
          </w:p>
        </w:tc>
        <w:tc>
          <w:tcPr>
            <w:tcW w:w="1068"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8E52F7" w:rsidRPr="00CA0AE3" w:rsidRDefault="008E52F7" w:rsidP="008E52F7">
            <w:pPr>
              <w:spacing w:after="0" w:line="240" w:lineRule="auto"/>
              <w:jc w:val="center"/>
              <w:rPr>
                <w:rFonts w:eastAsia="Times New Roman"/>
                <w:b/>
                <w:sz w:val="16"/>
                <w:szCs w:val="16"/>
              </w:rPr>
            </w:pPr>
            <w:r w:rsidRPr="00CA0AE3">
              <w:rPr>
                <w:rFonts w:eastAsia="Times New Roman"/>
                <w:b/>
                <w:sz w:val="16"/>
                <w:szCs w:val="16"/>
              </w:rPr>
              <w:t>O</w:t>
            </w:r>
          </w:p>
        </w:tc>
        <w:tc>
          <w:tcPr>
            <w:tcW w:w="1069"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8E52F7" w:rsidRPr="00CA0AE3" w:rsidRDefault="008E52F7" w:rsidP="008E52F7">
            <w:pPr>
              <w:spacing w:after="0" w:line="240" w:lineRule="auto"/>
              <w:jc w:val="center"/>
              <w:rPr>
                <w:rFonts w:eastAsia="Times New Roman"/>
                <w:b/>
                <w:sz w:val="16"/>
                <w:szCs w:val="16"/>
              </w:rPr>
            </w:pPr>
            <w:r w:rsidRPr="00CA0AE3">
              <w:rPr>
                <w:rFonts w:eastAsia="Times New Roman"/>
                <w:b/>
                <w:sz w:val="16"/>
                <w:szCs w:val="16"/>
              </w:rPr>
              <w:t>O</w:t>
            </w:r>
          </w:p>
        </w:tc>
        <w:tc>
          <w:tcPr>
            <w:tcW w:w="0" w:type="auto"/>
            <w:tcBorders>
              <w:top w:val="single" w:sz="8" w:space="0" w:color="000000"/>
              <w:left w:val="single" w:sz="8" w:space="0" w:color="000000"/>
              <w:bottom w:val="single" w:sz="8" w:space="0" w:color="000000"/>
              <w:right w:val="single" w:sz="8" w:space="0" w:color="000000"/>
            </w:tcBorders>
            <w:vAlign w:val="center"/>
          </w:tcPr>
          <w:p w:rsidR="008E52F7" w:rsidRPr="00CA0AE3" w:rsidRDefault="008E52F7" w:rsidP="008E52F7">
            <w:pPr>
              <w:spacing w:after="0" w:line="240" w:lineRule="auto"/>
              <w:rPr>
                <w:rFonts w:eastAsia="Times New Roman"/>
                <w:sz w:val="16"/>
                <w:szCs w:val="16"/>
              </w:rPr>
            </w:pPr>
            <w:r w:rsidRPr="00CA0AE3">
              <w:rPr>
                <w:rFonts w:eastAsia="Times New Roman"/>
                <w:sz w:val="16"/>
                <w:szCs w:val="16"/>
              </w:rPr>
              <w:t>Expansion of measure to the adolescent patient population. Improvement target based on newness of initiative for adolescent patients.</w:t>
            </w:r>
          </w:p>
        </w:tc>
      </w:tr>
      <w:tr w:rsidR="008E52F7" w:rsidRPr="00CA0AE3" w:rsidTr="003C48F3">
        <w:trPr>
          <w:cantSplit/>
          <w:jc w:val="center"/>
        </w:trPr>
        <w:tc>
          <w:tcPr>
            <w:tcW w:w="370" w:type="dxa"/>
            <w:tcBorders>
              <w:top w:val="single" w:sz="8" w:space="0" w:color="000000"/>
              <w:left w:val="single" w:sz="8" w:space="0" w:color="000000"/>
              <w:bottom w:val="single" w:sz="8" w:space="0" w:color="000000"/>
              <w:right w:val="single" w:sz="8" w:space="0" w:color="000000"/>
            </w:tcBorders>
            <w:vAlign w:val="center"/>
          </w:tcPr>
          <w:p w:rsidR="008E52F7" w:rsidRPr="00CA0AE3" w:rsidRDefault="008E52F7" w:rsidP="008E52F7">
            <w:pPr>
              <w:spacing w:after="0" w:line="240" w:lineRule="auto"/>
              <w:jc w:val="center"/>
              <w:rPr>
                <w:sz w:val="16"/>
                <w:szCs w:val="16"/>
              </w:rPr>
            </w:pPr>
            <w:r w:rsidRPr="00CA0AE3">
              <w:rPr>
                <w:sz w:val="16"/>
                <w:szCs w:val="16"/>
              </w:rPr>
              <w:t>11</w:t>
            </w:r>
          </w:p>
        </w:tc>
        <w:tc>
          <w:tcPr>
            <w:tcW w:w="1455"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8E52F7" w:rsidRPr="00CA0AE3" w:rsidRDefault="008E52F7" w:rsidP="008E52F7">
            <w:pPr>
              <w:spacing w:after="0" w:line="240" w:lineRule="auto"/>
              <w:rPr>
                <w:sz w:val="16"/>
                <w:szCs w:val="16"/>
              </w:rPr>
            </w:pPr>
            <w:r w:rsidRPr="00CA0AE3">
              <w:rPr>
                <w:sz w:val="16"/>
                <w:szCs w:val="16"/>
              </w:rPr>
              <w:t>Maternal Depression Screening</w:t>
            </w:r>
          </w:p>
          <w:p w:rsidR="008E52F7" w:rsidRPr="00CA0AE3" w:rsidRDefault="008E52F7" w:rsidP="008E52F7">
            <w:pPr>
              <w:spacing w:after="0" w:line="240" w:lineRule="auto"/>
              <w:rPr>
                <w:sz w:val="16"/>
                <w:szCs w:val="16"/>
              </w:rPr>
            </w:pPr>
            <w:r w:rsidRPr="00CA0AE3">
              <w:rPr>
                <w:sz w:val="16"/>
                <w:szCs w:val="16"/>
              </w:rPr>
              <w:t>(across all core primary care sites)</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8E52F7" w:rsidRPr="00CA0AE3" w:rsidRDefault="008E52F7" w:rsidP="008E52F7">
            <w:pPr>
              <w:spacing w:after="0" w:line="240" w:lineRule="auto"/>
              <w:jc w:val="center"/>
              <w:rPr>
                <w:bCs/>
                <w:sz w:val="16"/>
                <w:szCs w:val="16"/>
              </w:rPr>
            </w:pPr>
            <w:r w:rsidRPr="00CA0AE3">
              <w:rPr>
                <w:bCs/>
                <w:sz w:val="16"/>
                <w:szCs w:val="16"/>
              </w:rPr>
              <w:t>NQF 1401</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8E52F7" w:rsidRPr="00CA0AE3" w:rsidRDefault="008E52F7" w:rsidP="008E52F7">
            <w:pPr>
              <w:spacing w:after="0" w:line="240" w:lineRule="auto"/>
              <w:jc w:val="center"/>
              <w:rPr>
                <w:color w:val="FF0000"/>
                <w:sz w:val="16"/>
                <w:szCs w:val="16"/>
              </w:rPr>
            </w:pPr>
            <w:r w:rsidRPr="00CA0AE3">
              <w:rPr>
                <w:sz w:val="16"/>
                <w:szCs w:val="16"/>
              </w:rPr>
              <w:t>No external benchmark; hospital specific improvement target = 75%</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8E52F7" w:rsidRPr="00CA0AE3" w:rsidRDefault="008E52F7" w:rsidP="008E52F7">
            <w:pPr>
              <w:spacing w:after="0" w:line="240" w:lineRule="auto"/>
              <w:jc w:val="center"/>
              <w:rPr>
                <w:bCs/>
                <w:sz w:val="16"/>
                <w:szCs w:val="16"/>
              </w:rPr>
            </w:pPr>
            <w:r w:rsidRPr="00CA0AE3">
              <w:rPr>
                <w:bCs/>
                <w:sz w:val="16"/>
                <w:szCs w:val="16"/>
              </w:rPr>
              <w:t>Gap to Goal</w:t>
            </w:r>
          </w:p>
          <w:p w:rsidR="008E52F7" w:rsidRPr="00CA0AE3" w:rsidRDefault="008E52F7" w:rsidP="008E52F7">
            <w:pPr>
              <w:spacing w:after="0" w:line="240" w:lineRule="auto"/>
              <w:jc w:val="center"/>
              <w:rPr>
                <w:bCs/>
                <w:sz w:val="16"/>
                <w:szCs w:val="16"/>
              </w:rPr>
            </w:pPr>
            <w:r w:rsidRPr="00CA0AE3">
              <w:rPr>
                <w:bCs/>
                <w:sz w:val="16"/>
                <w:szCs w:val="16"/>
              </w:rPr>
              <w:t>(10%) or attainment at target</w:t>
            </w:r>
          </w:p>
        </w:tc>
        <w:tc>
          <w:tcPr>
            <w:tcW w:w="1068"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8E52F7" w:rsidRPr="00CA0AE3" w:rsidRDefault="008E52F7" w:rsidP="008E52F7">
            <w:pPr>
              <w:spacing w:after="0" w:line="240" w:lineRule="auto"/>
              <w:jc w:val="center"/>
              <w:rPr>
                <w:rFonts w:eastAsia="Times New Roman"/>
                <w:b/>
                <w:bCs/>
                <w:kern w:val="24"/>
                <w:sz w:val="16"/>
                <w:szCs w:val="16"/>
              </w:rPr>
            </w:pPr>
            <w:r w:rsidRPr="00CA0AE3">
              <w:rPr>
                <w:rFonts w:eastAsia="Times New Roman"/>
                <w:b/>
                <w:bCs/>
                <w:kern w:val="24"/>
                <w:sz w:val="16"/>
                <w:szCs w:val="16"/>
              </w:rPr>
              <w:t>B</w:t>
            </w:r>
          </w:p>
        </w:tc>
        <w:tc>
          <w:tcPr>
            <w:tcW w:w="1068"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8E52F7" w:rsidRPr="00CA0AE3" w:rsidRDefault="008E52F7" w:rsidP="008E52F7">
            <w:pPr>
              <w:spacing w:after="0" w:line="240" w:lineRule="auto"/>
              <w:jc w:val="center"/>
              <w:rPr>
                <w:rFonts w:eastAsia="Times New Roman"/>
                <w:b/>
                <w:sz w:val="16"/>
                <w:szCs w:val="16"/>
              </w:rPr>
            </w:pPr>
            <w:r w:rsidRPr="00CA0AE3">
              <w:rPr>
                <w:rFonts w:eastAsia="Times New Roman"/>
                <w:b/>
                <w:sz w:val="16"/>
                <w:szCs w:val="16"/>
              </w:rPr>
              <w:t>O</w:t>
            </w:r>
          </w:p>
        </w:tc>
        <w:tc>
          <w:tcPr>
            <w:tcW w:w="1069"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8E52F7" w:rsidRPr="00CA0AE3" w:rsidRDefault="008E52F7" w:rsidP="008E52F7">
            <w:pPr>
              <w:spacing w:after="0" w:line="240" w:lineRule="auto"/>
              <w:jc w:val="center"/>
              <w:rPr>
                <w:rFonts w:eastAsia="Times New Roman"/>
                <w:b/>
                <w:sz w:val="16"/>
                <w:szCs w:val="16"/>
              </w:rPr>
            </w:pPr>
            <w:r w:rsidRPr="00CA0AE3">
              <w:rPr>
                <w:rFonts w:eastAsia="Times New Roman"/>
                <w:b/>
                <w:sz w:val="16"/>
                <w:szCs w:val="16"/>
              </w:rPr>
              <w:t>O</w:t>
            </w:r>
          </w:p>
        </w:tc>
        <w:tc>
          <w:tcPr>
            <w:tcW w:w="1068"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8E52F7" w:rsidRPr="00CA0AE3" w:rsidRDefault="008E52F7" w:rsidP="008E52F7">
            <w:pPr>
              <w:spacing w:after="0" w:line="240" w:lineRule="auto"/>
              <w:jc w:val="center"/>
              <w:rPr>
                <w:rFonts w:eastAsia="Times New Roman"/>
                <w:b/>
                <w:sz w:val="16"/>
                <w:szCs w:val="16"/>
              </w:rPr>
            </w:pPr>
            <w:r w:rsidRPr="00CA0AE3">
              <w:rPr>
                <w:rFonts w:eastAsia="Times New Roman"/>
                <w:b/>
                <w:sz w:val="16"/>
                <w:szCs w:val="16"/>
              </w:rPr>
              <w:t>O</w:t>
            </w:r>
          </w:p>
        </w:tc>
        <w:tc>
          <w:tcPr>
            <w:tcW w:w="1069"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8E52F7" w:rsidRPr="00CA0AE3" w:rsidRDefault="008E52F7" w:rsidP="008E52F7">
            <w:pPr>
              <w:spacing w:after="0" w:line="240" w:lineRule="auto"/>
              <w:jc w:val="center"/>
              <w:rPr>
                <w:rFonts w:eastAsia="Times New Roman"/>
                <w:b/>
                <w:sz w:val="16"/>
                <w:szCs w:val="16"/>
              </w:rPr>
            </w:pPr>
            <w:r w:rsidRPr="00CA0AE3">
              <w:rPr>
                <w:rFonts w:eastAsia="Times New Roman"/>
                <w:b/>
                <w:sz w:val="16"/>
                <w:szCs w:val="16"/>
              </w:rPr>
              <w:t>O</w:t>
            </w:r>
          </w:p>
        </w:tc>
        <w:tc>
          <w:tcPr>
            <w:tcW w:w="0" w:type="auto"/>
            <w:tcBorders>
              <w:top w:val="single" w:sz="8" w:space="0" w:color="000000"/>
              <w:left w:val="single" w:sz="8" w:space="0" w:color="000000"/>
              <w:bottom w:val="single" w:sz="8" w:space="0" w:color="000000"/>
              <w:right w:val="single" w:sz="8" w:space="0" w:color="000000"/>
            </w:tcBorders>
            <w:vAlign w:val="center"/>
          </w:tcPr>
          <w:p w:rsidR="008E52F7" w:rsidRPr="00CA0AE3" w:rsidRDefault="008E52F7" w:rsidP="008E52F7">
            <w:pPr>
              <w:spacing w:after="0" w:line="240" w:lineRule="auto"/>
              <w:rPr>
                <w:rFonts w:eastAsia="Times New Roman"/>
                <w:sz w:val="16"/>
                <w:szCs w:val="16"/>
              </w:rPr>
            </w:pPr>
            <w:r w:rsidRPr="00CA0AE3">
              <w:rPr>
                <w:rFonts w:eastAsia="Times New Roman"/>
                <w:sz w:val="16"/>
                <w:szCs w:val="16"/>
              </w:rPr>
              <w:t>Target based on literature indicating value of maternal depression screening in conjunction pediatric visits to identify developmental risk factors.</w:t>
            </w:r>
            <w:r w:rsidRPr="00CA0AE3">
              <w:rPr>
                <w:rStyle w:val="FootnoteReference"/>
                <w:rFonts w:eastAsia="Times New Roman"/>
                <w:sz w:val="16"/>
                <w:szCs w:val="16"/>
              </w:rPr>
              <w:footnoteReference w:id="108"/>
            </w:r>
          </w:p>
        </w:tc>
      </w:tr>
    </w:tbl>
    <w:p w:rsidR="008E52F7" w:rsidRDefault="008E52F7">
      <w:pPr>
        <w:pStyle w:val="ListParagraph"/>
        <w:autoSpaceDE w:val="0"/>
        <w:autoSpaceDN w:val="0"/>
        <w:adjustRightInd w:val="0"/>
        <w:spacing w:after="0" w:line="240" w:lineRule="auto"/>
        <w:ind w:left="1080"/>
        <w:contextualSpacing w:val="0"/>
        <w:jc w:val="both"/>
      </w:pPr>
    </w:p>
    <w:tbl>
      <w:tblPr>
        <w:tblW w:w="5000" w:type="pct"/>
        <w:tblLayout w:type="fixed"/>
        <w:tblCellMar>
          <w:left w:w="0" w:type="dxa"/>
          <w:right w:w="0" w:type="dxa"/>
        </w:tblCellMar>
        <w:tblLook w:val="04A0" w:firstRow="1" w:lastRow="0" w:firstColumn="1" w:lastColumn="0" w:noHBand="0" w:noVBand="1"/>
      </w:tblPr>
      <w:tblGrid>
        <w:gridCol w:w="305"/>
        <w:gridCol w:w="1713"/>
        <w:gridCol w:w="958"/>
        <w:gridCol w:w="1398"/>
        <w:gridCol w:w="1400"/>
        <w:gridCol w:w="947"/>
        <w:gridCol w:w="10"/>
        <w:gridCol w:w="1048"/>
        <w:gridCol w:w="1048"/>
        <w:gridCol w:w="1046"/>
        <w:gridCol w:w="1048"/>
        <w:gridCol w:w="2019"/>
      </w:tblGrid>
      <w:tr w:rsidR="00CA2FE3" w:rsidRPr="00CA0AE3" w:rsidTr="003C48F3">
        <w:trPr>
          <w:cantSplit/>
        </w:trPr>
        <w:tc>
          <w:tcPr>
            <w:tcW w:w="5000" w:type="pct"/>
            <w:gridSpan w:val="12"/>
            <w:tcBorders>
              <w:top w:val="single" w:sz="8" w:space="0" w:color="000000"/>
              <w:left w:val="single" w:sz="8" w:space="0" w:color="000000"/>
              <w:bottom w:val="single" w:sz="8" w:space="0" w:color="000000"/>
              <w:right w:val="single" w:sz="8" w:space="0" w:color="000000"/>
            </w:tcBorders>
            <w:shd w:val="clear" w:color="auto" w:fill="C6D9F1"/>
            <w:vAlign w:val="center"/>
          </w:tcPr>
          <w:p w:rsidR="00CA2FE3" w:rsidRPr="00CA0AE3" w:rsidRDefault="00CA2FE3" w:rsidP="00D1633A">
            <w:pPr>
              <w:spacing w:after="0" w:line="240" w:lineRule="auto"/>
              <w:rPr>
                <w:rFonts w:eastAsia="Times New Roman"/>
                <w:b/>
                <w:bCs/>
                <w:kern w:val="24"/>
                <w:sz w:val="20"/>
                <w:szCs w:val="20"/>
              </w:rPr>
            </w:pPr>
            <w:r w:rsidRPr="00CA0AE3">
              <w:rPr>
                <w:rFonts w:eastAsia="Times New Roman"/>
                <w:b/>
                <w:bCs/>
                <w:kern w:val="24"/>
                <w:sz w:val="20"/>
                <w:szCs w:val="20"/>
              </w:rPr>
              <w:t>Required Measure Slate:  Improvement and Outcomes Measures</w:t>
            </w:r>
          </w:p>
          <w:p w:rsidR="00CA2FE3" w:rsidRPr="00CA0AE3" w:rsidRDefault="00CA2FE3" w:rsidP="00D1633A">
            <w:pPr>
              <w:spacing w:after="0" w:line="240" w:lineRule="auto"/>
              <w:rPr>
                <w:rFonts w:eastAsia="Times New Roman"/>
                <w:b/>
                <w:bCs/>
                <w:kern w:val="24"/>
                <w:sz w:val="20"/>
                <w:szCs w:val="20"/>
              </w:rPr>
            </w:pPr>
            <w:r w:rsidRPr="00CA0AE3">
              <w:rPr>
                <w:b/>
                <w:i/>
                <w:sz w:val="20"/>
                <w:szCs w:val="20"/>
              </w:rPr>
              <w:t xml:space="preserve">(Achieve 2 out of 5 in Year 1, 5 of 13 Outcome Measures in Year 2, 7 out of </w:t>
            </w:r>
            <w:proofErr w:type="gramStart"/>
            <w:r w:rsidRPr="00CA0AE3">
              <w:rPr>
                <w:b/>
                <w:i/>
                <w:sz w:val="20"/>
                <w:szCs w:val="20"/>
              </w:rPr>
              <w:t>13  in</w:t>
            </w:r>
            <w:proofErr w:type="gramEnd"/>
            <w:r w:rsidRPr="00CA0AE3">
              <w:rPr>
                <w:b/>
                <w:i/>
                <w:sz w:val="20"/>
                <w:szCs w:val="20"/>
              </w:rPr>
              <w:t xml:space="preserve"> Year 3, 8 out of 13 in Year 4, and 8 out of 13 in Year 5).</w:t>
            </w:r>
          </w:p>
        </w:tc>
      </w:tr>
      <w:tr w:rsidR="00CA2FE3" w:rsidRPr="00CA0AE3" w:rsidTr="003C48F3">
        <w:trPr>
          <w:cantSplit/>
        </w:trPr>
        <w:tc>
          <w:tcPr>
            <w:tcW w:w="780" w:type="pct"/>
            <w:gridSpan w:val="2"/>
            <w:tcBorders>
              <w:top w:val="single" w:sz="8" w:space="0" w:color="000000"/>
              <w:left w:val="single" w:sz="8" w:space="0" w:color="000000"/>
              <w:bottom w:val="single" w:sz="8" w:space="0" w:color="000000"/>
              <w:right w:val="single" w:sz="8" w:space="0" w:color="000000"/>
            </w:tcBorders>
            <w:shd w:val="clear" w:color="auto" w:fill="C6D9F1"/>
            <w:vAlign w:val="center"/>
          </w:tcPr>
          <w:p w:rsidR="00CA2FE3" w:rsidRPr="00CA0AE3" w:rsidRDefault="00CA2FE3" w:rsidP="00D1633A">
            <w:pPr>
              <w:spacing w:after="0" w:line="240" w:lineRule="auto"/>
              <w:jc w:val="center"/>
              <w:rPr>
                <w:rFonts w:eastAsia="Times New Roman"/>
                <w:b/>
                <w:bCs/>
                <w:kern w:val="24"/>
                <w:sz w:val="20"/>
                <w:szCs w:val="20"/>
              </w:rPr>
            </w:pPr>
            <w:r w:rsidRPr="00CA0AE3">
              <w:rPr>
                <w:rFonts w:eastAsia="Times New Roman"/>
                <w:b/>
                <w:bCs/>
                <w:kern w:val="24"/>
                <w:sz w:val="20"/>
                <w:szCs w:val="20"/>
              </w:rPr>
              <w:t>Measure Slate 2</w:t>
            </w:r>
          </w:p>
        </w:tc>
        <w:tc>
          <w:tcPr>
            <w:tcW w:w="1451" w:type="pct"/>
            <w:gridSpan w:val="3"/>
            <w:tcBorders>
              <w:top w:val="single" w:sz="8" w:space="0" w:color="000000"/>
              <w:left w:val="single" w:sz="8" w:space="0" w:color="000000"/>
              <w:bottom w:val="single" w:sz="8" w:space="0" w:color="000000"/>
              <w:right w:val="single" w:sz="8" w:space="0" w:color="000000"/>
            </w:tcBorders>
            <w:shd w:val="clear" w:color="auto" w:fill="C6D9F1"/>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Times New Roman"/>
                <w:b/>
                <w:bCs/>
                <w:kern w:val="24"/>
                <w:sz w:val="20"/>
                <w:szCs w:val="20"/>
              </w:rPr>
            </w:pPr>
            <w:r w:rsidRPr="00CA0AE3">
              <w:rPr>
                <w:rFonts w:eastAsia="Times New Roman"/>
                <w:b/>
                <w:bCs/>
                <w:kern w:val="24"/>
                <w:sz w:val="20"/>
                <w:szCs w:val="20"/>
              </w:rPr>
              <w:t>2: Comprehensive Systems for Treating Mental Health &amp; Substance Use (MHSU) Conditions</w:t>
            </w:r>
          </w:p>
        </w:tc>
        <w:tc>
          <w:tcPr>
            <w:tcW w:w="366" w:type="pct"/>
            <w:tcBorders>
              <w:top w:val="single" w:sz="8" w:space="0" w:color="000000"/>
              <w:left w:val="single" w:sz="8" w:space="0" w:color="000000"/>
              <w:bottom w:val="single" w:sz="8" w:space="0" w:color="000000"/>
              <w:right w:val="single" w:sz="8" w:space="0" w:color="000000"/>
            </w:tcBorders>
            <w:shd w:val="clear" w:color="auto" w:fill="C6D9F1"/>
            <w:vAlign w:val="center"/>
          </w:tcPr>
          <w:p w:rsidR="00CA2FE3" w:rsidRPr="00CA0AE3" w:rsidRDefault="00CA2FE3" w:rsidP="00D1633A">
            <w:pPr>
              <w:spacing w:after="0" w:line="240" w:lineRule="auto"/>
              <w:jc w:val="center"/>
              <w:rPr>
                <w:rFonts w:eastAsia="Times New Roman"/>
                <w:b/>
                <w:bCs/>
                <w:kern w:val="24"/>
                <w:sz w:val="20"/>
                <w:szCs w:val="20"/>
              </w:rPr>
            </w:pPr>
            <w:r w:rsidRPr="00CA0AE3">
              <w:rPr>
                <w:rFonts w:eastAsia="Times New Roman"/>
                <w:b/>
                <w:bCs/>
                <w:kern w:val="24"/>
                <w:sz w:val="20"/>
                <w:szCs w:val="20"/>
              </w:rPr>
              <w:t xml:space="preserve">Achieve 2 of 5 </w:t>
            </w:r>
          </w:p>
          <w:p w:rsidR="00CA2FE3" w:rsidRPr="00CA0AE3" w:rsidRDefault="00CA2FE3" w:rsidP="00D1633A">
            <w:pPr>
              <w:spacing w:after="0" w:line="240" w:lineRule="auto"/>
              <w:jc w:val="center"/>
              <w:rPr>
                <w:rFonts w:eastAsia="Times New Roman"/>
                <w:b/>
                <w:bCs/>
                <w:kern w:val="24"/>
                <w:sz w:val="20"/>
                <w:szCs w:val="20"/>
              </w:rPr>
            </w:pPr>
            <w:r w:rsidRPr="00CA0AE3">
              <w:rPr>
                <w:rFonts w:eastAsia="Times New Roman"/>
                <w:b/>
                <w:bCs/>
                <w:kern w:val="24"/>
                <w:sz w:val="20"/>
                <w:szCs w:val="20"/>
              </w:rPr>
              <w:t>Measures</w:t>
            </w:r>
          </w:p>
        </w:tc>
        <w:tc>
          <w:tcPr>
            <w:tcW w:w="409" w:type="pct"/>
            <w:gridSpan w:val="2"/>
            <w:tcBorders>
              <w:top w:val="single" w:sz="8" w:space="0" w:color="000000"/>
              <w:left w:val="single" w:sz="8" w:space="0" w:color="000000"/>
              <w:bottom w:val="single" w:sz="8" w:space="0" w:color="000000"/>
              <w:right w:val="single" w:sz="8" w:space="0" w:color="000000"/>
            </w:tcBorders>
            <w:shd w:val="clear" w:color="auto" w:fill="C6D9F1"/>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Times New Roman"/>
                <w:b/>
                <w:bCs/>
                <w:kern w:val="24"/>
                <w:sz w:val="20"/>
                <w:szCs w:val="20"/>
              </w:rPr>
            </w:pPr>
            <w:r w:rsidRPr="00CA0AE3">
              <w:rPr>
                <w:rFonts w:eastAsia="Times New Roman"/>
                <w:b/>
                <w:bCs/>
                <w:kern w:val="24"/>
                <w:sz w:val="20"/>
                <w:szCs w:val="20"/>
              </w:rPr>
              <w:t>Achieve 5 of 13 Measures</w:t>
            </w:r>
          </w:p>
        </w:tc>
        <w:tc>
          <w:tcPr>
            <w:tcW w:w="405" w:type="pct"/>
            <w:tcBorders>
              <w:top w:val="single" w:sz="8" w:space="0" w:color="000000"/>
              <w:left w:val="single" w:sz="8" w:space="0" w:color="000000"/>
              <w:bottom w:val="single" w:sz="8" w:space="0" w:color="000000"/>
              <w:right w:val="single" w:sz="8" w:space="0" w:color="000000"/>
            </w:tcBorders>
            <w:shd w:val="clear" w:color="auto" w:fill="C6D9F1"/>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Times New Roman"/>
                <w:b/>
                <w:bCs/>
                <w:kern w:val="24"/>
                <w:sz w:val="20"/>
                <w:szCs w:val="20"/>
              </w:rPr>
            </w:pPr>
            <w:r w:rsidRPr="00CA0AE3">
              <w:rPr>
                <w:rFonts w:eastAsia="Times New Roman"/>
                <w:b/>
                <w:bCs/>
                <w:kern w:val="24"/>
                <w:sz w:val="20"/>
                <w:szCs w:val="20"/>
              </w:rPr>
              <w:t>Achieve 7 of 13 Measures</w:t>
            </w:r>
          </w:p>
        </w:tc>
        <w:tc>
          <w:tcPr>
            <w:tcW w:w="404" w:type="pct"/>
            <w:tcBorders>
              <w:top w:val="single" w:sz="8" w:space="0" w:color="000000"/>
              <w:left w:val="single" w:sz="8" w:space="0" w:color="000000"/>
              <w:bottom w:val="single" w:sz="8" w:space="0" w:color="000000"/>
              <w:right w:val="single" w:sz="8" w:space="0" w:color="000000"/>
            </w:tcBorders>
            <w:shd w:val="clear" w:color="auto" w:fill="C6D9F1"/>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Times New Roman"/>
                <w:b/>
                <w:bCs/>
                <w:kern w:val="24"/>
                <w:sz w:val="20"/>
                <w:szCs w:val="20"/>
              </w:rPr>
            </w:pPr>
            <w:r w:rsidRPr="00CA0AE3">
              <w:rPr>
                <w:rFonts w:eastAsia="Times New Roman"/>
                <w:b/>
                <w:bCs/>
                <w:kern w:val="24"/>
                <w:sz w:val="20"/>
                <w:szCs w:val="20"/>
              </w:rPr>
              <w:t>Achieve 8 of 13 Measures</w:t>
            </w:r>
          </w:p>
        </w:tc>
        <w:tc>
          <w:tcPr>
            <w:tcW w:w="405" w:type="pct"/>
            <w:tcBorders>
              <w:top w:val="single" w:sz="8" w:space="0" w:color="000000"/>
              <w:left w:val="single" w:sz="8" w:space="0" w:color="000000"/>
              <w:bottom w:val="single" w:sz="8" w:space="0" w:color="000000"/>
              <w:right w:val="single" w:sz="8" w:space="0" w:color="000000"/>
            </w:tcBorders>
            <w:shd w:val="clear" w:color="auto" w:fill="C6D9F1"/>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Times New Roman"/>
                <w:b/>
                <w:bCs/>
                <w:kern w:val="24"/>
                <w:sz w:val="20"/>
                <w:szCs w:val="20"/>
              </w:rPr>
            </w:pPr>
            <w:r w:rsidRPr="00CA0AE3">
              <w:rPr>
                <w:rFonts w:eastAsia="Times New Roman"/>
                <w:b/>
                <w:bCs/>
                <w:kern w:val="24"/>
                <w:sz w:val="20"/>
                <w:szCs w:val="20"/>
              </w:rPr>
              <w:t>Achieve 8 of 13 Measures</w:t>
            </w:r>
          </w:p>
        </w:tc>
        <w:tc>
          <w:tcPr>
            <w:tcW w:w="780" w:type="pct"/>
            <w:tcBorders>
              <w:top w:val="single" w:sz="8" w:space="0" w:color="000000"/>
              <w:left w:val="single" w:sz="8" w:space="0" w:color="000000"/>
              <w:bottom w:val="single" w:sz="8" w:space="0" w:color="000000"/>
              <w:right w:val="single" w:sz="8" w:space="0" w:color="000000"/>
            </w:tcBorders>
            <w:shd w:val="clear" w:color="auto" w:fill="C6D9F1"/>
            <w:vAlign w:val="center"/>
          </w:tcPr>
          <w:p w:rsidR="00CA2FE3" w:rsidRDefault="00CA2FE3" w:rsidP="00CA2FE3">
            <w:pPr>
              <w:spacing w:after="0" w:line="240" w:lineRule="auto"/>
              <w:rPr>
                <w:rFonts w:eastAsia="Times New Roman"/>
                <w:b/>
                <w:bCs/>
                <w:kern w:val="24"/>
                <w:sz w:val="20"/>
                <w:szCs w:val="20"/>
              </w:rPr>
            </w:pPr>
            <w:r>
              <w:rPr>
                <w:rFonts w:eastAsia="Times New Roman"/>
                <w:b/>
                <w:bCs/>
                <w:kern w:val="24"/>
                <w:sz w:val="20"/>
                <w:szCs w:val="20"/>
              </w:rPr>
              <w:t>Baseline (B)</w:t>
            </w:r>
          </w:p>
          <w:p w:rsidR="00CA2FE3" w:rsidRDefault="00CA2FE3" w:rsidP="00CA2FE3">
            <w:pPr>
              <w:spacing w:after="0" w:line="240" w:lineRule="auto"/>
              <w:rPr>
                <w:rFonts w:eastAsia="Times New Roman"/>
                <w:b/>
                <w:bCs/>
                <w:kern w:val="24"/>
                <w:sz w:val="20"/>
                <w:szCs w:val="20"/>
              </w:rPr>
            </w:pPr>
            <w:r>
              <w:rPr>
                <w:rFonts w:eastAsia="Times New Roman"/>
                <w:b/>
                <w:bCs/>
                <w:kern w:val="24"/>
                <w:sz w:val="20"/>
                <w:szCs w:val="20"/>
              </w:rPr>
              <w:t>Outcome (O)</w:t>
            </w:r>
          </w:p>
          <w:p w:rsidR="00CA2FE3" w:rsidRPr="00CA0AE3" w:rsidRDefault="00CA2FE3" w:rsidP="00CA2FE3">
            <w:pPr>
              <w:spacing w:after="0" w:line="240" w:lineRule="auto"/>
              <w:rPr>
                <w:rFonts w:eastAsia="Times New Roman"/>
                <w:b/>
                <w:bCs/>
                <w:kern w:val="24"/>
                <w:sz w:val="20"/>
                <w:szCs w:val="20"/>
              </w:rPr>
            </w:pPr>
            <w:r>
              <w:rPr>
                <w:rFonts w:eastAsia="Times New Roman"/>
                <w:b/>
                <w:bCs/>
                <w:kern w:val="24"/>
                <w:sz w:val="20"/>
                <w:szCs w:val="20"/>
              </w:rPr>
              <w:t>Reporting (R)</w:t>
            </w:r>
          </w:p>
        </w:tc>
      </w:tr>
      <w:tr w:rsidR="00CA2FE3" w:rsidRPr="00CA0AE3" w:rsidTr="003C48F3">
        <w:trPr>
          <w:cantSplit/>
        </w:trPr>
        <w:tc>
          <w:tcPr>
            <w:tcW w:w="118" w:type="pct"/>
            <w:tcBorders>
              <w:top w:val="single" w:sz="8" w:space="0" w:color="000000"/>
              <w:left w:val="single" w:sz="8" w:space="0" w:color="000000"/>
              <w:bottom w:val="single" w:sz="8" w:space="0" w:color="000000"/>
              <w:right w:val="single" w:sz="8" w:space="0" w:color="auto"/>
            </w:tcBorders>
            <w:shd w:val="clear" w:color="auto" w:fill="C6D9F1"/>
            <w:vAlign w:val="center"/>
          </w:tcPr>
          <w:p w:rsidR="00CA2FE3" w:rsidRPr="00CA0AE3" w:rsidRDefault="00CA2FE3" w:rsidP="00D1633A">
            <w:pPr>
              <w:spacing w:after="0" w:line="240" w:lineRule="auto"/>
              <w:jc w:val="center"/>
              <w:rPr>
                <w:rFonts w:eastAsia="Times New Roman"/>
                <w:b/>
                <w:bCs/>
                <w:kern w:val="24"/>
                <w:sz w:val="20"/>
                <w:szCs w:val="20"/>
              </w:rPr>
            </w:pPr>
            <w:r w:rsidRPr="00CA0AE3">
              <w:rPr>
                <w:rFonts w:eastAsia="Times New Roman"/>
                <w:b/>
                <w:bCs/>
                <w:kern w:val="24"/>
                <w:sz w:val="20"/>
                <w:szCs w:val="20"/>
              </w:rPr>
              <w:t>#</w:t>
            </w:r>
          </w:p>
        </w:tc>
        <w:tc>
          <w:tcPr>
            <w:tcW w:w="662" w:type="pct"/>
            <w:tcBorders>
              <w:top w:val="single" w:sz="8" w:space="0" w:color="000000"/>
              <w:left w:val="single" w:sz="8" w:space="0" w:color="auto"/>
              <w:bottom w:val="single" w:sz="8" w:space="0" w:color="auto"/>
              <w:right w:val="single" w:sz="8" w:space="0" w:color="000000"/>
            </w:tcBorders>
            <w:shd w:val="clear" w:color="auto" w:fill="C6D9F1"/>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Times New Roman"/>
                <w:sz w:val="20"/>
                <w:szCs w:val="20"/>
              </w:rPr>
            </w:pPr>
            <w:r w:rsidRPr="00CA0AE3">
              <w:rPr>
                <w:rFonts w:eastAsia="Times New Roman"/>
                <w:b/>
                <w:bCs/>
                <w:kern w:val="24"/>
                <w:sz w:val="20"/>
                <w:szCs w:val="20"/>
              </w:rPr>
              <w:t>Measure Description</w:t>
            </w:r>
          </w:p>
        </w:tc>
        <w:tc>
          <w:tcPr>
            <w:tcW w:w="370" w:type="pct"/>
            <w:tcBorders>
              <w:top w:val="single" w:sz="8" w:space="0" w:color="000000"/>
              <w:left w:val="single" w:sz="8" w:space="0" w:color="000000"/>
              <w:bottom w:val="single" w:sz="8" w:space="0" w:color="000000"/>
              <w:right w:val="single" w:sz="8" w:space="0" w:color="000000"/>
            </w:tcBorders>
            <w:shd w:val="clear" w:color="auto" w:fill="C6D9F1"/>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Times New Roman"/>
                <w:kern w:val="24"/>
                <w:sz w:val="20"/>
                <w:szCs w:val="20"/>
              </w:rPr>
            </w:pPr>
            <w:r w:rsidRPr="00CA0AE3">
              <w:rPr>
                <w:rFonts w:eastAsia="Times New Roman"/>
                <w:b/>
                <w:bCs/>
                <w:kern w:val="24"/>
                <w:sz w:val="20"/>
                <w:szCs w:val="20"/>
              </w:rPr>
              <w:t>Measure Steward</w:t>
            </w:r>
          </w:p>
          <w:p w:rsidR="00CA2FE3" w:rsidRPr="00CA0AE3" w:rsidRDefault="00CA2FE3" w:rsidP="00D1633A">
            <w:pPr>
              <w:spacing w:after="0" w:line="240" w:lineRule="auto"/>
              <w:jc w:val="center"/>
              <w:rPr>
                <w:rFonts w:eastAsia="Times New Roman"/>
                <w:b/>
                <w:sz w:val="20"/>
                <w:szCs w:val="20"/>
              </w:rPr>
            </w:pPr>
            <w:r w:rsidRPr="00CA0AE3">
              <w:rPr>
                <w:rFonts w:eastAsia="Times New Roman"/>
                <w:b/>
                <w:kern w:val="24"/>
                <w:sz w:val="20"/>
                <w:szCs w:val="20"/>
              </w:rPr>
              <w:t>NQF#</w:t>
            </w:r>
          </w:p>
        </w:tc>
        <w:tc>
          <w:tcPr>
            <w:tcW w:w="540" w:type="pct"/>
            <w:tcBorders>
              <w:top w:val="single" w:sz="8" w:space="0" w:color="000000"/>
              <w:left w:val="single" w:sz="8" w:space="0" w:color="000000"/>
              <w:bottom w:val="single" w:sz="8" w:space="0" w:color="000000"/>
              <w:right w:val="single" w:sz="8" w:space="0" w:color="000000"/>
            </w:tcBorders>
            <w:shd w:val="clear" w:color="auto" w:fill="C6D9F1"/>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Times New Roman"/>
                <w:sz w:val="20"/>
                <w:szCs w:val="20"/>
              </w:rPr>
            </w:pPr>
            <w:r w:rsidRPr="00CA0AE3">
              <w:rPr>
                <w:rFonts w:eastAsia="Times New Roman"/>
                <w:b/>
                <w:bCs/>
                <w:kern w:val="24"/>
                <w:sz w:val="20"/>
                <w:szCs w:val="20"/>
              </w:rPr>
              <w:t>Benchmark</w:t>
            </w:r>
          </w:p>
        </w:tc>
        <w:tc>
          <w:tcPr>
            <w:tcW w:w="541" w:type="pct"/>
            <w:tcBorders>
              <w:top w:val="single" w:sz="8" w:space="0" w:color="000000"/>
              <w:left w:val="single" w:sz="8" w:space="0" w:color="000000"/>
              <w:bottom w:val="single" w:sz="8" w:space="0" w:color="000000"/>
              <w:right w:val="single" w:sz="8" w:space="0" w:color="000000"/>
            </w:tcBorders>
            <w:shd w:val="clear" w:color="auto" w:fill="C6D9F1"/>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Times New Roman"/>
                <w:sz w:val="20"/>
                <w:szCs w:val="20"/>
              </w:rPr>
            </w:pPr>
            <w:r w:rsidRPr="00CA0AE3">
              <w:rPr>
                <w:rFonts w:eastAsia="Times New Roman"/>
                <w:b/>
                <w:bCs/>
                <w:kern w:val="24"/>
                <w:sz w:val="20"/>
                <w:szCs w:val="20"/>
              </w:rPr>
              <w:t>Improvement Methodology</w:t>
            </w:r>
          </w:p>
        </w:tc>
        <w:tc>
          <w:tcPr>
            <w:tcW w:w="366" w:type="pct"/>
            <w:tcBorders>
              <w:top w:val="single" w:sz="8" w:space="0" w:color="000000"/>
              <w:left w:val="single" w:sz="8" w:space="0" w:color="000000"/>
              <w:bottom w:val="single" w:sz="8" w:space="0" w:color="000000"/>
              <w:right w:val="single" w:sz="8" w:space="0" w:color="000000"/>
            </w:tcBorders>
            <w:shd w:val="clear" w:color="auto" w:fill="C6D9F1"/>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Times New Roman"/>
                <w:kern w:val="24"/>
                <w:sz w:val="20"/>
                <w:szCs w:val="20"/>
              </w:rPr>
            </w:pPr>
            <w:r w:rsidRPr="00CA0AE3">
              <w:rPr>
                <w:rFonts w:eastAsia="Times New Roman"/>
                <w:b/>
                <w:bCs/>
                <w:kern w:val="24"/>
                <w:sz w:val="20"/>
                <w:szCs w:val="20"/>
              </w:rPr>
              <w:t>Year 1</w:t>
            </w:r>
          </w:p>
          <w:p w:rsidR="00CA2FE3" w:rsidRPr="00CA0AE3" w:rsidRDefault="00CA2FE3" w:rsidP="00D1633A">
            <w:pPr>
              <w:spacing w:after="0" w:line="240" w:lineRule="auto"/>
              <w:jc w:val="center"/>
              <w:rPr>
                <w:rFonts w:eastAsia="Times New Roman"/>
                <w:sz w:val="20"/>
                <w:szCs w:val="20"/>
              </w:rPr>
            </w:pPr>
            <w:r w:rsidRPr="00CA0AE3">
              <w:rPr>
                <w:rFonts w:eastAsia="Times New Roman"/>
                <w:kern w:val="24"/>
                <w:sz w:val="20"/>
                <w:szCs w:val="20"/>
              </w:rPr>
              <w:t>SFY 2018</w:t>
            </w:r>
          </w:p>
        </w:tc>
        <w:tc>
          <w:tcPr>
            <w:tcW w:w="409" w:type="pct"/>
            <w:gridSpan w:val="2"/>
            <w:tcBorders>
              <w:top w:val="single" w:sz="8" w:space="0" w:color="000000"/>
              <w:left w:val="single" w:sz="8" w:space="0" w:color="000000"/>
              <w:bottom w:val="single" w:sz="8" w:space="0" w:color="000000"/>
              <w:right w:val="single" w:sz="8" w:space="0" w:color="000000"/>
            </w:tcBorders>
            <w:shd w:val="clear" w:color="auto" w:fill="C6D9F1"/>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Times New Roman"/>
                <w:kern w:val="24"/>
                <w:sz w:val="20"/>
                <w:szCs w:val="20"/>
              </w:rPr>
            </w:pPr>
            <w:r w:rsidRPr="00CA0AE3">
              <w:rPr>
                <w:rFonts w:eastAsia="Times New Roman"/>
                <w:b/>
                <w:bCs/>
                <w:kern w:val="24"/>
                <w:sz w:val="20"/>
                <w:szCs w:val="20"/>
              </w:rPr>
              <w:t>Year 2</w:t>
            </w:r>
          </w:p>
          <w:p w:rsidR="00CA2FE3" w:rsidRPr="00CA0AE3" w:rsidRDefault="00CA2FE3" w:rsidP="00D1633A">
            <w:pPr>
              <w:spacing w:after="0" w:line="240" w:lineRule="auto"/>
              <w:jc w:val="center"/>
              <w:rPr>
                <w:rFonts w:eastAsia="Times New Roman"/>
                <w:sz w:val="20"/>
                <w:szCs w:val="20"/>
              </w:rPr>
            </w:pPr>
            <w:r w:rsidRPr="00CA0AE3">
              <w:rPr>
                <w:rFonts w:eastAsia="Times New Roman"/>
                <w:kern w:val="24"/>
                <w:sz w:val="20"/>
                <w:szCs w:val="20"/>
              </w:rPr>
              <w:t>SFY 2019</w:t>
            </w:r>
          </w:p>
        </w:tc>
        <w:tc>
          <w:tcPr>
            <w:tcW w:w="405" w:type="pct"/>
            <w:tcBorders>
              <w:top w:val="single" w:sz="8" w:space="0" w:color="000000"/>
              <w:left w:val="single" w:sz="8" w:space="0" w:color="000000"/>
              <w:bottom w:val="single" w:sz="8" w:space="0" w:color="000000"/>
              <w:right w:val="single" w:sz="8" w:space="0" w:color="000000"/>
            </w:tcBorders>
            <w:shd w:val="clear" w:color="auto" w:fill="C6D9F1"/>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Times New Roman"/>
                <w:kern w:val="24"/>
                <w:sz w:val="20"/>
                <w:szCs w:val="20"/>
              </w:rPr>
            </w:pPr>
            <w:r w:rsidRPr="00CA0AE3">
              <w:rPr>
                <w:rFonts w:eastAsia="Times New Roman"/>
                <w:b/>
                <w:bCs/>
                <w:kern w:val="24"/>
                <w:sz w:val="20"/>
                <w:szCs w:val="20"/>
              </w:rPr>
              <w:t>Year 3</w:t>
            </w:r>
          </w:p>
          <w:p w:rsidR="00CA2FE3" w:rsidRPr="00CA0AE3" w:rsidRDefault="00CA2FE3" w:rsidP="00D1633A">
            <w:pPr>
              <w:spacing w:after="0" w:line="240" w:lineRule="auto"/>
              <w:jc w:val="center"/>
              <w:rPr>
                <w:rFonts w:eastAsia="Times New Roman"/>
                <w:sz w:val="20"/>
                <w:szCs w:val="20"/>
              </w:rPr>
            </w:pPr>
            <w:r w:rsidRPr="00CA0AE3">
              <w:rPr>
                <w:rFonts w:eastAsia="Times New Roman"/>
                <w:kern w:val="24"/>
                <w:sz w:val="20"/>
                <w:szCs w:val="20"/>
              </w:rPr>
              <w:t>SFY 2020</w:t>
            </w:r>
          </w:p>
        </w:tc>
        <w:tc>
          <w:tcPr>
            <w:tcW w:w="404" w:type="pct"/>
            <w:tcBorders>
              <w:top w:val="single" w:sz="8" w:space="0" w:color="000000"/>
              <w:left w:val="single" w:sz="8" w:space="0" w:color="000000"/>
              <w:bottom w:val="single" w:sz="8" w:space="0" w:color="000000"/>
              <w:right w:val="single" w:sz="8" w:space="0" w:color="000000"/>
            </w:tcBorders>
            <w:shd w:val="clear" w:color="auto" w:fill="C6D9F1"/>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Times New Roman"/>
                <w:kern w:val="24"/>
                <w:sz w:val="20"/>
                <w:szCs w:val="20"/>
              </w:rPr>
            </w:pPr>
            <w:r w:rsidRPr="00CA0AE3">
              <w:rPr>
                <w:rFonts w:eastAsia="Times New Roman"/>
                <w:b/>
                <w:bCs/>
                <w:kern w:val="24"/>
                <w:sz w:val="20"/>
                <w:szCs w:val="20"/>
              </w:rPr>
              <w:t>Year 4</w:t>
            </w:r>
          </w:p>
          <w:p w:rsidR="00CA2FE3" w:rsidRPr="00CA0AE3" w:rsidRDefault="00CA2FE3" w:rsidP="00D1633A">
            <w:pPr>
              <w:spacing w:after="0" w:line="240" w:lineRule="auto"/>
              <w:jc w:val="center"/>
              <w:rPr>
                <w:rFonts w:eastAsia="Times New Roman"/>
                <w:sz w:val="20"/>
                <w:szCs w:val="20"/>
              </w:rPr>
            </w:pPr>
            <w:r w:rsidRPr="00CA0AE3">
              <w:rPr>
                <w:rFonts w:eastAsia="Times New Roman"/>
                <w:kern w:val="24"/>
                <w:sz w:val="20"/>
                <w:szCs w:val="20"/>
              </w:rPr>
              <w:t>SFY 2021</w:t>
            </w:r>
          </w:p>
        </w:tc>
        <w:tc>
          <w:tcPr>
            <w:tcW w:w="405" w:type="pct"/>
            <w:tcBorders>
              <w:top w:val="single" w:sz="8" w:space="0" w:color="000000"/>
              <w:left w:val="single" w:sz="8" w:space="0" w:color="000000"/>
              <w:bottom w:val="single" w:sz="8" w:space="0" w:color="000000"/>
              <w:right w:val="single" w:sz="8" w:space="0" w:color="000000"/>
            </w:tcBorders>
            <w:shd w:val="clear" w:color="auto" w:fill="C6D9F1"/>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Times New Roman"/>
                <w:kern w:val="24"/>
                <w:sz w:val="20"/>
                <w:szCs w:val="20"/>
              </w:rPr>
            </w:pPr>
            <w:r w:rsidRPr="00CA0AE3">
              <w:rPr>
                <w:rFonts w:eastAsia="Times New Roman"/>
                <w:b/>
                <w:bCs/>
                <w:kern w:val="24"/>
                <w:sz w:val="20"/>
                <w:szCs w:val="20"/>
              </w:rPr>
              <w:t>Year 5</w:t>
            </w:r>
          </w:p>
          <w:p w:rsidR="00CA2FE3" w:rsidRPr="00CA0AE3" w:rsidRDefault="00CA2FE3" w:rsidP="00D1633A">
            <w:pPr>
              <w:spacing w:after="0" w:line="240" w:lineRule="auto"/>
              <w:jc w:val="center"/>
              <w:rPr>
                <w:rFonts w:eastAsia="Times New Roman"/>
                <w:sz w:val="20"/>
                <w:szCs w:val="20"/>
              </w:rPr>
            </w:pPr>
            <w:r w:rsidRPr="00CA0AE3">
              <w:rPr>
                <w:rFonts w:eastAsia="Times New Roman"/>
                <w:kern w:val="24"/>
                <w:sz w:val="20"/>
                <w:szCs w:val="20"/>
              </w:rPr>
              <w:t>SFY 2022</w:t>
            </w:r>
          </w:p>
        </w:tc>
        <w:tc>
          <w:tcPr>
            <w:tcW w:w="780" w:type="pct"/>
            <w:tcBorders>
              <w:top w:val="single" w:sz="8" w:space="0" w:color="000000"/>
              <w:left w:val="single" w:sz="8" w:space="0" w:color="000000"/>
              <w:bottom w:val="single" w:sz="8" w:space="0" w:color="000000"/>
              <w:right w:val="single" w:sz="8" w:space="0" w:color="000000"/>
            </w:tcBorders>
            <w:shd w:val="clear" w:color="auto" w:fill="C6D9F1"/>
            <w:vAlign w:val="center"/>
          </w:tcPr>
          <w:p w:rsidR="00CA2FE3" w:rsidRPr="00CA0AE3" w:rsidRDefault="00CA2FE3" w:rsidP="00D1633A">
            <w:pPr>
              <w:spacing w:after="0" w:line="240" w:lineRule="auto"/>
              <w:jc w:val="center"/>
              <w:rPr>
                <w:rFonts w:eastAsia="Times New Roman"/>
                <w:b/>
                <w:bCs/>
                <w:kern w:val="24"/>
                <w:sz w:val="20"/>
                <w:szCs w:val="20"/>
              </w:rPr>
            </w:pPr>
            <w:r w:rsidRPr="00CA0AE3">
              <w:rPr>
                <w:rFonts w:eastAsia="Times New Roman"/>
                <w:b/>
                <w:bCs/>
                <w:kern w:val="24"/>
                <w:sz w:val="20"/>
                <w:szCs w:val="20"/>
              </w:rPr>
              <w:t>Rationale for Improvement Target</w:t>
            </w:r>
          </w:p>
        </w:tc>
      </w:tr>
      <w:tr w:rsidR="00CA2FE3" w:rsidRPr="00CA0AE3" w:rsidTr="003C48F3">
        <w:trPr>
          <w:cantSplit/>
        </w:trPr>
        <w:tc>
          <w:tcPr>
            <w:tcW w:w="118" w:type="pct"/>
            <w:tcBorders>
              <w:top w:val="single" w:sz="8" w:space="0" w:color="000000"/>
              <w:left w:val="single" w:sz="8" w:space="0" w:color="000000"/>
              <w:bottom w:val="single" w:sz="8" w:space="0" w:color="000000"/>
              <w:right w:val="single" w:sz="8" w:space="0" w:color="000000"/>
            </w:tcBorders>
            <w:shd w:val="clear" w:color="auto" w:fill="auto"/>
            <w:vAlign w:val="center"/>
          </w:tcPr>
          <w:p w:rsidR="00CA2FE3" w:rsidRPr="00CA0AE3" w:rsidRDefault="00CA2FE3" w:rsidP="00D1633A">
            <w:pPr>
              <w:spacing w:after="0" w:line="240" w:lineRule="auto"/>
              <w:jc w:val="center"/>
              <w:rPr>
                <w:rFonts w:eastAsia="Times New Roman"/>
                <w:bCs/>
                <w:kern w:val="24"/>
                <w:sz w:val="16"/>
                <w:szCs w:val="16"/>
              </w:rPr>
            </w:pPr>
            <w:r w:rsidRPr="00CA0AE3">
              <w:rPr>
                <w:rFonts w:eastAsia="Times New Roman"/>
                <w:bCs/>
                <w:kern w:val="24"/>
                <w:sz w:val="16"/>
                <w:szCs w:val="16"/>
              </w:rPr>
              <w:t>1</w:t>
            </w:r>
          </w:p>
        </w:tc>
        <w:tc>
          <w:tcPr>
            <w:tcW w:w="662" w:type="pct"/>
            <w:tcBorders>
              <w:top w:val="single" w:sz="8" w:space="0" w:color="auto"/>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rPr>
                <w:rFonts w:eastAsia="Cambria"/>
                <w:bCs/>
                <w:sz w:val="16"/>
                <w:szCs w:val="16"/>
              </w:rPr>
            </w:pPr>
            <w:r w:rsidRPr="00CA0AE3">
              <w:rPr>
                <w:rFonts w:eastAsia="Cambria"/>
                <w:bCs/>
                <w:sz w:val="16"/>
                <w:szCs w:val="16"/>
              </w:rPr>
              <w:t>Controlling high blood pressure for people with serious mental illness (for BH Home population)</w:t>
            </w:r>
          </w:p>
        </w:tc>
        <w:tc>
          <w:tcPr>
            <w:tcW w:w="370"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Cambria"/>
                <w:bCs/>
                <w:sz w:val="16"/>
                <w:szCs w:val="16"/>
              </w:rPr>
            </w:pPr>
            <w:r w:rsidRPr="00CA0AE3">
              <w:rPr>
                <w:rFonts w:eastAsia="Cambria"/>
                <w:bCs/>
                <w:sz w:val="16"/>
                <w:szCs w:val="16"/>
              </w:rPr>
              <w:t>NQF 2602</w:t>
            </w:r>
          </w:p>
        </w:tc>
        <w:tc>
          <w:tcPr>
            <w:tcW w:w="540"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Cambria"/>
                <w:bCs/>
                <w:sz w:val="16"/>
                <w:szCs w:val="16"/>
              </w:rPr>
            </w:pPr>
            <w:r w:rsidRPr="00CA0AE3">
              <w:rPr>
                <w:rFonts w:eastAsia="Cambria"/>
                <w:bCs/>
                <w:sz w:val="16"/>
                <w:szCs w:val="16"/>
              </w:rPr>
              <w:t>MA Medicaid (HEDIS) 2015 75</w:t>
            </w:r>
            <w:r w:rsidRPr="00CA0AE3">
              <w:rPr>
                <w:rFonts w:eastAsia="Cambria"/>
                <w:bCs/>
                <w:sz w:val="16"/>
                <w:szCs w:val="16"/>
                <w:vertAlign w:val="superscript"/>
              </w:rPr>
              <w:t>th</w:t>
            </w:r>
            <w:r w:rsidRPr="00CA0AE3">
              <w:rPr>
                <w:rFonts w:eastAsia="Cambria"/>
                <w:bCs/>
                <w:sz w:val="16"/>
                <w:szCs w:val="16"/>
              </w:rPr>
              <w:t xml:space="preserve"> percentile: 65.09% (proxy benchmark from NQF 0018 for overall population)</w:t>
            </w:r>
          </w:p>
        </w:tc>
        <w:tc>
          <w:tcPr>
            <w:tcW w:w="541"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Cambria"/>
                <w:bCs/>
                <w:sz w:val="16"/>
                <w:szCs w:val="16"/>
              </w:rPr>
            </w:pPr>
            <w:r w:rsidRPr="00CA0AE3">
              <w:rPr>
                <w:rFonts w:eastAsia="Cambria"/>
                <w:bCs/>
                <w:sz w:val="16"/>
                <w:szCs w:val="16"/>
              </w:rPr>
              <w:t>Gap to Goal (10%) or attainment at target</w:t>
            </w:r>
          </w:p>
        </w:tc>
        <w:tc>
          <w:tcPr>
            <w:tcW w:w="366"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Times New Roman"/>
                <w:b/>
                <w:bCs/>
                <w:kern w:val="24"/>
                <w:sz w:val="16"/>
                <w:szCs w:val="16"/>
              </w:rPr>
            </w:pPr>
            <w:r w:rsidRPr="00CA0AE3">
              <w:rPr>
                <w:rFonts w:eastAsia="Times New Roman"/>
                <w:b/>
                <w:bCs/>
                <w:kern w:val="24"/>
                <w:sz w:val="16"/>
                <w:szCs w:val="16"/>
              </w:rPr>
              <w:t>O</w:t>
            </w:r>
          </w:p>
        </w:tc>
        <w:tc>
          <w:tcPr>
            <w:tcW w:w="409" w:type="pct"/>
            <w:gridSpan w:val="2"/>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Times New Roman"/>
                <w:b/>
                <w:bCs/>
                <w:kern w:val="24"/>
                <w:sz w:val="16"/>
                <w:szCs w:val="16"/>
              </w:rPr>
            </w:pPr>
            <w:r w:rsidRPr="00CA0AE3">
              <w:rPr>
                <w:rFonts w:eastAsia="Times New Roman"/>
                <w:b/>
                <w:bCs/>
                <w:kern w:val="24"/>
                <w:sz w:val="16"/>
                <w:szCs w:val="16"/>
              </w:rPr>
              <w:t>O</w:t>
            </w:r>
          </w:p>
        </w:tc>
        <w:tc>
          <w:tcPr>
            <w:tcW w:w="405"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Times New Roman"/>
                <w:b/>
                <w:bCs/>
                <w:kern w:val="24"/>
                <w:sz w:val="16"/>
                <w:szCs w:val="16"/>
              </w:rPr>
            </w:pPr>
            <w:r w:rsidRPr="00CA0AE3">
              <w:rPr>
                <w:rFonts w:eastAsia="Times New Roman"/>
                <w:b/>
                <w:bCs/>
                <w:kern w:val="24"/>
                <w:sz w:val="16"/>
                <w:szCs w:val="16"/>
              </w:rPr>
              <w:t>O</w:t>
            </w:r>
          </w:p>
        </w:tc>
        <w:tc>
          <w:tcPr>
            <w:tcW w:w="404"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Times New Roman"/>
                <w:b/>
                <w:bCs/>
                <w:kern w:val="24"/>
                <w:sz w:val="16"/>
                <w:szCs w:val="16"/>
              </w:rPr>
            </w:pPr>
            <w:r w:rsidRPr="00CA0AE3">
              <w:rPr>
                <w:rFonts w:eastAsia="Times New Roman"/>
                <w:b/>
                <w:bCs/>
                <w:kern w:val="24"/>
                <w:sz w:val="16"/>
                <w:szCs w:val="16"/>
              </w:rPr>
              <w:t>O</w:t>
            </w:r>
          </w:p>
        </w:tc>
        <w:tc>
          <w:tcPr>
            <w:tcW w:w="405"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Times New Roman"/>
                <w:b/>
                <w:sz w:val="16"/>
                <w:szCs w:val="16"/>
              </w:rPr>
            </w:pPr>
            <w:r w:rsidRPr="00CA0AE3">
              <w:rPr>
                <w:rFonts w:eastAsia="Times New Roman"/>
                <w:b/>
                <w:sz w:val="16"/>
                <w:szCs w:val="16"/>
              </w:rPr>
              <w:t>O</w:t>
            </w:r>
          </w:p>
        </w:tc>
        <w:tc>
          <w:tcPr>
            <w:tcW w:w="780" w:type="pct"/>
            <w:tcBorders>
              <w:top w:val="single" w:sz="8" w:space="0" w:color="000000"/>
              <w:left w:val="single" w:sz="8" w:space="0" w:color="000000"/>
              <w:bottom w:val="single" w:sz="8" w:space="0" w:color="000000"/>
              <w:right w:val="single" w:sz="8" w:space="0" w:color="000000"/>
            </w:tcBorders>
            <w:vAlign w:val="center"/>
          </w:tcPr>
          <w:p w:rsidR="00CA2FE3" w:rsidRPr="00CA0AE3" w:rsidRDefault="00CA2FE3" w:rsidP="00D1633A">
            <w:pPr>
              <w:spacing w:after="0" w:line="240" w:lineRule="auto"/>
              <w:rPr>
                <w:rFonts w:eastAsia="Cambria"/>
                <w:bCs/>
                <w:sz w:val="16"/>
                <w:szCs w:val="16"/>
              </w:rPr>
            </w:pPr>
            <w:r w:rsidRPr="00CA0AE3">
              <w:rPr>
                <w:rFonts w:eastAsia="Cambria"/>
                <w:bCs/>
                <w:sz w:val="16"/>
                <w:szCs w:val="16"/>
              </w:rPr>
              <w:t>Using related benchmark for NQF 0018 for overall population.</w:t>
            </w:r>
          </w:p>
        </w:tc>
      </w:tr>
      <w:tr w:rsidR="00CA2FE3" w:rsidRPr="00CA0AE3" w:rsidTr="003C48F3">
        <w:trPr>
          <w:cantSplit/>
        </w:trPr>
        <w:tc>
          <w:tcPr>
            <w:tcW w:w="118" w:type="pct"/>
            <w:tcBorders>
              <w:top w:val="single" w:sz="8" w:space="0" w:color="000000"/>
              <w:left w:val="single" w:sz="8" w:space="0" w:color="000000"/>
              <w:bottom w:val="single" w:sz="8" w:space="0" w:color="000000"/>
              <w:right w:val="single" w:sz="8" w:space="0" w:color="000000"/>
            </w:tcBorders>
            <w:shd w:val="clear" w:color="auto" w:fill="auto"/>
            <w:vAlign w:val="center"/>
          </w:tcPr>
          <w:p w:rsidR="00CA2FE3" w:rsidRPr="00CA0AE3" w:rsidRDefault="00CA2FE3" w:rsidP="00D1633A">
            <w:pPr>
              <w:spacing w:after="0" w:line="240" w:lineRule="auto"/>
              <w:jc w:val="center"/>
              <w:rPr>
                <w:rFonts w:eastAsia="Times New Roman"/>
                <w:bCs/>
                <w:kern w:val="24"/>
                <w:sz w:val="16"/>
                <w:szCs w:val="16"/>
              </w:rPr>
            </w:pPr>
            <w:r w:rsidRPr="00CA0AE3">
              <w:rPr>
                <w:rFonts w:eastAsia="Times New Roman"/>
                <w:bCs/>
                <w:kern w:val="24"/>
                <w:sz w:val="16"/>
                <w:szCs w:val="16"/>
              </w:rPr>
              <w:t>2</w:t>
            </w:r>
          </w:p>
        </w:tc>
        <w:tc>
          <w:tcPr>
            <w:tcW w:w="662"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rPr>
                <w:rFonts w:eastAsia="Cambria"/>
                <w:bCs/>
                <w:sz w:val="16"/>
                <w:szCs w:val="16"/>
              </w:rPr>
            </w:pPr>
            <w:r w:rsidRPr="00CA0AE3">
              <w:rPr>
                <w:rFonts w:eastAsia="Cambria"/>
                <w:bCs/>
                <w:sz w:val="16"/>
                <w:szCs w:val="16"/>
              </w:rPr>
              <w:t>Proportion of patients with identified opioid use disorder accessing medication-assisted treatment (MAT)</w:t>
            </w:r>
          </w:p>
        </w:tc>
        <w:tc>
          <w:tcPr>
            <w:tcW w:w="370"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Cambria"/>
                <w:bCs/>
                <w:sz w:val="16"/>
                <w:szCs w:val="16"/>
              </w:rPr>
            </w:pPr>
            <w:r w:rsidRPr="00CA0AE3">
              <w:rPr>
                <w:rFonts w:eastAsia="Cambria"/>
                <w:bCs/>
                <w:sz w:val="16"/>
                <w:szCs w:val="16"/>
              </w:rPr>
              <w:t>N/A</w:t>
            </w:r>
          </w:p>
        </w:tc>
        <w:tc>
          <w:tcPr>
            <w:tcW w:w="540"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Cambria"/>
                <w:sz w:val="16"/>
                <w:szCs w:val="16"/>
              </w:rPr>
            </w:pPr>
            <w:r w:rsidRPr="00CA0AE3">
              <w:rPr>
                <w:rFonts w:eastAsia="Cambria"/>
                <w:sz w:val="16"/>
                <w:szCs w:val="16"/>
              </w:rPr>
              <w:t xml:space="preserve">No external benchmark; </w:t>
            </w:r>
            <w:r w:rsidRPr="00CA0AE3">
              <w:rPr>
                <w:rFonts w:eastAsia="Cambria"/>
                <w:bCs/>
                <w:sz w:val="16"/>
                <w:szCs w:val="16"/>
              </w:rPr>
              <w:t>Hospital target = 50.00%</w:t>
            </w:r>
          </w:p>
        </w:tc>
        <w:tc>
          <w:tcPr>
            <w:tcW w:w="541"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Cambria"/>
                <w:bCs/>
                <w:sz w:val="16"/>
                <w:szCs w:val="16"/>
              </w:rPr>
            </w:pPr>
            <w:r w:rsidRPr="00CA0AE3">
              <w:rPr>
                <w:rFonts w:eastAsia="Cambria"/>
                <w:bCs/>
                <w:sz w:val="16"/>
                <w:szCs w:val="16"/>
              </w:rPr>
              <w:t>Gap to Goal (10%) or attainment at target</w:t>
            </w:r>
          </w:p>
        </w:tc>
        <w:tc>
          <w:tcPr>
            <w:tcW w:w="366"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Times New Roman"/>
                <w:b/>
                <w:bCs/>
                <w:kern w:val="24"/>
                <w:sz w:val="16"/>
                <w:szCs w:val="16"/>
              </w:rPr>
            </w:pPr>
            <w:r w:rsidRPr="00CA0AE3">
              <w:rPr>
                <w:rFonts w:eastAsia="Times New Roman"/>
                <w:b/>
                <w:bCs/>
                <w:kern w:val="24"/>
                <w:sz w:val="16"/>
                <w:szCs w:val="16"/>
              </w:rPr>
              <w:t>B</w:t>
            </w:r>
          </w:p>
        </w:tc>
        <w:tc>
          <w:tcPr>
            <w:tcW w:w="409" w:type="pct"/>
            <w:gridSpan w:val="2"/>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Times New Roman"/>
                <w:b/>
                <w:bCs/>
                <w:kern w:val="24"/>
                <w:sz w:val="16"/>
                <w:szCs w:val="16"/>
              </w:rPr>
            </w:pPr>
            <w:r w:rsidRPr="00CA0AE3">
              <w:rPr>
                <w:rFonts w:eastAsia="Times New Roman"/>
                <w:b/>
                <w:bCs/>
                <w:kern w:val="24"/>
                <w:sz w:val="16"/>
                <w:szCs w:val="16"/>
              </w:rPr>
              <w:t>O</w:t>
            </w:r>
          </w:p>
        </w:tc>
        <w:tc>
          <w:tcPr>
            <w:tcW w:w="405"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Times New Roman"/>
                <w:b/>
                <w:bCs/>
                <w:kern w:val="24"/>
                <w:sz w:val="16"/>
                <w:szCs w:val="16"/>
              </w:rPr>
            </w:pPr>
            <w:r w:rsidRPr="00CA0AE3">
              <w:rPr>
                <w:rFonts w:eastAsia="Times New Roman"/>
                <w:b/>
                <w:bCs/>
                <w:kern w:val="24"/>
                <w:sz w:val="16"/>
                <w:szCs w:val="16"/>
              </w:rPr>
              <w:t>O</w:t>
            </w:r>
          </w:p>
        </w:tc>
        <w:tc>
          <w:tcPr>
            <w:tcW w:w="404"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Times New Roman"/>
                <w:b/>
                <w:bCs/>
                <w:kern w:val="24"/>
                <w:sz w:val="16"/>
                <w:szCs w:val="16"/>
              </w:rPr>
            </w:pPr>
            <w:r w:rsidRPr="00CA0AE3">
              <w:rPr>
                <w:rFonts w:eastAsia="Times New Roman"/>
                <w:b/>
                <w:bCs/>
                <w:kern w:val="24"/>
                <w:sz w:val="16"/>
                <w:szCs w:val="16"/>
              </w:rPr>
              <w:t>O</w:t>
            </w:r>
          </w:p>
        </w:tc>
        <w:tc>
          <w:tcPr>
            <w:tcW w:w="405"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Times New Roman"/>
                <w:b/>
                <w:bCs/>
                <w:kern w:val="24"/>
                <w:sz w:val="16"/>
                <w:szCs w:val="16"/>
              </w:rPr>
            </w:pPr>
            <w:r w:rsidRPr="00CA0AE3">
              <w:rPr>
                <w:rFonts w:eastAsia="Times New Roman"/>
                <w:b/>
                <w:bCs/>
                <w:kern w:val="24"/>
                <w:sz w:val="16"/>
                <w:szCs w:val="16"/>
              </w:rPr>
              <w:t>O</w:t>
            </w:r>
          </w:p>
        </w:tc>
        <w:tc>
          <w:tcPr>
            <w:tcW w:w="780" w:type="pct"/>
            <w:tcBorders>
              <w:top w:val="single" w:sz="8" w:space="0" w:color="000000"/>
              <w:left w:val="single" w:sz="8" w:space="0" w:color="000000"/>
              <w:bottom w:val="single" w:sz="8" w:space="0" w:color="000000"/>
              <w:right w:val="single" w:sz="8" w:space="0" w:color="000000"/>
            </w:tcBorders>
            <w:vAlign w:val="center"/>
          </w:tcPr>
          <w:p w:rsidR="00CA2FE3" w:rsidRPr="00CA0AE3" w:rsidRDefault="00CA2FE3" w:rsidP="00D1633A">
            <w:pPr>
              <w:spacing w:after="0" w:line="240" w:lineRule="auto"/>
              <w:rPr>
                <w:rFonts w:eastAsia="Cambria"/>
                <w:bCs/>
                <w:sz w:val="16"/>
                <w:szCs w:val="16"/>
              </w:rPr>
            </w:pPr>
            <w:r w:rsidRPr="00CA0AE3">
              <w:rPr>
                <w:rFonts w:eastAsia="Cambria"/>
                <w:bCs/>
                <w:sz w:val="16"/>
                <w:szCs w:val="16"/>
              </w:rPr>
              <w:t>Target of 50% informed by experience with patient engagement in opioid treatment</w:t>
            </w:r>
          </w:p>
        </w:tc>
      </w:tr>
      <w:tr w:rsidR="00CA2FE3" w:rsidRPr="00CA0AE3" w:rsidTr="003C48F3">
        <w:trPr>
          <w:cantSplit/>
        </w:trPr>
        <w:tc>
          <w:tcPr>
            <w:tcW w:w="118" w:type="pct"/>
            <w:tcBorders>
              <w:top w:val="single" w:sz="8" w:space="0" w:color="000000"/>
              <w:left w:val="single" w:sz="8" w:space="0" w:color="000000"/>
              <w:bottom w:val="single" w:sz="8" w:space="0" w:color="000000"/>
              <w:right w:val="single" w:sz="8" w:space="0" w:color="000000"/>
            </w:tcBorders>
            <w:shd w:val="clear" w:color="auto" w:fill="auto"/>
            <w:vAlign w:val="center"/>
          </w:tcPr>
          <w:p w:rsidR="00CA2FE3" w:rsidRPr="00CA0AE3" w:rsidRDefault="00CA2FE3" w:rsidP="00D1633A">
            <w:pPr>
              <w:spacing w:after="0" w:line="240" w:lineRule="auto"/>
              <w:jc w:val="center"/>
              <w:rPr>
                <w:rFonts w:eastAsia="Times New Roman"/>
                <w:bCs/>
                <w:kern w:val="24"/>
                <w:sz w:val="16"/>
                <w:szCs w:val="16"/>
              </w:rPr>
            </w:pPr>
            <w:r w:rsidRPr="00CA0AE3">
              <w:rPr>
                <w:rFonts w:eastAsia="Times New Roman"/>
                <w:bCs/>
                <w:kern w:val="24"/>
                <w:sz w:val="16"/>
                <w:szCs w:val="16"/>
              </w:rPr>
              <w:lastRenderedPageBreak/>
              <w:t>3</w:t>
            </w:r>
          </w:p>
        </w:tc>
        <w:tc>
          <w:tcPr>
            <w:tcW w:w="662"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rPr>
                <w:rFonts w:eastAsia="Cambria"/>
                <w:bCs/>
                <w:sz w:val="16"/>
                <w:szCs w:val="16"/>
              </w:rPr>
            </w:pPr>
            <w:r w:rsidRPr="00CA0AE3">
              <w:rPr>
                <w:rFonts w:eastAsia="Cambria"/>
                <w:bCs/>
                <w:sz w:val="16"/>
                <w:szCs w:val="16"/>
              </w:rPr>
              <w:t>Hospitalized patients screened within 72 hours of admission using a validated screening tool for unhealthy alcohol use (all public hospital system inpatient psychiatric discharges, age 18 and above)</w:t>
            </w:r>
          </w:p>
        </w:tc>
        <w:tc>
          <w:tcPr>
            <w:tcW w:w="370"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Cambria"/>
                <w:bCs/>
                <w:sz w:val="16"/>
                <w:szCs w:val="16"/>
              </w:rPr>
            </w:pPr>
            <w:r w:rsidRPr="00CA0AE3">
              <w:rPr>
                <w:rFonts w:eastAsia="Cambria"/>
                <w:bCs/>
                <w:sz w:val="16"/>
                <w:szCs w:val="16"/>
              </w:rPr>
              <w:t>NQF 1661</w:t>
            </w:r>
          </w:p>
          <w:p w:rsidR="00CA2FE3" w:rsidRPr="00CA0AE3" w:rsidRDefault="00CA2FE3" w:rsidP="00D1633A">
            <w:pPr>
              <w:spacing w:after="0" w:line="240" w:lineRule="auto"/>
              <w:jc w:val="center"/>
              <w:rPr>
                <w:rFonts w:eastAsia="Cambria"/>
                <w:bCs/>
                <w:sz w:val="16"/>
                <w:szCs w:val="16"/>
              </w:rPr>
            </w:pPr>
            <w:r w:rsidRPr="00CA0AE3">
              <w:rPr>
                <w:rFonts w:eastAsia="Cambria"/>
                <w:bCs/>
                <w:sz w:val="16"/>
                <w:szCs w:val="16"/>
              </w:rPr>
              <w:t>SUB-1</w:t>
            </w:r>
          </w:p>
        </w:tc>
        <w:tc>
          <w:tcPr>
            <w:tcW w:w="540"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Cambria"/>
                <w:sz w:val="16"/>
                <w:szCs w:val="16"/>
              </w:rPr>
            </w:pPr>
            <w:r w:rsidRPr="00CA0AE3">
              <w:rPr>
                <w:rFonts w:eastAsia="Cambria"/>
                <w:sz w:val="16"/>
                <w:szCs w:val="16"/>
              </w:rPr>
              <w:t>Joint Commission (2014) 75</w:t>
            </w:r>
            <w:r w:rsidRPr="00CA0AE3">
              <w:rPr>
                <w:rFonts w:eastAsia="Cambria"/>
                <w:sz w:val="16"/>
                <w:szCs w:val="16"/>
                <w:vertAlign w:val="superscript"/>
              </w:rPr>
              <w:t>th</w:t>
            </w:r>
            <w:r w:rsidRPr="00CA0AE3">
              <w:rPr>
                <w:rFonts w:eastAsia="Cambria"/>
                <w:sz w:val="16"/>
                <w:szCs w:val="16"/>
              </w:rPr>
              <w:t xml:space="preserve">  percentile = 94.20%</w:t>
            </w:r>
          </w:p>
        </w:tc>
        <w:tc>
          <w:tcPr>
            <w:tcW w:w="541"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Cambria"/>
                <w:bCs/>
                <w:sz w:val="16"/>
                <w:szCs w:val="16"/>
              </w:rPr>
            </w:pPr>
            <w:r w:rsidRPr="00CA0AE3">
              <w:rPr>
                <w:rFonts w:eastAsia="Cambria"/>
                <w:bCs/>
                <w:sz w:val="16"/>
                <w:szCs w:val="16"/>
              </w:rPr>
              <w:t>Gap to Goal (10%) or attainment at target</w:t>
            </w:r>
          </w:p>
        </w:tc>
        <w:tc>
          <w:tcPr>
            <w:tcW w:w="366"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Times New Roman"/>
                <w:b/>
                <w:bCs/>
                <w:kern w:val="24"/>
                <w:sz w:val="16"/>
                <w:szCs w:val="16"/>
              </w:rPr>
            </w:pPr>
            <w:r w:rsidRPr="00CA0AE3">
              <w:rPr>
                <w:rFonts w:eastAsia="Times New Roman"/>
                <w:b/>
                <w:bCs/>
                <w:kern w:val="24"/>
                <w:sz w:val="16"/>
                <w:szCs w:val="16"/>
              </w:rPr>
              <w:t>O</w:t>
            </w:r>
          </w:p>
          <w:p w:rsidR="00CA2FE3" w:rsidRPr="00CA0AE3" w:rsidRDefault="00CA2FE3" w:rsidP="00D1633A">
            <w:pPr>
              <w:spacing w:after="0" w:line="240" w:lineRule="auto"/>
              <w:jc w:val="center"/>
              <w:rPr>
                <w:rFonts w:eastAsia="Times New Roman"/>
                <w:bCs/>
                <w:kern w:val="24"/>
                <w:sz w:val="16"/>
                <w:szCs w:val="16"/>
              </w:rPr>
            </w:pPr>
            <w:r w:rsidRPr="00CA0AE3">
              <w:rPr>
                <w:rFonts w:eastAsia="Times New Roman"/>
                <w:bCs/>
                <w:kern w:val="24"/>
                <w:sz w:val="16"/>
                <w:szCs w:val="16"/>
              </w:rPr>
              <w:t>(CY2017)</w:t>
            </w:r>
          </w:p>
        </w:tc>
        <w:tc>
          <w:tcPr>
            <w:tcW w:w="409" w:type="pct"/>
            <w:gridSpan w:val="2"/>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Times New Roman"/>
                <w:b/>
                <w:bCs/>
                <w:kern w:val="24"/>
                <w:sz w:val="16"/>
                <w:szCs w:val="16"/>
              </w:rPr>
            </w:pPr>
            <w:r w:rsidRPr="00CA0AE3">
              <w:rPr>
                <w:rFonts w:eastAsia="Times New Roman"/>
                <w:b/>
                <w:bCs/>
                <w:kern w:val="24"/>
                <w:sz w:val="16"/>
                <w:szCs w:val="16"/>
              </w:rPr>
              <w:t>O</w:t>
            </w:r>
          </w:p>
          <w:p w:rsidR="00CA2FE3" w:rsidRPr="00CA0AE3" w:rsidRDefault="00CA2FE3" w:rsidP="00D1633A">
            <w:pPr>
              <w:spacing w:after="0" w:line="240" w:lineRule="auto"/>
              <w:jc w:val="center"/>
              <w:rPr>
                <w:rFonts w:eastAsia="Times New Roman"/>
                <w:bCs/>
                <w:kern w:val="24"/>
                <w:sz w:val="16"/>
                <w:szCs w:val="16"/>
              </w:rPr>
            </w:pPr>
            <w:r w:rsidRPr="00CA0AE3">
              <w:rPr>
                <w:rFonts w:eastAsia="Times New Roman"/>
                <w:bCs/>
                <w:kern w:val="24"/>
                <w:sz w:val="16"/>
                <w:szCs w:val="16"/>
              </w:rPr>
              <w:t>(CY2018)</w:t>
            </w:r>
          </w:p>
        </w:tc>
        <w:tc>
          <w:tcPr>
            <w:tcW w:w="405"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Times New Roman"/>
                <w:bCs/>
                <w:kern w:val="24"/>
                <w:sz w:val="16"/>
                <w:szCs w:val="16"/>
              </w:rPr>
            </w:pPr>
            <w:r w:rsidRPr="00CA0AE3">
              <w:rPr>
                <w:rFonts w:eastAsia="Times New Roman"/>
                <w:b/>
                <w:bCs/>
                <w:kern w:val="24"/>
                <w:sz w:val="16"/>
                <w:szCs w:val="16"/>
              </w:rPr>
              <w:t>O</w:t>
            </w:r>
          </w:p>
          <w:p w:rsidR="00CA2FE3" w:rsidRPr="00CA0AE3" w:rsidRDefault="00CA2FE3" w:rsidP="00D1633A">
            <w:pPr>
              <w:spacing w:after="0" w:line="240" w:lineRule="auto"/>
              <w:jc w:val="center"/>
              <w:rPr>
                <w:rFonts w:eastAsia="Times New Roman"/>
                <w:bCs/>
                <w:kern w:val="24"/>
                <w:sz w:val="16"/>
                <w:szCs w:val="16"/>
              </w:rPr>
            </w:pPr>
            <w:r w:rsidRPr="00CA0AE3">
              <w:rPr>
                <w:rFonts w:eastAsia="Times New Roman"/>
                <w:bCs/>
                <w:kern w:val="24"/>
                <w:sz w:val="16"/>
                <w:szCs w:val="16"/>
              </w:rPr>
              <w:t>(CY2019)</w:t>
            </w:r>
          </w:p>
        </w:tc>
        <w:tc>
          <w:tcPr>
            <w:tcW w:w="404"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Times New Roman"/>
                <w:bCs/>
                <w:kern w:val="24"/>
                <w:sz w:val="16"/>
                <w:szCs w:val="16"/>
              </w:rPr>
            </w:pPr>
            <w:r w:rsidRPr="00CA0AE3">
              <w:rPr>
                <w:rFonts w:eastAsia="Times New Roman"/>
                <w:b/>
                <w:bCs/>
                <w:kern w:val="24"/>
                <w:sz w:val="16"/>
                <w:szCs w:val="16"/>
              </w:rPr>
              <w:t>O</w:t>
            </w:r>
          </w:p>
          <w:p w:rsidR="00CA2FE3" w:rsidRPr="00CA0AE3" w:rsidRDefault="00CA2FE3" w:rsidP="00D1633A">
            <w:pPr>
              <w:spacing w:after="0" w:line="240" w:lineRule="auto"/>
              <w:jc w:val="center"/>
              <w:rPr>
                <w:rFonts w:eastAsia="Times New Roman"/>
                <w:bCs/>
                <w:kern w:val="24"/>
                <w:sz w:val="16"/>
                <w:szCs w:val="16"/>
              </w:rPr>
            </w:pPr>
            <w:r w:rsidRPr="00CA0AE3">
              <w:rPr>
                <w:rFonts w:eastAsia="Times New Roman"/>
                <w:bCs/>
                <w:kern w:val="24"/>
                <w:sz w:val="16"/>
                <w:szCs w:val="16"/>
              </w:rPr>
              <w:t>(CY2020)</w:t>
            </w:r>
          </w:p>
        </w:tc>
        <w:tc>
          <w:tcPr>
            <w:tcW w:w="405"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Times New Roman"/>
                <w:b/>
                <w:sz w:val="16"/>
                <w:szCs w:val="16"/>
              </w:rPr>
            </w:pPr>
            <w:r w:rsidRPr="00CA0AE3">
              <w:rPr>
                <w:rFonts w:eastAsia="Times New Roman"/>
                <w:b/>
                <w:sz w:val="16"/>
                <w:szCs w:val="16"/>
              </w:rPr>
              <w:t>O</w:t>
            </w:r>
          </w:p>
          <w:p w:rsidR="00CA2FE3" w:rsidRPr="00CA0AE3" w:rsidRDefault="00CA2FE3" w:rsidP="00D1633A">
            <w:pPr>
              <w:spacing w:after="0" w:line="240" w:lineRule="auto"/>
              <w:jc w:val="center"/>
              <w:rPr>
                <w:rFonts w:eastAsia="Times New Roman"/>
                <w:sz w:val="16"/>
                <w:szCs w:val="16"/>
              </w:rPr>
            </w:pPr>
            <w:r w:rsidRPr="00CA0AE3">
              <w:rPr>
                <w:rFonts w:eastAsia="Times New Roman"/>
                <w:bCs/>
                <w:kern w:val="24"/>
                <w:sz w:val="16"/>
                <w:szCs w:val="16"/>
              </w:rPr>
              <w:t>(CY2021)</w:t>
            </w:r>
          </w:p>
        </w:tc>
        <w:tc>
          <w:tcPr>
            <w:tcW w:w="780" w:type="pct"/>
            <w:tcBorders>
              <w:top w:val="single" w:sz="8" w:space="0" w:color="000000"/>
              <w:left w:val="single" w:sz="8" w:space="0" w:color="000000"/>
              <w:bottom w:val="single" w:sz="8" w:space="0" w:color="000000"/>
              <w:right w:val="single" w:sz="8" w:space="0" w:color="000000"/>
            </w:tcBorders>
            <w:vAlign w:val="center"/>
          </w:tcPr>
          <w:p w:rsidR="00CA2FE3" w:rsidRPr="00CA0AE3" w:rsidRDefault="00CA2FE3" w:rsidP="00D1633A">
            <w:pPr>
              <w:spacing w:after="0" w:line="240" w:lineRule="auto"/>
              <w:rPr>
                <w:rFonts w:eastAsia="Cambria"/>
                <w:bCs/>
                <w:sz w:val="16"/>
                <w:szCs w:val="16"/>
              </w:rPr>
            </w:pPr>
          </w:p>
          <w:p w:rsidR="00CA2FE3" w:rsidRPr="00CA0AE3" w:rsidRDefault="00CA2FE3" w:rsidP="00D1633A">
            <w:pPr>
              <w:spacing w:after="0" w:line="240" w:lineRule="auto"/>
              <w:rPr>
                <w:rFonts w:eastAsia="Cambria"/>
                <w:bCs/>
                <w:sz w:val="16"/>
                <w:szCs w:val="16"/>
              </w:rPr>
            </w:pPr>
            <w:r w:rsidRPr="00CA0AE3">
              <w:rPr>
                <w:rFonts w:eastAsia="Cambria"/>
                <w:bCs/>
                <w:sz w:val="16"/>
                <w:szCs w:val="16"/>
              </w:rPr>
              <w:t>Using Joint Commission benchmark for SUB-1</w:t>
            </w:r>
          </w:p>
        </w:tc>
      </w:tr>
      <w:tr w:rsidR="00CA2FE3" w:rsidRPr="00CA0AE3" w:rsidTr="003C48F3">
        <w:trPr>
          <w:cantSplit/>
        </w:trPr>
        <w:tc>
          <w:tcPr>
            <w:tcW w:w="118" w:type="pct"/>
            <w:tcBorders>
              <w:top w:val="single" w:sz="8" w:space="0" w:color="000000"/>
              <w:left w:val="single" w:sz="8" w:space="0" w:color="000000"/>
              <w:bottom w:val="single" w:sz="8" w:space="0" w:color="000000"/>
              <w:right w:val="single" w:sz="8" w:space="0" w:color="000000"/>
            </w:tcBorders>
            <w:shd w:val="clear" w:color="auto" w:fill="auto"/>
            <w:vAlign w:val="center"/>
          </w:tcPr>
          <w:p w:rsidR="00CA2FE3" w:rsidRPr="00CA0AE3" w:rsidRDefault="00CA2FE3" w:rsidP="00D1633A">
            <w:pPr>
              <w:spacing w:after="0" w:line="240" w:lineRule="auto"/>
              <w:jc w:val="center"/>
              <w:rPr>
                <w:rFonts w:eastAsia="Times New Roman"/>
                <w:bCs/>
                <w:kern w:val="24"/>
                <w:sz w:val="16"/>
                <w:szCs w:val="16"/>
              </w:rPr>
            </w:pPr>
            <w:r w:rsidRPr="00CA0AE3">
              <w:rPr>
                <w:rFonts w:eastAsia="Times New Roman"/>
                <w:bCs/>
                <w:kern w:val="24"/>
                <w:sz w:val="16"/>
                <w:szCs w:val="16"/>
              </w:rPr>
              <w:t>4</w:t>
            </w:r>
          </w:p>
        </w:tc>
        <w:tc>
          <w:tcPr>
            <w:tcW w:w="662"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rPr>
                <w:rFonts w:eastAsia="Cambria"/>
                <w:bCs/>
                <w:sz w:val="16"/>
                <w:szCs w:val="16"/>
              </w:rPr>
            </w:pPr>
            <w:r w:rsidRPr="00CA0AE3">
              <w:rPr>
                <w:rFonts w:eastAsia="Cambria"/>
                <w:bCs/>
                <w:sz w:val="16"/>
                <w:szCs w:val="16"/>
              </w:rPr>
              <w:t>Alcohol use brief intervention provided or offered (during public hospital system psychiatric hospitalization, age 18 and above)</w:t>
            </w:r>
          </w:p>
        </w:tc>
        <w:tc>
          <w:tcPr>
            <w:tcW w:w="370"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Cambria"/>
                <w:bCs/>
                <w:sz w:val="16"/>
                <w:szCs w:val="16"/>
              </w:rPr>
            </w:pPr>
            <w:r w:rsidRPr="00CA0AE3">
              <w:rPr>
                <w:rFonts w:eastAsia="Cambria"/>
                <w:bCs/>
                <w:sz w:val="16"/>
                <w:szCs w:val="16"/>
              </w:rPr>
              <w:t>NQF 1663</w:t>
            </w:r>
          </w:p>
          <w:p w:rsidR="00CA2FE3" w:rsidRPr="00CA0AE3" w:rsidRDefault="00CA2FE3" w:rsidP="00D1633A">
            <w:pPr>
              <w:spacing w:after="0" w:line="240" w:lineRule="auto"/>
              <w:jc w:val="center"/>
              <w:rPr>
                <w:rFonts w:eastAsia="Cambria"/>
                <w:bCs/>
                <w:sz w:val="16"/>
                <w:szCs w:val="16"/>
              </w:rPr>
            </w:pPr>
            <w:r w:rsidRPr="00CA0AE3">
              <w:rPr>
                <w:rFonts w:eastAsia="Cambria"/>
                <w:bCs/>
                <w:sz w:val="16"/>
                <w:szCs w:val="16"/>
              </w:rPr>
              <w:t>SUB-2</w:t>
            </w:r>
          </w:p>
        </w:tc>
        <w:tc>
          <w:tcPr>
            <w:tcW w:w="540"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Cambria"/>
                <w:sz w:val="16"/>
                <w:szCs w:val="16"/>
              </w:rPr>
            </w:pPr>
            <w:r w:rsidRPr="00CA0AE3">
              <w:rPr>
                <w:rFonts w:eastAsia="Cambria"/>
                <w:sz w:val="16"/>
                <w:szCs w:val="16"/>
              </w:rPr>
              <w:t>Joint Commission (2014) average = 48.20%</w:t>
            </w:r>
          </w:p>
        </w:tc>
        <w:tc>
          <w:tcPr>
            <w:tcW w:w="541"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Cambria"/>
                <w:bCs/>
                <w:sz w:val="16"/>
                <w:szCs w:val="16"/>
              </w:rPr>
            </w:pPr>
            <w:r w:rsidRPr="00CA0AE3">
              <w:rPr>
                <w:rFonts w:eastAsia="Cambria"/>
                <w:bCs/>
                <w:sz w:val="16"/>
                <w:szCs w:val="16"/>
              </w:rPr>
              <w:t>Gap to Goal (10%) or attainment at target</w:t>
            </w:r>
          </w:p>
        </w:tc>
        <w:tc>
          <w:tcPr>
            <w:tcW w:w="370" w:type="pct"/>
            <w:gridSpan w:val="2"/>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Times New Roman"/>
                <w:b/>
                <w:bCs/>
                <w:kern w:val="24"/>
                <w:sz w:val="16"/>
                <w:szCs w:val="16"/>
              </w:rPr>
            </w:pPr>
            <w:r w:rsidRPr="00CA0AE3">
              <w:rPr>
                <w:rFonts w:eastAsia="Times New Roman"/>
                <w:b/>
                <w:bCs/>
                <w:kern w:val="24"/>
                <w:sz w:val="16"/>
                <w:szCs w:val="16"/>
              </w:rPr>
              <w:t>B</w:t>
            </w:r>
          </w:p>
          <w:p w:rsidR="00CA2FE3" w:rsidRPr="00CA0AE3" w:rsidRDefault="00CA2FE3" w:rsidP="00D1633A">
            <w:pPr>
              <w:spacing w:after="0" w:line="240" w:lineRule="auto"/>
              <w:jc w:val="center"/>
              <w:rPr>
                <w:rFonts w:eastAsia="Times New Roman"/>
                <w:bCs/>
                <w:kern w:val="24"/>
                <w:sz w:val="16"/>
                <w:szCs w:val="16"/>
              </w:rPr>
            </w:pPr>
            <w:r w:rsidRPr="00CA0AE3">
              <w:rPr>
                <w:rFonts w:eastAsia="Times New Roman"/>
                <w:bCs/>
                <w:kern w:val="24"/>
                <w:sz w:val="16"/>
                <w:szCs w:val="16"/>
              </w:rPr>
              <w:t>(CY2017)</w:t>
            </w:r>
          </w:p>
        </w:tc>
        <w:tc>
          <w:tcPr>
            <w:tcW w:w="405"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Times New Roman"/>
                <w:b/>
                <w:bCs/>
                <w:kern w:val="24"/>
                <w:sz w:val="16"/>
                <w:szCs w:val="16"/>
              </w:rPr>
            </w:pPr>
            <w:r w:rsidRPr="00CA0AE3">
              <w:rPr>
                <w:rFonts w:eastAsia="Times New Roman"/>
                <w:b/>
                <w:bCs/>
                <w:kern w:val="24"/>
                <w:sz w:val="16"/>
                <w:szCs w:val="16"/>
              </w:rPr>
              <w:t>O</w:t>
            </w:r>
          </w:p>
          <w:p w:rsidR="00CA2FE3" w:rsidRPr="00CA0AE3" w:rsidRDefault="00CA2FE3" w:rsidP="00D1633A">
            <w:pPr>
              <w:spacing w:after="0" w:line="240" w:lineRule="auto"/>
              <w:jc w:val="center"/>
              <w:rPr>
                <w:rFonts w:eastAsia="Times New Roman"/>
                <w:bCs/>
                <w:kern w:val="24"/>
                <w:sz w:val="16"/>
                <w:szCs w:val="16"/>
              </w:rPr>
            </w:pPr>
            <w:r w:rsidRPr="00CA0AE3">
              <w:rPr>
                <w:rFonts w:eastAsia="Times New Roman"/>
                <w:bCs/>
                <w:kern w:val="24"/>
                <w:sz w:val="16"/>
                <w:szCs w:val="16"/>
              </w:rPr>
              <w:t>(CY2018)</w:t>
            </w:r>
          </w:p>
        </w:tc>
        <w:tc>
          <w:tcPr>
            <w:tcW w:w="405"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Times New Roman"/>
                <w:bCs/>
                <w:kern w:val="24"/>
                <w:sz w:val="16"/>
                <w:szCs w:val="16"/>
              </w:rPr>
            </w:pPr>
            <w:r w:rsidRPr="00CA0AE3">
              <w:rPr>
                <w:rFonts w:eastAsia="Times New Roman"/>
                <w:b/>
                <w:bCs/>
                <w:kern w:val="24"/>
                <w:sz w:val="16"/>
                <w:szCs w:val="16"/>
              </w:rPr>
              <w:t>O</w:t>
            </w:r>
          </w:p>
          <w:p w:rsidR="00CA2FE3" w:rsidRPr="00CA0AE3" w:rsidRDefault="00CA2FE3" w:rsidP="00D1633A">
            <w:pPr>
              <w:spacing w:after="0" w:line="240" w:lineRule="auto"/>
              <w:jc w:val="center"/>
              <w:rPr>
                <w:rFonts w:eastAsia="Times New Roman"/>
                <w:bCs/>
                <w:kern w:val="24"/>
                <w:sz w:val="16"/>
                <w:szCs w:val="16"/>
              </w:rPr>
            </w:pPr>
            <w:r w:rsidRPr="00CA0AE3">
              <w:rPr>
                <w:rFonts w:eastAsia="Times New Roman"/>
                <w:bCs/>
                <w:kern w:val="24"/>
                <w:sz w:val="16"/>
                <w:szCs w:val="16"/>
              </w:rPr>
              <w:t>(CY2019)</w:t>
            </w:r>
          </w:p>
        </w:tc>
        <w:tc>
          <w:tcPr>
            <w:tcW w:w="404"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Times New Roman"/>
                <w:bCs/>
                <w:kern w:val="24"/>
                <w:sz w:val="16"/>
                <w:szCs w:val="16"/>
              </w:rPr>
            </w:pPr>
            <w:r w:rsidRPr="00CA0AE3">
              <w:rPr>
                <w:rFonts w:eastAsia="Times New Roman"/>
                <w:b/>
                <w:bCs/>
                <w:kern w:val="24"/>
                <w:sz w:val="16"/>
                <w:szCs w:val="16"/>
              </w:rPr>
              <w:t>O</w:t>
            </w:r>
          </w:p>
          <w:p w:rsidR="00CA2FE3" w:rsidRPr="00CA0AE3" w:rsidRDefault="00CA2FE3" w:rsidP="00D1633A">
            <w:pPr>
              <w:spacing w:after="0" w:line="240" w:lineRule="auto"/>
              <w:jc w:val="center"/>
              <w:rPr>
                <w:rFonts w:eastAsia="Times New Roman"/>
                <w:bCs/>
                <w:kern w:val="24"/>
                <w:sz w:val="16"/>
                <w:szCs w:val="16"/>
              </w:rPr>
            </w:pPr>
            <w:r w:rsidRPr="00CA0AE3">
              <w:rPr>
                <w:rFonts w:eastAsia="Times New Roman"/>
                <w:bCs/>
                <w:kern w:val="24"/>
                <w:sz w:val="16"/>
                <w:szCs w:val="16"/>
              </w:rPr>
              <w:t>(CY2020)</w:t>
            </w:r>
          </w:p>
        </w:tc>
        <w:tc>
          <w:tcPr>
            <w:tcW w:w="405"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Times New Roman"/>
                <w:b/>
                <w:sz w:val="16"/>
                <w:szCs w:val="16"/>
              </w:rPr>
            </w:pPr>
            <w:r w:rsidRPr="00CA0AE3">
              <w:rPr>
                <w:rFonts w:eastAsia="Times New Roman"/>
                <w:b/>
                <w:sz w:val="16"/>
                <w:szCs w:val="16"/>
              </w:rPr>
              <w:t>O</w:t>
            </w:r>
          </w:p>
          <w:p w:rsidR="00CA2FE3" w:rsidRPr="00CA0AE3" w:rsidRDefault="00CA2FE3" w:rsidP="00D1633A">
            <w:pPr>
              <w:spacing w:after="0" w:line="240" w:lineRule="auto"/>
              <w:jc w:val="center"/>
              <w:rPr>
                <w:rFonts w:eastAsia="Times New Roman"/>
                <w:sz w:val="16"/>
                <w:szCs w:val="16"/>
              </w:rPr>
            </w:pPr>
            <w:r w:rsidRPr="00CA0AE3">
              <w:rPr>
                <w:rFonts w:eastAsia="Times New Roman"/>
                <w:bCs/>
                <w:kern w:val="24"/>
                <w:sz w:val="16"/>
                <w:szCs w:val="16"/>
              </w:rPr>
              <w:t>(CY2021)</w:t>
            </w:r>
          </w:p>
        </w:tc>
        <w:tc>
          <w:tcPr>
            <w:tcW w:w="780" w:type="pct"/>
            <w:tcBorders>
              <w:top w:val="single" w:sz="8" w:space="0" w:color="000000"/>
              <w:left w:val="single" w:sz="8" w:space="0" w:color="000000"/>
              <w:bottom w:val="single" w:sz="8" w:space="0" w:color="000000"/>
              <w:right w:val="single" w:sz="8" w:space="0" w:color="000000"/>
            </w:tcBorders>
            <w:vAlign w:val="center"/>
          </w:tcPr>
          <w:p w:rsidR="00CA2FE3" w:rsidRPr="00CA0AE3" w:rsidRDefault="00CA2FE3" w:rsidP="00D1633A">
            <w:pPr>
              <w:spacing w:after="0" w:line="240" w:lineRule="auto"/>
              <w:rPr>
                <w:rFonts w:eastAsia="Cambria"/>
                <w:sz w:val="16"/>
                <w:szCs w:val="16"/>
              </w:rPr>
            </w:pPr>
            <w:r w:rsidRPr="00CA0AE3">
              <w:rPr>
                <w:rFonts w:eastAsia="Cambria"/>
                <w:bCs/>
                <w:sz w:val="16"/>
                <w:szCs w:val="16"/>
              </w:rPr>
              <w:t>New measure as of 1/1/16; using related benchmark for NQF 1663, which is a similar measure for all inpatient admissions</w:t>
            </w:r>
          </w:p>
        </w:tc>
      </w:tr>
      <w:tr w:rsidR="00CA2FE3" w:rsidRPr="00CA0AE3" w:rsidTr="003C48F3">
        <w:trPr>
          <w:cantSplit/>
        </w:trPr>
        <w:tc>
          <w:tcPr>
            <w:tcW w:w="118" w:type="pct"/>
            <w:tcBorders>
              <w:top w:val="single" w:sz="8" w:space="0" w:color="000000"/>
              <w:left w:val="single" w:sz="8" w:space="0" w:color="000000"/>
              <w:bottom w:val="single" w:sz="8" w:space="0" w:color="000000"/>
              <w:right w:val="single" w:sz="8" w:space="0" w:color="000000"/>
            </w:tcBorders>
            <w:shd w:val="clear" w:color="auto" w:fill="auto"/>
            <w:vAlign w:val="center"/>
          </w:tcPr>
          <w:p w:rsidR="00CA2FE3" w:rsidRPr="00CA0AE3" w:rsidRDefault="00CA2FE3" w:rsidP="00D1633A">
            <w:pPr>
              <w:spacing w:after="0" w:line="240" w:lineRule="auto"/>
              <w:jc w:val="center"/>
              <w:rPr>
                <w:rFonts w:eastAsia="Times New Roman"/>
                <w:bCs/>
                <w:kern w:val="24"/>
                <w:sz w:val="16"/>
                <w:szCs w:val="16"/>
              </w:rPr>
            </w:pPr>
            <w:r w:rsidRPr="00CA0AE3">
              <w:rPr>
                <w:rFonts w:eastAsia="Times New Roman"/>
                <w:bCs/>
                <w:kern w:val="24"/>
                <w:sz w:val="16"/>
                <w:szCs w:val="16"/>
              </w:rPr>
              <w:t>5</w:t>
            </w:r>
          </w:p>
        </w:tc>
        <w:tc>
          <w:tcPr>
            <w:tcW w:w="662"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rPr>
                <w:rFonts w:eastAsia="Cambria"/>
                <w:bCs/>
                <w:sz w:val="16"/>
                <w:szCs w:val="16"/>
              </w:rPr>
            </w:pPr>
            <w:r w:rsidRPr="00CA0AE3">
              <w:rPr>
                <w:rFonts w:eastAsia="Cambria"/>
                <w:bCs/>
                <w:sz w:val="16"/>
                <w:szCs w:val="16"/>
              </w:rPr>
              <w:t xml:space="preserve">Follow-up after hospitalization for mental illness (for BH Home population) – </w:t>
            </w:r>
          </w:p>
          <w:p w:rsidR="00CA2FE3" w:rsidRPr="00CA0AE3" w:rsidRDefault="00CA2FE3" w:rsidP="00D1633A">
            <w:pPr>
              <w:spacing w:after="0" w:line="240" w:lineRule="auto"/>
              <w:rPr>
                <w:rFonts w:eastAsia="Cambria"/>
                <w:bCs/>
                <w:sz w:val="16"/>
                <w:szCs w:val="16"/>
              </w:rPr>
            </w:pPr>
            <w:r w:rsidRPr="00CA0AE3">
              <w:rPr>
                <w:rFonts w:eastAsia="Cambria"/>
                <w:bCs/>
                <w:sz w:val="16"/>
                <w:szCs w:val="16"/>
              </w:rPr>
              <w:t>7 days for public hospital system hospitalizations</w:t>
            </w:r>
          </w:p>
        </w:tc>
        <w:tc>
          <w:tcPr>
            <w:tcW w:w="370"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Cambria"/>
                <w:bCs/>
                <w:sz w:val="16"/>
                <w:szCs w:val="16"/>
              </w:rPr>
            </w:pPr>
            <w:r w:rsidRPr="00CA0AE3">
              <w:rPr>
                <w:rFonts w:eastAsia="Cambria"/>
                <w:bCs/>
                <w:sz w:val="16"/>
                <w:szCs w:val="16"/>
              </w:rPr>
              <w:t xml:space="preserve">NQF 0576 </w:t>
            </w:r>
          </w:p>
          <w:p w:rsidR="00CA2FE3" w:rsidRPr="00CA0AE3" w:rsidRDefault="00CA2FE3" w:rsidP="00D1633A">
            <w:pPr>
              <w:spacing w:after="0" w:line="240" w:lineRule="auto"/>
              <w:jc w:val="center"/>
              <w:rPr>
                <w:rFonts w:eastAsia="Cambria"/>
                <w:bCs/>
                <w:sz w:val="16"/>
                <w:szCs w:val="16"/>
              </w:rPr>
            </w:pPr>
            <w:r w:rsidRPr="00CA0AE3">
              <w:rPr>
                <w:rFonts w:eastAsia="Cambria"/>
                <w:bCs/>
                <w:sz w:val="16"/>
                <w:szCs w:val="16"/>
              </w:rPr>
              <w:t>(7-day)</w:t>
            </w:r>
          </w:p>
          <w:p w:rsidR="00CA2FE3" w:rsidRPr="00CA0AE3" w:rsidRDefault="00CA2FE3" w:rsidP="00D1633A">
            <w:pPr>
              <w:spacing w:after="0" w:line="240" w:lineRule="auto"/>
              <w:jc w:val="center"/>
              <w:rPr>
                <w:rFonts w:eastAsia="Cambria"/>
                <w:bCs/>
                <w:sz w:val="16"/>
                <w:szCs w:val="16"/>
              </w:rPr>
            </w:pPr>
          </w:p>
        </w:tc>
        <w:tc>
          <w:tcPr>
            <w:tcW w:w="540"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Cambria"/>
                <w:sz w:val="16"/>
                <w:szCs w:val="16"/>
              </w:rPr>
            </w:pPr>
            <w:r w:rsidRPr="00CA0AE3">
              <w:rPr>
                <w:rFonts w:eastAsia="Cambria"/>
                <w:sz w:val="16"/>
                <w:szCs w:val="16"/>
              </w:rPr>
              <w:t>National (HEDIS)</w:t>
            </w:r>
          </w:p>
          <w:p w:rsidR="00CA2FE3" w:rsidRPr="00CA0AE3" w:rsidRDefault="00CA2FE3" w:rsidP="00D1633A">
            <w:pPr>
              <w:spacing w:after="0" w:line="240" w:lineRule="auto"/>
              <w:jc w:val="center"/>
              <w:rPr>
                <w:rFonts w:eastAsia="Cambria"/>
                <w:sz w:val="16"/>
                <w:szCs w:val="16"/>
              </w:rPr>
            </w:pPr>
            <w:r w:rsidRPr="00CA0AE3">
              <w:rPr>
                <w:rFonts w:eastAsia="Cambria"/>
                <w:sz w:val="16"/>
                <w:szCs w:val="16"/>
              </w:rPr>
              <w:t>Medicaid 2015</w:t>
            </w:r>
          </w:p>
          <w:p w:rsidR="00CA2FE3" w:rsidRPr="00CA0AE3" w:rsidRDefault="00CA2FE3" w:rsidP="00D1633A">
            <w:pPr>
              <w:spacing w:after="0" w:line="240" w:lineRule="auto"/>
              <w:jc w:val="center"/>
              <w:rPr>
                <w:rFonts w:eastAsia="Cambria"/>
                <w:sz w:val="16"/>
                <w:szCs w:val="16"/>
              </w:rPr>
            </w:pPr>
            <w:r w:rsidRPr="00CA0AE3">
              <w:rPr>
                <w:rFonts w:eastAsia="Cambria"/>
                <w:sz w:val="16"/>
                <w:szCs w:val="16"/>
              </w:rPr>
              <w:t>90</w:t>
            </w:r>
            <w:r w:rsidRPr="00CA0AE3">
              <w:rPr>
                <w:rFonts w:eastAsia="Cambria"/>
                <w:sz w:val="16"/>
                <w:szCs w:val="16"/>
                <w:vertAlign w:val="superscript"/>
              </w:rPr>
              <w:t>th</w:t>
            </w:r>
            <w:r w:rsidRPr="00CA0AE3">
              <w:rPr>
                <w:rFonts w:eastAsia="Cambria"/>
                <w:sz w:val="16"/>
                <w:szCs w:val="16"/>
              </w:rPr>
              <w:t xml:space="preserve"> percentile = 63.85%</w:t>
            </w:r>
          </w:p>
        </w:tc>
        <w:tc>
          <w:tcPr>
            <w:tcW w:w="541"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Cambria"/>
                <w:bCs/>
                <w:sz w:val="16"/>
                <w:szCs w:val="16"/>
              </w:rPr>
            </w:pPr>
            <w:r w:rsidRPr="00CA0AE3">
              <w:rPr>
                <w:rFonts w:eastAsia="Cambria"/>
                <w:bCs/>
                <w:sz w:val="16"/>
                <w:szCs w:val="16"/>
              </w:rPr>
              <w:t xml:space="preserve">Gap to Goal (10%) or attainment at target </w:t>
            </w:r>
          </w:p>
        </w:tc>
        <w:tc>
          <w:tcPr>
            <w:tcW w:w="370" w:type="pct"/>
            <w:gridSpan w:val="2"/>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Times New Roman"/>
                <w:b/>
                <w:bCs/>
                <w:kern w:val="24"/>
                <w:sz w:val="16"/>
                <w:szCs w:val="16"/>
              </w:rPr>
            </w:pPr>
            <w:r w:rsidRPr="00CA0AE3">
              <w:rPr>
                <w:rFonts w:eastAsia="Times New Roman"/>
                <w:b/>
                <w:bCs/>
                <w:kern w:val="24"/>
                <w:sz w:val="16"/>
                <w:szCs w:val="16"/>
              </w:rPr>
              <w:t>O</w:t>
            </w:r>
          </w:p>
        </w:tc>
        <w:tc>
          <w:tcPr>
            <w:tcW w:w="405"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Times New Roman"/>
                <w:b/>
                <w:bCs/>
                <w:kern w:val="24"/>
                <w:sz w:val="16"/>
                <w:szCs w:val="16"/>
              </w:rPr>
            </w:pPr>
            <w:r w:rsidRPr="00CA0AE3">
              <w:rPr>
                <w:rFonts w:eastAsia="Times New Roman"/>
                <w:b/>
                <w:bCs/>
                <w:kern w:val="24"/>
                <w:sz w:val="16"/>
                <w:szCs w:val="16"/>
              </w:rPr>
              <w:t>O</w:t>
            </w:r>
          </w:p>
        </w:tc>
        <w:tc>
          <w:tcPr>
            <w:tcW w:w="405"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Times New Roman"/>
                <w:b/>
                <w:bCs/>
                <w:kern w:val="24"/>
                <w:sz w:val="16"/>
                <w:szCs w:val="16"/>
              </w:rPr>
            </w:pPr>
            <w:r w:rsidRPr="00CA0AE3">
              <w:rPr>
                <w:rFonts w:eastAsia="Times New Roman"/>
                <w:b/>
                <w:bCs/>
                <w:kern w:val="24"/>
                <w:sz w:val="16"/>
                <w:szCs w:val="16"/>
              </w:rPr>
              <w:t>O</w:t>
            </w:r>
          </w:p>
        </w:tc>
        <w:tc>
          <w:tcPr>
            <w:tcW w:w="404"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Times New Roman"/>
                <w:b/>
                <w:bCs/>
                <w:kern w:val="24"/>
                <w:sz w:val="16"/>
                <w:szCs w:val="16"/>
              </w:rPr>
            </w:pPr>
            <w:r w:rsidRPr="00CA0AE3">
              <w:rPr>
                <w:rFonts w:eastAsia="Times New Roman"/>
                <w:b/>
                <w:bCs/>
                <w:kern w:val="24"/>
                <w:sz w:val="16"/>
                <w:szCs w:val="16"/>
              </w:rPr>
              <w:t>O</w:t>
            </w:r>
          </w:p>
        </w:tc>
        <w:tc>
          <w:tcPr>
            <w:tcW w:w="405"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Times New Roman"/>
                <w:b/>
                <w:sz w:val="16"/>
                <w:szCs w:val="16"/>
              </w:rPr>
            </w:pPr>
            <w:r w:rsidRPr="00CA0AE3">
              <w:rPr>
                <w:rFonts w:eastAsia="Times New Roman"/>
                <w:b/>
                <w:sz w:val="16"/>
                <w:szCs w:val="16"/>
              </w:rPr>
              <w:t>O</w:t>
            </w:r>
          </w:p>
        </w:tc>
        <w:tc>
          <w:tcPr>
            <w:tcW w:w="780" w:type="pct"/>
            <w:tcBorders>
              <w:top w:val="single" w:sz="8" w:space="0" w:color="000000"/>
              <w:left w:val="single" w:sz="8" w:space="0" w:color="000000"/>
              <w:bottom w:val="single" w:sz="8" w:space="0" w:color="000000"/>
              <w:right w:val="single" w:sz="8" w:space="0" w:color="000000"/>
            </w:tcBorders>
            <w:vAlign w:val="center"/>
          </w:tcPr>
          <w:p w:rsidR="00CA2FE3" w:rsidRPr="00CA0AE3" w:rsidRDefault="00CA2FE3" w:rsidP="00D1633A">
            <w:pPr>
              <w:spacing w:after="0" w:line="240" w:lineRule="auto"/>
              <w:rPr>
                <w:rFonts w:eastAsia="Cambria"/>
                <w:sz w:val="16"/>
                <w:szCs w:val="16"/>
              </w:rPr>
            </w:pPr>
          </w:p>
        </w:tc>
      </w:tr>
      <w:tr w:rsidR="00CA2FE3" w:rsidRPr="00CA0AE3" w:rsidTr="003C48F3">
        <w:trPr>
          <w:cantSplit/>
        </w:trPr>
        <w:tc>
          <w:tcPr>
            <w:tcW w:w="118" w:type="pct"/>
            <w:tcBorders>
              <w:top w:val="single" w:sz="8" w:space="0" w:color="000000"/>
              <w:left w:val="single" w:sz="8" w:space="0" w:color="000000"/>
              <w:bottom w:val="single" w:sz="8" w:space="0" w:color="000000"/>
              <w:right w:val="single" w:sz="8" w:space="0" w:color="000000"/>
            </w:tcBorders>
            <w:shd w:val="clear" w:color="auto" w:fill="auto"/>
            <w:vAlign w:val="center"/>
          </w:tcPr>
          <w:p w:rsidR="00CA2FE3" w:rsidRPr="00CA0AE3" w:rsidRDefault="00CA2FE3" w:rsidP="00D1633A">
            <w:pPr>
              <w:spacing w:after="0" w:line="240" w:lineRule="auto"/>
              <w:jc w:val="center"/>
              <w:rPr>
                <w:rFonts w:eastAsia="Times New Roman"/>
                <w:bCs/>
                <w:kern w:val="24"/>
                <w:sz w:val="16"/>
                <w:szCs w:val="16"/>
              </w:rPr>
            </w:pPr>
            <w:r w:rsidRPr="00CA0AE3">
              <w:rPr>
                <w:rFonts w:eastAsia="Times New Roman"/>
                <w:bCs/>
                <w:kern w:val="24"/>
                <w:sz w:val="16"/>
                <w:szCs w:val="16"/>
              </w:rPr>
              <w:t>6</w:t>
            </w:r>
          </w:p>
        </w:tc>
        <w:tc>
          <w:tcPr>
            <w:tcW w:w="662"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rPr>
                <w:rFonts w:eastAsia="Cambria"/>
                <w:bCs/>
                <w:sz w:val="16"/>
                <w:szCs w:val="16"/>
              </w:rPr>
            </w:pPr>
            <w:r w:rsidRPr="00CA0AE3">
              <w:rPr>
                <w:rFonts w:eastAsia="Cambria"/>
                <w:bCs/>
                <w:sz w:val="16"/>
                <w:szCs w:val="16"/>
              </w:rPr>
              <w:t>Transition record with specified elements received by discharged patients(for public hospital system psychiatric hospitalizations)</w:t>
            </w:r>
          </w:p>
        </w:tc>
        <w:tc>
          <w:tcPr>
            <w:tcW w:w="370"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Cambria"/>
                <w:bCs/>
                <w:sz w:val="16"/>
                <w:szCs w:val="16"/>
              </w:rPr>
            </w:pPr>
            <w:r w:rsidRPr="00CA0AE3">
              <w:rPr>
                <w:rFonts w:eastAsia="Cambria"/>
                <w:bCs/>
                <w:sz w:val="16"/>
                <w:szCs w:val="16"/>
              </w:rPr>
              <w:t>NQF 0647</w:t>
            </w:r>
          </w:p>
        </w:tc>
        <w:tc>
          <w:tcPr>
            <w:tcW w:w="540"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Cambria"/>
                <w:sz w:val="16"/>
                <w:szCs w:val="16"/>
              </w:rPr>
            </w:pPr>
            <w:r w:rsidRPr="00CA0AE3">
              <w:rPr>
                <w:rFonts w:eastAsia="Cambria"/>
                <w:sz w:val="16"/>
                <w:szCs w:val="16"/>
              </w:rPr>
              <w:t>MA IPFQR-HBIPS 2014 average = 83.27%</w:t>
            </w:r>
          </w:p>
        </w:tc>
        <w:tc>
          <w:tcPr>
            <w:tcW w:w="541"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Cambria"/>
                <w:bCs/>
                <w:sz w:val="16"/>
                <w:szCs w:val="16"/>
              </w:rPr>
            </w:pPr>
            <w:r w:rsidRPr="00CA0AE3">
              <w:rPr>
                <w:rFonts w:eastAsia="Cambria"/>
                <w:bCs/>
                <w:sz w:val="16"/>
                <w:szCs w:val="16"/>
              </w:rPr>
              <w:t>Gap to Goal (10%) or attainment at target</w:t>
            </w:r>
          </w:p>
        </w:tc>
        <w:tc>
          <w:tcPr>
            <w:tcW w:w="370" w:type="pct"/>
            <w:gridSpan w:val="2"/>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Times New Roman"/>
                <w:b/>
                <w:bCs/>
                <w:kern w:val="24"/>
                <w:sz w:val="16"/>
                <w:szCs w:val="16"/>
              </w:rPr>
            </w:pPr>
            <w:r w:rsidRPr="00CA0AE3">
              <w:rPr>
                <w:rFonts w:eastAsia="Times New Roman"/>
                <w:b/>
                <w:bCs/>
                <w:kern w:val="24"/>
                <w:sz w:val="16"/>
                <w:szCs w:val="16"/>
              </w:rPr>
              <w:t>B</w:t>
            </w:r>
          </w:p>
          <w:p w:rsidR="00CA2FE3" w:rsidRPr="00CA0AE3" w:rsidRDefault="00CA2FE3" w:rsidP="00D1633A">
            <w:pPr>
              <w:spacing w:after="0" w:line="240" w:lineRule="auto"/>
              <w:jc w:val="center"/>
              <w:rPr>
                <w:rFonts w:eastAsia="Times New Roman"/>
                <w:bCs/>
                <w:kern w:val="24"/>
                <w:sz w:val="16"/>
                <w:szCs w:val="16"/>
              </w:rPr>
            </w:pPr>
            <w:r w:rsidRPr="00CA0AE3">
              <w:rPr>
                <w:rFonts w:eastAsia="Times New Roman"/>
                <w:bCs/>
                <w:kern w:val="24"/>
                <w:sz w:val="16"/>
                <w:szCs w:val="16"/>
              </w:rPr>
              <w:t>(CY2017)</w:t>
            </w:r>
          </w:p>
        </w:tc>
        <w:tc>
          <w:tcPr>
            <w:tcW w:w="405"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Times New Roman"/>
                <w:b/>
                <w:bCs/>
                <w:kern w:val="24"/>
                <w:sz w:val="16"/>
                <w:szCs w:val="16"/>
              </w:rPr>
            </w:pPr>
            <w:r w:rsidRPr="00CA0AE3">
              <w:rPr>
                <w:rFonts w:eastAsia="Times New Roman"/>
                <w:b/>
                <w:bCs/>
                <w:kern w:val="24"/>
                <w:sz w:val="16"/>
                <w:szCs w:val="16"/>
              </w:rPr>
              <w:t>O</w:t>
            </w:r>
          </w:p>
          <w:p w:rsidR="00CA2FE3" w:rsidRPr="00CA0AE3" w:rsidRDefault="00CA2FE3" w:rsidP="00D1633A">
            <w:pPr>
              <w:spacing w:after="0" w:line="240" w:lineRule="auto"/>
              <w:jc w:val="center"/>
              <w:rPr>
                <w:rFonts w:eastAsia="Times New Roman"/>
                <w:bCs/>
                <w:kern w:val="24"/>
                <w:sz w:val="16"/>
                <w:szCs w:val="16"/>
              </w:rPr>
            </w:pPr>
            <w:r w:rsidRPr="00CA0AE3">
              <w:rPr>
                <w:rFonts w:eastAsia="Times New Roman"/>
                <w:bCs/>
                <w:kern w:val="24"/>
                <w:sz w:val="16"/>
                <w:szCs w:val="16"/>
              </w:rPr>
              <w:t>(CY2018)</w:t>
            </w:r>
          </w:p>
        </w:tc>
        <w:tc>
          <w:tcPr>
            <w:tcW w:w="405"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Times New Roman"/>
                <w:b/>
                <w:bCs/>
                <w:kern w:val="24"/>
                <w:sz w:val="16"/>
                <w:szCs w:val="16"/>
              </w:rPr>
            </w:pPr>
            <w:r w:rsidRPr="00CA0AE3">
              <w:rPr>
                <w:rFonts w:eastAsia="Times New Roman"/>
                <w:b/>
                <w:bCs/>
                <w:kern w:val="24"/>
                <w:sz w:val="16"/>
                <w:szCs w:val="16"/>
              </w:rPr>
              <w:t>O</w:t>
            </w:r>
          </w:p>
          <w:p w:rsidR="00CA2FE3" w:rsidRPr="00CA0AE3" w:rsidRDefault="00CA2FE3" w:rsidP="00D1633A">
            <w:pPr>
              <w:spacing w:after="0" w:line="240" w:lineRule="auto"/>
              <w:jc w:val="center"/>
              <w:rPr>
                <w:rFonts w:eastAsia="Times New Roman"/>
                <w:bCs/>
                <w:kern w:val="24"/>
                <w:sz w:val="16"/>
                <w:szCs w:val="16"/>
              </w:rPr>
            </w:pPr>
            <w:r w:rsidRPr="00CA0AE3">
              <w:rPr>
                <w:rFonts w:eastAsia="Times New Roman"/>
                <w:bCs/>
                <w:kern w:val="24"/>
                <w:sz w:val="16"/>
                <w:szCs w:val="16"/>
              </w:rPr>
              <w:t>(CY2019)</w:t>
            </w:r>
          </w:p>
        </w:tc>
        <w:tc>
          <w:tcPr>
            <w:tcW w:w="404"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Times New Roman"/>
                <w:b/>
                <w:bCs/>
                <w:kern w:val="24"/>
                <w:sz w:val="16"/>
                <w:szCs w:val="16"/>
              </w:rPr>
            </w:pPr>
            <w:r w:rsidRPr="00CA0AE3">
              <w:rPr>
                <w:rFonts w:eastAsia="Times New Roman"/>
                <w:b/>
                <w:bCs/>
                <w:kern w:val="24"/>
                <w:sz w:val="16"/>
                <w:szCs w:val="16"/>
              </w:rPr>
              <w:t>O</w:t>
            </w:r>
          </w:p>
          <w:p w:rsidR="00CA2FE3" w:rsidRPr="00CA0AE3" w:rsidRDefault="00CA2FE3" w:rsidP="00D1633A">
            <w:pPr>
              <w:spacing w:after="0" w:line="240" w:lineRule="auto"/>
              <w:jc w:val="center"/>
              <w:rPr>
                <w:rFonts w:eastAsia="Times New Roman"/>
                <w:bCs/>
                <w:kern w:val="24"/>
                <w:sz w:val="16"/>
                <w:szCs w:val="16"/>
              </w:rPr>
            </w:pPr>
            <w:r w:rsidRPr="00CA0AE3">
              <w:rPr>
                <w:rFonts w:eastAsia="Times New Roman"/>
                <w:bCs/>
                <w:kern w:val="24"/>
                <w:sz w:val="16"/>
                <w:szCs w:val="16"/>
              </w:rPr>
              <w:t>(CY2020)</w:t>
            </w:r>
          </w:p>
        </w:tc>
        <w:tc>
          <w:tcPr>
            <w:tcW w:w="405"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Times New Roman"/>
                <w:b/>
                <w:sz w:val="16"/>
                <w:szCs w:val="16"/>
              </w:rPr>
            </w:pPr>
            <w:r w:rsidRPr="00CA0AE3">
              <w:rPr>
                <w:rFonts w:eastAsia="Times New Roman"/>
                <w:b/>
                <w:sz w:val="16"/>
                <w:szCs w:val="16"/>
              </w:rPr>
              <w:t>O</w:t>
            </w:r>
          </w:p>
          <w:p w:rsidR="00CA2FE3" w:rsidRPr="00CA0AE3" w:rsidRDefault="00CA2FE3" w:rsidP="00D1633A">
            <w:pPr>
              <w:spacing w:after="0" w:line="240" w:lineRule="auto"/>
              <w:jc w:val="center"/>
              <w:rPr>
                <w:rFonts w:eastAsia="Times New Roman"/>
                <w:sz w:val="16"/>
                <w:szCs w:val="16"/>
              </w:rPr>
            </w:pPr>
            <w:r w:rsidRPr="00CA0AE3">
              <w:rPr>
                <w:rFonts w:eastAsia="Times New Roman"/>
                <w:sz w:val="16"/>
                <w:szCs w:val="16"/>
              </w:rPr>
              <w:t>(CY2021)</w:t>
            </w:r>
          </w:p>
        </w:tc>
        <w:tc>
          <w:tcPr>
            <w:tcW w:w="780" w:type="pct"/>
            <w:tcBorders>
              <w:top w:val="single" w:sz="8" w:space="0" w:color="000000"/>
              <w:left w:val="single" w:sz="8" w:space="0" w:color="000000"/>
              <w:bottom w:val="single" w:sz="8" w:space="0" w:color="000000"/>
              <w:right w:val="single" w:sz="8" w:space="0" w:color="000000"/>
            </w:tcBorders>
            <w:vAlign w:val="center"/>
          </w:tcPr>
          <w:p w:rsidR="00CA2FE3" w:rsidRPr="00CA0AE3" w:rsidRDefault="00CA2FE3" w:rsidP="00D1633A">
            <w:pPr>
              <w:spacing w:after="0" w:line="240" w:lineRule="auto"/>
              <w:rPr>
                <w:rFonts w:eastAsia="Cambria"/>
                <w:sz w:val="16"/>
                <w:szCs w:val="16"/>
              </w:rPr>
            </w:pPr>
            <w:r w:rsidRPr="00CA0AE3">
              <w:rPr>
                <w:rFonts w:eastAsia="Cambria"/>
                <w:sz w:val="16"/>
                <w:szCs w:val="16"/>
              </w:rPr>
              <w:t>New IPFQR measure to be implemented 1/1/17; using related measure for NQF 0557, which is HBIPS-6 for creation of the transition continuing care plan</w:t>
            </w:r>
          </w:p>
        </w:tc>
      </w:tr>
      <w:tr w:rsidR="00CA2FE3" w:rsidRPr="00CA0AE3" w:rsidTr="003C48F3">
        <w:trPr>
          <w:cantSplit/>
        </w:trPr>
        <w:tc>
          <w:tcPr>
            <w:tcW w:w="118" w:type="pct"/>
            <w:tcBorders>
              <w:top w:val="single" w:sz="8" w:space="0" w:color="000000"/>
              <w:left w:val="single" w:sz="8" w:space="0" w:color="000000"/>
              <w:bottom w:val="single" w:sz="8" w:space="0" w:color="000000"/>
              <w:right w:val="single" w:sz="8" w:space="0" w:color="000000"/>
            </w:tcBorders>
            <w:shd w:val="clear" w:color="auto" w:fill="auto"/>
            <w:vAlign w:val="center"/>
          </w:tcPr>
          <w:p w:rsidR="00CA2FE3" w:rsidRPr="00CA0AE3" w:rsidRDefault="00CA2FE3" w:rsidP="00D1633A">
            <w:pPr>
              <w:spacing w:after="0" w:line="240" w:lineRule="auto"/>
              <w:jc w:val="center"/>
              <w:rPr>
                <w:rFonts w:eastAsia="Times New Roman"/>
                <w:bCs/>
                <w:kern w:val="24"/>
                <w:sz w:val="16"/>
                <w:szCs w:val="16"/>
              </w:rPr>
            </w:pPr>
            <w:r w:rsidRPr="00CA0AE3">
              <w:rPr>
                <w:rFonts w:eastAsia="Times New Roman"/>
                <w:bCs/>
                <w:kern w:val="24"/>
                <w:sz w:val="16"/>
                <w:szCs w:val="16"/>
              </w:rPr>
              <w:t>7</w:t>
            </w:r>
          </w:p>
        </w:tc>
        <w:tc>
          <w:tcPr>
            <w:tcW w:w="662"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rPr>
                <w:rFonts w:eastAsia="Cambria"/>
                <w:bCs/>
                <w:sz w:val="16"/>
                <w:szCs w:val="16"/>
              </w:rPr>
            </w:pPr>
            <w:r w:rsidRPr="00CA0AE3">
              <w:rPr>
                <w:rFonts w:eastAsia="Cambria"/>
                <w:bCs/>
                <w:sz w:val="16"/>
                <w:szCs w:val="16"/>
              </w:rPr>
              <w:t>Access to public hospital system ambulatory mental health care: Scheduled intakes within 14 days of referral (for in-network referrals)</w:t>
            </w:r>
          </w:p>
        </w:tc>
        <w:tc>
          <w:tcPr>
            <w:tcW w:w="370"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Cambria"/>
                <w:bCs/>
                <w:sz w:val="16"/>
                <w:szCs w:val="16"/>
              </w:rPr>
            </w:pPr>
            <w:r w:rsidRPr="00CA0AE3">
              <w:rPr>
                <w:rFonts w:eastAsia="Cambria"/>
                <w:bCs/>
                <w:sz w:val="16"/>
                <w:szCs w:val="16"/>
              </w:rPr>
              <w:t>N/A</w:t>
            </w:r>
          </w:p>
        </w:tc>
        <w:tc>
          <w:tcPr>
            <w:tcW w:w="540"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Cambria"/>
                <w:sz w:val="16"/>
                <w:szCs w:val="16"/>
              </w:rPr>
            </w:pPr>
            <w:r w:rsidRPr="00CA0AE3">
              <w:rPr>
                <w:rFonts w:eastAsia="Cambria"/>
                <w:sz w:val="16"/>
                <w:szCs w:val="16"/>
              </w:rPr>
              <w:t>National Medicaid (HEDIS) 2015 90th percentile = 48.10%</w:t>
            </w:r>
          </w:p>
        </w:tc>
        <w:tc>
          <w:tcPr>
            <w:tcW w:w="541"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Cambria"/>
                <w:bCs/>
                <w:sz w:val="16"/>
                <w:szCs w:val="16"/>
              </w:rPr>
            </w:pPr>
            <w:r w:rsidRPr="00CA0AE3">
              <w:rPr>
                <w:rFonts w:eastAsia="Cambria"/>
                <w:bCs/>
                <w:sz w:val="16"/>
                <w:szCs w:val="16"/>
              </w:rPr>
              <w:t>Gap to Goal (10%) or attainment at target</w:t>
            </w:r>
          </w:p>
        </w:tc>
        <w:tc>
          <w:tcPr>
            <w:tcW w:w="370" w:type="pct"/>
            <w:gridSpan w:val="2"/>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Times New Roman"/>
                <w:b/>
                <w:bCs/>
                <w:kern w:val="24"/>
                <w:sz w:val="16"/>
                <w:szCs w:val="16"/>
              </w:rPr>
            </w:pPr>
            <w:r w:rsidRPr="00CA0AE3">
              <w:rPr>
                <w:rFonts w:eastAsia="Times New Roman"/>
                <w:b/>
                <w:bCs/>
                <w:kern w:val="24"/>
                <w:sz w:val="16"/>
                <w:szCs w:val="16"/>
              </w:rPr>
              <w:t xml:space="preserve"> B</w:t>
            </w:r>
          </w:p>
        </w:tc>
        <w:tc>
          <w:tcPr>
            <w:tcW w:w="405"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Times New Roman"/>
                <w:b/>
                <w:bCs/>
                <w:kern w:val="24"/>
                <w:sz w:val="16"/>
                <w:szCs w:val="16"/>
              </w:rPr>
            </w:pPr>
            <w:r w:rsidRPr="00CA0AE3">
              <w:rPr>
                <w:rFonts w:eastAsia="Times New Roman"/>
                <w:b/>
                <w:bCs/>
                <w:kern w:val="24"/>
                <w:sz w:val="16"/>
                <w:szCs w:val="16"/>
              </w:rPr>
              <w:t>O</w:t>
            </w:r>
          </w:p>
        </w:tc>
        <w:tc>
          <w:tcPr>
            <w:tcW w:w="405"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Times New Roman"/>
                <w:b/>
                <w:bCs/>
                <w:kern w:val="24"/>
                <w:sz w:val="16"/>
                <w:szCs w:val="16"/>
              </w:rPr>
            </w:pPr>
            <w:r w:rsidRPr="00CA0AE3">
              <w:rPr>
                <w:rFonts w:eastAsia="Times New Roman"/>
                <w:b/>
                <w:bCs/>
                <w:kern w:val="24"/>
                <w:sz w:val="16"/>
                <w:szCs w:val="16"/>
              </w:rPr>
              <w:t>O</w:t>
            </w:r>
          </w:p>
        </w:tc>
        <w:tc>
          <w:tcPr>
            <w:tcW w:w="404"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Times New Roman"/>
                <w:b/>
                <w:bCs/>
                <w:kern w:val="24"/>
                <w:sz w:val="16"/>
                <w:szCs w:val="16"/>
              </w:rPr>
            </w:pPr>
            <w:r w:rsidRPr="00CA0AE3">
              <w:rPr>
                <w:rFonts w:eastAsia="Times New Roman"/>
                <w:b/>
                <w:bCs/>
                <w:kern w:val="24"/>
                <w:sz w:val="16"/>
                <w:szCs w:val="16"/>
              </w:rPr>
              <w:t>O</w:t>
            </w:r>
          </w:p>
        </w:tc>
        <w:tc>
          <w:tcPr>
            <w:tcW w:w="405"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Times New Roman"/>
                <w:b/>
                <w:sz w:val="16"/>
                <w:szCs w:val="16"/>
              </w:rPr>
            </w:pPr>
            <w:r w:rsidRPr="00CA0AE3">
              <w:rPr>
                <w:rFonts w:eastAsia="Times New Roman"/>
                <w:b/>
                <w:sz w:val="16"/>
                <w:szCs w:val="16"/>
              </w:rPr>
              <w:t>O</w:t>
            </w:r>
          </w:p>
        </w:tc>
        <w:tc>
          <w:tcPr>
            <w:tcW w:w="780" w:type="pct"/>
            <w:tcBorders>
              <w:top w:val="single" w:sz="8" w:space="0" w:color="000000"/>
              <w:left w:val="single" w:sz="8" w:space="0" w:color="000000"/>
              <w:bottom w:val="single" w:sz="8" w:space="0" w:color="000000"/>
              <w:right w:val="single" w:sz="8" w:space="0" w:color="000000"/>
            </w:tcBorders>
            <w:vAlign w:val="center"/>
          </w:tcPr>
          <w:p w:rsidR="00CA2FE3" w:rsidRPr="00CA0AE3" w:rsidRDefault="00CA2FE3" w:rsidP="00D1633A">
            <w:pPr>
              <w:spacing w:after="0" w:line="240" w:lineRule="auto"/>
              <w:rPr>
                <w:rFonts w:eastAsia="Cambria"/>
                <w:sz w:val="16"/>
                <w:szCs w:val="16"/>
              </w:rPr>
            </w:pPr>
            <w:r w:rsidRPr="00CA0AE3">
              <w:rPr>
                <w:rFonts w:eastAsia="Cambria"/>
                <w:sz w:val="16"/>
                <w:szCs w:val="16"/>
              </w:rPr>
              <w:t>Using proxy benchmark derived from National Medicaid (HEDIS) Initiation and Engagement of AOD treatment (initiation component only), NQF 0004.</w:t>
            </w:r>
          </w:p>
        </w:tc>
      </w:tr>
      <w:tr w:rsidR="00CA2FE3" w:rsidRPr="00CA0AE3" w:rsidTr="003C48F3">
        <w:trPr>
          <w:cantSplit/>
        </w:trPr>
        <w:tc>
          <w:tcPr>
            <w:tcW w:w="118" w:type="pct"/>
            <w:tcBorders>
              <w:top w:val="single" w:sz="8" w:space="0" w:color="000000"/>
              <w:left w:val="single" w:sz="8" w:space="0" w:color="000000"/>
              <w:bottom w:val="single" w:sz="8" w:space="0" w:color="000000"/>
              <w:right w:val="single" w:sz="8" w:space="0" w:color="000000"/>
            </w:tcBorders>
            <w:shd w:val="clear" w:color="auto" w:fill="auto"/>
            <w:vAlign w:val="center"/>
          </w:tcPr>
          <w:p w:rsidR="00CA2FE3" w:rsidRPr="00CA0AE3" w:rsidRDefault="00CA2FE3" w:rsidP="00D1633A">
            <w:pPr>
              <w:spacing w:after="0" w:line="240" w:lineRule="auto"/>
              <w:jc w:val="center"/>
              <w:rPr>
                <w:rFonts w:eastAsia="Times New Roman"/>
                <w:bCs/>
                <w:kern w:val="24"/>
                <w:sz w:val="16"/>
                <w:szCs w:val="16"/>
              </w:rPr>
            </w:pPr>
            <w:r w:rsidRPr="00CA0AE3">
              <w:rPr>
                <w:rFonts w:eastAsia="Times New Roman"/>
                <w:bCs/>
                <w:kern w:val="24"/>
                <w:sz w:val="16"/>
                <w:szCs w:val="16"/>
              </w:rPr>
              <w:t>8</w:t>
            </w:r>
          </w:p>
        </w:tc>
        <w:tc>
          <w:tcPr>
            <w:tcW w:w="662"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rPr>
                <w:rFonts w:eastAsia="Cambria"/>
                <w:bCs/>
                <w:sz w:val="16"/>
                <w:szCs w:val="16"/>
              </w:rPr>
            </w:pPr>
            <w:r w:rsidRPr="00CA0AE3">
              <w:rPr>
                <w:rFonts w:eastAsia="Cambria"/>
                <w:bCs/>
                <w:sz w:val="16"/>
                <w:szCs w:val="16"/>
              </w:rPr>
              <w:t>Increase number of synchronous and asynchronous tele-consultations with psychiatrists</w:t>
            </w:r>
          </w:p>
        </w:tc>
        <w:tc>
          <w:tcPr>
            <w:tcW w:w="370"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Cambria"/>
                <w:bCs/>
                <w:sz w:val="16"/>
                <w:szCs w:val="16"/>
              </w:rPr>
            </w:pPr>
            <w:r w:rsidRPr="00CA0AE3">
              <w:rPr>
                <w:rFonts w:eastAsia="Cambria"/>
                <w:bCs/>
                <w:sz w:val="16"/>
                <w:szCs w:val="16"/>
              </w:rPr>
              <w:t>N/A</w:t>
            </w:r>
          </w:p>
        </w:tc>
        <w:tc>
          <w:tcPr>
            <w:tcW w:w="540"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Cambria"/>
                <w:sz w:val="16"/>
                <w:szCs w:val="16"/>
              </w:rPr>
            </w:pPr>
            <w:r w:rsidRPr="00CA0AE3">
              <w:rPr>
                <w:rFonts w:eastAsia="Cambria"/>
                <w:sz w:val="16"/>
                <w:szCs w:val="16"/>
              </w:rPr>
              <w:t>No external benchmark;</w:t>
            </w:r>
          </w:p>
          <w:p w:rsidR="00CA2FE3" w:rsidRPr="00CA0AE3" w:rsidRDefault="00CA2FE3" w:rsidP="00D1633A">
            <w:pPr>
              <w:spacing w:after="0" w:line="240" w:lineRule="auto"/>
              <w:jc w:val="center"/>
              <w:rPr>
                <w:rFonts w:eastAsia="Cambria"/>
                <w:sz w:val="16"/>
                <w:szCs w:val="16"/>
              </w:rPr>
            </w:pPr>
            <w:r w:rsidRPr="00CA0AE3">
              <w:rPr>
                <w:rFonts w:eastAsia="Cambria"/>
                <w:sz w:val="16"/>
                <w:szCs w:val="16"/>
              </w:rPr>
              <w:t>Hospital target = 400 per year</w:t>
            </w:r>
          </w:p>
        </w:tc>
        <w:tc>
          <w:tcPr>
            <w:tcW w:w="541"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Cambria"/>
                <w:bCs/>
                <w:sz w:val="16"/>
                <w:szCs w:val="16"/>
              </w:rPr>
            </w:pPr>
            <w:r w:rsidRPr="00CA0AE3">
              <w:rPr>
                <w:rFonts w:eastAsia="Cambria"/>
                <w:bCs/>
                <w:sz w:val="16"/>
                <w:szCs w:val="16"/>
              </w:rPr>
              <w:t>Gap to Goal (10%) or attainment at target</w:t>
            </w:r>
          </w:p>
        </w:tc>
        <w:tc>
          <w:tcPr>
            <w:tcW w:w="370" w:type="pct"/>
            <w:gridSpan w:val="2"/>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Times New Roman"/>
                <w:b/>
                <w:bCs/>
                <w:kern w:val="24"/>
                <w:sz w:val="16"/>
                <w:szCs w:val="16"/>
              </w:rPr>
            </w:pPr>
            <w:r w:rsidRPr="00CA0AE3">
              <w:rPr>
                <w:rFonts w:eastAsia="Times New Roman"/>
                <w:b/>
                <w:bCs/>
                <w:kern w:val="24"/>
                <w:sz w:val="16"/>
                <w:szCs w:val="16"/>
              </w:rPr>
              <w:t>O</w:t>
            </w:r>
          </w:p>
        </w:tc>
        <w:tc>
          <w:tcPr>
            <w:tcW w:w="405"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Times New Roman"/>
                <w:b/>
                <w:bCs/>
                <w:kern w:val="24"/>
                <w:sz w:val="16"/>
                <w:szCs w:val="16"/>
              </w:rPr>
            </w:pPr>
            <w:r w:rsidRPr="00CA0AE3">
              <w:rPr>
                <w:rFonts w:eastAsia="Times New Roman"/>
                <w:b/>
                <w:bCs/>
                <w:kern w:val="24"/>
                <w:sz w:val="16"/>
                <w:szCs w:val="16"/>
              </w:rPr>
              <w:t>O</w:t>
            </w:r>
          </w:p>
        </w:tc>
        <w:tc>
          <w:tcPr>
            <w:tcW w:w="405"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Times New Roman"/>
                <w:b/>
                <w:bCs/>
                <w:kern w:val="24"/>
                <w:sz w:val="16"/>
                <w:szCs w:val="16"/>
              </w:rPr>
            </w:pPr>
            <w:r w:rsidRPr="00CA0AE3">
              <w:rPr>
                <w:rFonts w:eastAsia="Times New Roman"/>
                <w:b/>
                <w:bCs/>
                <w:kern w:val="24"/>
                <w:sz w:val="16"/>
                <w:szCs w:val="16"/>
              </w:rPr>
              <w:t>O</w:t>
            </w:r>
          </w:p>
        </w:tc>
        <w:tc>
          <w:tcPr>
            <w:tcW w:w="404"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Times New Roman"/>
                <w:b/>
                <w:bCs/>
                <w:kern w:val="24"/>
                <w:sz w:val="16"/>
                <w:szCs w:val="16"/>
              </w:rPr>
            </w:pPr>
            <w:r w:rsidRPr="00CA0AE3">
              <w:rPr>
                <w:rFonts w:eastAsia="Times New Roman"/>
                <w:b/>
                <w:bCs/>
                <w:kern w:val="24"/>
                <w:sz w:val="16"/>
                <w:szCs w:val="16"/>
              </w:rPr>
              <w:t>O</w:t>
            </w:r>
          </w:p>
        </w:tc>
        <w:tc>
          <w:tcPr>
            <w:tcW w:w="405"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Times New Roman"/>
                <w:b/>
                <w:sz w:val="16"/>
                <w:szCs w:val="16"/>
              </w:rPr>
            </w:pPr>
            <w:r w:rsidRPr="00CA0AE3">
              <w:rPr>
                <w:rFonts w:eastAsia="Times New Roman"/>
                <w:b/>
                <w:sz w:val="16"/>
                <w:szCs w:val="16"/>
              </w:rPr>
              <w:t>O</w:t>
            </w:r>
          </w:p>
        </w:tc>
        <w:tc>
          <w:tcPr>
            <w:tcW w:w="780" w:type="pct"/>
            <w:tcBorders>
              <w:top w:val="single" w:sz="8" w:space="0" w:color="000000"/>
              <w:left w:val="single" w:sz="8" w:space="0" w:color="000000"/>
              <w:bottom w:val="single" w:sz="8" w:space="0" w:color="000000"/>
              <w:right w:val="single" w:sz="8" w:space="0" w:color="000000"/>
            </w:tcBorders>
            <w:vAlign w:val="center"/>
          </w:tcPr>
          <w:p w:rsidR="00CA2FE3" w:rsidRPr="00CA0AE3" w:rsidRDefault="00CA2FE3" w:rsidP="00D1633A">
            <w:pPr>
              <w:spacing w:after="0" w:line="240" w:lineRule="auto"/>
              <w:rPr>
                <w:rFonts w:eastAsia="Cambria"/>
                <w:sz w:val="16"/>
                <w:szCs w:val="16"/>
              </w:rPr>
            </w:pPr>
            <w:r w:rsidRPr="00CA0AE3">
              <w:rPr>
                <w:rFonts w:eastAsia="Cambria"/>
                <w:sz w:val="16"/>
                <w:szCs w:val="16"/>
              </w:rPr>
              <w:t xml:space="preserve">Target informed by roll-out and expansion of tele-psychiatry </w:t>
            </w:r>
          </w:p>
        </w:tc>
      </w:tr>
      <w:tr w:rsidR="00CA2FE3" w:rsidRPr="00CA0AE3" w:rsidTr="003C48F3">
        <w:trPr>
          <w:cantSplit/>
        </w:trPr>
        <w:tc>
          <w:tcPr>
            <w:tcW w:w="118" w:type="pct"/>
            <w:tcBorders>
              <w:top w:val="single" w:sz="8" w:space="0" w:color="000000"/>
              <w:left w:val="single" w:sz="8" w:space="0" w:color="000000"/>
              <w:bottom w:val="single" w:sz="8" w:space="0" w:color="000000"/>
              <w:right w:val="single" w:sz="8" w:space="0" w:color="000000"/>
            </w:tcBorders>
            <w:shd w:val="clear" w:color="auto" w:fill="auto"/>
            <w:vAlign w:val="center"/>
          </w:tcPr>
          <w:p w:rsidR="00CA2FE3" w:rsidRPr="00CA0AE3" w:rsidRDefault="00CA2FE3" w:rsidP="00D1633A">
            <w:pPr>
              <w:spacing w:after="0" w:line="240" w:lineRule="auto"/>
              <w:jc w:val="center"/>
              <w:rPr>
                <w:rFonts w:eastAsia="Times New Roman"/>
                <w:bCs/>
                <w:kern w:val="24"/>
                <w:sz w:val="16"/>
                <w:szCs w:val="16"/>
              </w:rPr>
            </w:pPr>
            <w:r w:rsidRPr="00CA0AE3">
              <w:rPr>
                <w:rFonts w:eastAsia="Times New Roman"/>
                <w:bCs/>
                <w:kern w:val="24"/>
                <w:sz w:val="16"/>
                <w:szCs w:val="16"/>
              </w:rPr>
              <w:lastRenderedPageBreak/>
              <w:t>9</w:t>
            </w:r>
          </w:p>
        </w:tc>
        <w:tc>
          <w:tcPr>
            <w:tcW w:w="662"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rPr>
                <w:rFonts w:eastAsia="Cambria"/>
                <w:bCs/>
                <w:sz w:val="16"/>
                <w:szCs w:val="16"/>
              </w:rPr>
            </w:pPr>
            <w:r w:rsidRPr="00CA0AE3">
              <w:rPr>
                <w:rFonts w:eastAsia="Cambria"/>
                <w:bCs/>
                <w:sz w:val="16"/>
                <w:szCs w:val="16"/>
              </w:rPr>
              <w:t>Diabetes screening for people with Schizophrenia or Bipolar Disorder who are using antipsychotic medications (for active primary care patients and BH home patients)</w:t>
            </w:r>
          </w:p>
        </w:tc>
        <w:tc>
          <w:tcPr>
            <w:tcW w:w="370"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Cambria"/>
                <w:bCs/>
                <w:sz w:val="16"/>
                <w:szCs w:val="16"/>
              </w:rPr>
            </w:pPr>
            <w:r w:rsidRPr="00CA0AE3">
              <w:rPr>
                <w:rFonts w:eastAsia="Cambria"/>
                <w:bCs/>
                <w:sz w:val="16"/>
                <w:szCs w:val="16"/>
              </w:rPr>
              <w:t>NQF 1932</w:t>
            </w:r>
          </w:p>
        </w:tc>
        <w:tc>
          <w:tcPr>
            <w:tcW w:w="540"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Cambria"/>
                <w:sz w:val="16"/>
                <w:szCs w:val="16"/>
              </w:rPr>
            </w:pPr>
            <w:r w:rsidRPr="00CA0AE3">
              <w:rPr>
                <w:rFonts w:eastAsia="Cambria"/>
                <w:sz w:val="16"/>
                <w:szCs w:val="16"/>
              </w:rPr>
              <w:t>MA Medicaid (HEDIS) 2015</w:t>
            </w:r>
          </w:p>
          <w:p w:rsidR="00CA2FE3" w:rsidRPr="00CA0AE3" w:rsidRDefault="00CA2FE3" w:rsidP="00D1633A">
            <w:pPr>
              <w:spacing w:after="0" w:line="240" w:lineRule="auto"/>
              <w:jc w:val="center"/>
              <w:rPr>
                <w:rFonts w:eastAsia="Cambria"/>
                <w:sz w:val="16"/>
                <w:szCs w:val="16"/>
              </w:rPr>
            </w:pPr>
            <w:r w:rsidRPr="00CA0AE3">
              <w:rPr>
                <w:rFonts w:eastAsia="Cambria"/>
                <w:sz w:val="16"/>
                <w:szCs w:val="16"/>
              </w:rPr>
              <w:t xml:space="preserve">90th percentile = 86.96% </w:t>
            </w:r>
          </w:p>
        </w:tc>
        <w:tc>
          <w:tcPr>
            <w:tcW w:w="541"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Cambria"/>
                <w:bCs/>
                <w:sz w:val="16"/>
                <w:szCs w:val="16"/>
              </w:rPr>
            </w:pPr>
            <w:r w:rsidRPr="00CA0AE3">
              <w:rPr>
                <w:rFonts w:eastAsia="Cambria"/>
                <w:bCs/>
                <w:sz w:val="16"/>
                <w:szCs w:val="16"/>
              </w:rPr>
              <w:t xml:space="preserve">Gap to Goal (10%) or attainment at target </w:t>
            </w:r>
          </w:p>
        </w:tc>
        <w:tc>
          <w:tcPr>
            <w:tcW w:w="370" w:type="pct"/>
            <w:gridSpan w:val="2"/>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Times New Roman"/>
                <w:b/>
                <w:bCs/>
                <w:kern w:val="24"/>
                <w:sz w:val="16"/>
                <w:szCs w:val="16"/>
              </w:rPr>
            </w:pPr>
            <w:r w:rsidRPr="00CA0AE3">
              <w:rPr>
                <w:rFonts w:eastAsia="Times New Roman"/>
                <w:b/>
                <w:bCs/>
                <w:kern w:val="24"/>
                <w:sz w:val="16"/>
                <w:szCs w:val="16"/>
              </w:rPr>
              <w:t>B</w:t>
            </w:r>
          </w:p>
        </w:tc>
        <w:tc>
          <w:tcPr>
            <w:tcW w:w="405"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Times New Roman"/>
                <w:b/>
                <w:bCs/>
                <w:kern w:val="24"/>
                <w:sz w:val="16"/>
                <w:szCs w:val="16"/>
              </w:rPr>
            </w:pPr>
            <w:r w:rsidRPr="00CA0AE3">
              <w:rPr>
                <w:rFonts w:eastAsia="Times New Roman"/>
                <w:b/>
                <w:bCs/>
                <w:kern w:val="24"/>
                <w:sz w:val="16"/>
                <w:szCs w:val="16"/>
              </w:rPr>
              <w:t>O</w:t>
            </w:r>
          </w:p>
        </w:tc>
        <w:tc>
          <w:tcPr>
            <w:tcW w:w="405"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Times New Roman"/>
                <w:b/>
                <w:bCs/>
                <w:kern w:val="24"/>
                <w:sz w:val="16"/>
                <w:szCs w:val="16"/>
              </w:rPr>
            </w:pPr>
            <w:r w:rsidRPr="00CA0AE3">
              <w:rPr>
                <w:rFonts w:eastAsia="Times New Roman"/>
                <w:b/>
                <w:bCs/>
                <w:kern w:val="24"/>
                <w:sz w:val="16"/>
                <w:szCs w:val="16"/>
              </w:rPr>
              <w:t>O</w:t>
            </w:r>
          </w:p>
        </w:tc>
        <w:tc>
          <w:tcPr>
            <w:tcW w:w="404"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Times New Roman"/>
                <w:b/>
                <w:bCs/>
                <w:kern w:val="24"/>
                <w:sz w:val="16"/>
                <w:szCs w:val="16"/>
              </w:rPr>
            </w:pPr>
            <w:r w:rsidRPr="00CA0AE3">
              <w:rPr>
                <w:rFonts w:eastAsia="Times New Roman"/>
                <w:b/>
                <w:bCs/>
                <w:kern w:val="24"/>
                <w:sz w:val="16"/>
                <w:szCs w:val="16"/>
              </w:rPr>
              <w:t>O</w:t>
            </w:r>
          </w:p>
        </w:tc>
        <w:tc>
          <w:tcPr>
            <w:tcW w:w="405"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Times New Roman"/>
                <w:b/>
                <w:sz w:val="16"/>
                <w:szCs w:val="16"/>
              </w:rPr>
            </w:pPr>
            <w:r w:rsidRPr="00CA0AE3">
              <w:rPr>
                <w:rFonts w:eastAsia="Times New Roman"/>
                <w:b/>
                <w:sz w:val="16"/>
                <w:szCs w:val="16"/>
              </w:rPr>
              <w:t>O</w:t>
            </w:r>
          </w:p>
        </w:tc>
        <w:tc>
          <w:tcPr>
            <w:tcW w:w="780" w:type="pct"/>
            <w:tcBorders>
              <w:top w:val="single" w:sz="8" w:space="0" w:color="000000"/>
              <w:left w:val="single" w:sz="8" w:space="0" w:color="000000"/>
              <w:bottom w:val="single" w:sz="8" w:space="0" w:color="000000"/>
              <w:right w:val="single" w:sz="8" w:space="0" w:color="000000"/>
            </w:tcBorders>
            <w:vAlign w:val="center"/>
          </w:tcPr>
          <w:p w:rsidR="00CA2FE3" w:rsidRPr="00CA0AE3" w:rsidRDefault="00CA2FE3" w:rsidP="00D1633A">
            <w:pPr>
              <w:spacing w:after="0" w:line="240" w:lineRule="auto"/>
              <w:rPr>
                <w:rFonts w:eastAsia="Cambria"/>
                <w:sz w:val="16"/>
                <w:szCs w:val="16"/>
              </w:rPr>
            </w:pPr>
            <w:r w:rsidRPr="00CA0AE3">
              <w:rPr>
                <w:rFonts w:eastAsia="Cambria"/>
                <w:sz w:val="16"/>
                <w:szCs w:val="16"/>
              </w:rPr>
              <w:t xml:space="preserve"> </w:t>
            </w:r>
          </w:p>
        </w:tc>
      </w:tr>
      <w:tr w:rsidR="00CA2FE3" w:rsidRPr="00CA0AE3" w:rsidTr="003C48F3">
        <w:trPr>
          <w:cantSplit/>
        </w:trPr>
        <w:tc>
          <w:tcPr>
            <w:tcW w:w="118" w:type="pct"/>
            <w:tcBorders>
              <w:top w:val="single" w:sz="8" w:space="0" w:color="000000"/>
              <w:left w:val="single" w:sz="8" w:space="0" w:color="000000"/>
              <w:bottom w:val="single" w:sz="8" w:space="0" w:color="000000"/>
              <w:right w:val="single" w:sz="8" w:space="0" w:color="000000"/>
            </w:tcBorders>
            <w:shd w:val="clear" w:color="auto" w:fill="auto"/>
            <w:vAlign w:val="center"/>
          </w:tcPr>
          <w:p w:rsidR="00CA2FE3" w:rsidRPr="00CA0AE3" w:rsidRDefault="00CA2FE3" w:rsidP="00D1633A">
            <w:pPr>
              <w:spacing w:after="0" w:line="240" w:lineRule="auto"/>
              <w:jc w:val="center"/>
              <w:rPr>
                <w:rFonts w:eastAsia="Times New Roman"/>
                <w:bCs/>
                <w:kern w:val="24"/>
                <w:sz w:val="16"/>
                <w:szCs w:val="16"/>
              </w:rPr>
            </w:pPr>
            <w:r w:rsidRPr="00CA0AE3">
              <w:rPr>
                <w:rFonts w:eastAsia="Times New Roman"/>
                <w:bCs/>
                <w:kern w:val="24"/>
                <w:sz w:val="16"/>
                <w:szCs w:val="16"/>
              </w:rPr>
              <w:t>10</w:t>
            </w:r>
          </w:p>
        </w:tc>
        <w:tc>
          <w:tcPr>
            <w:tcW w:w="662"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rPr>
                <w:rFonts w:eastAsia="Cambria"/>
                <w:bCs/>
                <w:sz w:val="16"/>
                <w:szCs w:val="16"/>
              </w:rPr>
            </w:pPr>
            <w:r w:rsidRPr="00CA0AE3">
              <w:rPr>
                <w:rFonts w:eastAsia="Cambria"/>
                <w:bCs/>
                <w:sz w:val="16"/>
                <w:szCs w:val="16"/>
              </w:rPr>
              <w:t>Cardiovascular health screening for people with Schizophrenia or Bipolar Disorder who are prescribed antipsychotic medications (for active primary care patients and BH home patients)</w:t>
            </w:r>
          </w:p>
        </w:tc>
        <w:tc>
          <w:tcPr>
            <w:tcW w:w="370"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Cambria"/>
                <w:bCs/>
                <w:sz w:val="16"/>
                <w:szCs w:val="16"/>
              </w:rPr>
            </w:pPr>
            <w:r w:rsidRPr="00CA0AE3">
              <w:rPr>
                <w:rFonts w:eastAsia="Cambria"/>
                <w:bCs/>
                <w:sz w:val="16"/>
                <w:szCs w:val="16"/>
              </w:rPr>
              <w:t>NQF 1927</w:t>
            </w:r>
          </w:p>
        </w:tc>
        <w:tc>
          <w:tcPr>
            <w:tcW w:w="540"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Cambria"/>
                <w:sz w:val="16"/>
                <w:szCs w:val="16"/>
              </w:rPr>
            </w:pPr>
            <w:r w:rsidRPr="00CA0AE3">
              <w:rPr>
                <w:rFonts w:eastAsia="Cambria"/>
                <w:sz w:val="16"/>
                <w:szCs w:val="16"/>
              </w:rPr>
              <w:t>No external benchmark; hospital-specific target = 75.00%</w:t>
            </w:r>
          </w:p>
        </w:tc>
        <w:tc>
          <w:tcPr>
            <w:tcW w:w="541"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Cambria"/>
                <w:bCs/>
                <w:sz w:val="16"/>
                <w:szCs w:val="16"/>
              </w:rPr>
            </w:pPr>
            <w:r w:rsidRPr="00CA0AE3">
              <w:rPr>
                <w:rFonts w:eastAsia="Cambria"/>
                <w:bCs/>
                <w:sz w:val="16"/>
                <w:szCs w:val="16"/>
              </w:rPr>
              <w:t xml:space="preserve">Gap to Goal (10%) or attainment at target </w:t>
            </w:r>
          </w:p>
        </w:tc>
        <w:tc>
          <w:tcPr>
            <w:tcW w:w="370" w:type="pct"/>
            <w:gridSpan w:val="2"/>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Times New Roman"/>
                <w:b/>
                <w:bCs/>
                <w:kern w:val="24"/>
                <w:sz w:val="16"/>
                <w:szCs w:val="16"/>
              </w:rPr>
            </w:pPr>
            <w:r w:rsidRPr="00CA0AE3">
              <w:rPr>
                <w:rFonts w:eastAsia="Times New Roman"/>
                <w:b/>
                <w:bCs/>
                <w:kern w:val="24"/>
                <w:sz w:val="16"/>
                <w:szCs w:val="16"/>
              </w:rPr>
              <w:t>B</w:t>
            </w:r>
          </w:p>
        </w:tc>
        <w:tc>
          <w:tcPr>
            <w:tcW w:w="405"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Times New Roman"/>
                <w:b/>
                <w:bCs/>
                <w:kern w:val="24"/>
                <w:sz w:val="16"/>
                <w:szCs w:val="16"/>
              </w:rPr>
            </w:pPr>
            <w:r w:rsidRPr="00CA0AE3">
              <w:rPr>
                <w:rFonts w:eastAsia="Times New Roman"/>
                <w:b/>
                <w:bCs/>
                <w:kern w:val="24"/>
                <w:sz w:val="16"/>
                <w:szCs w:val="16"/>
              </w:rPr>
              <w:t>O</w:t>
            </w:r>
          </w:p>
        </w:tc>
        <w:tc>
          <w:tcPr>
            <w:tcW w:w="405"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Times New Roman"/>
                <w:b/>
                <w:bCs/>
                <w:kern w:val="24"/>
                <w:sz w:val="16"/>
                <w:szCs w:val="16"/>
              </w:rPr>
            </w:pPr>
            <w:r w:rsidRPr="00CA0AE3">
              <w:rPr>
                <w:rFonts w:eastAsia="Times New Roman"/>
                <w:b/>
                <w:bCs/>
                <w:kern w:val="24"/>
                <w:sz w:val="16"/>
                <w:szCs w:val="16"/>
              </w:rPr>
              <w:t>O</w:t>
            </w:r>
          </w:p>
        </w:tc>
        <w:tc>
          <w:tcPr>
            <w:tcW w:w="404"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Times New Roman"/>
                <w:b/>
                <w:bCs/>
                <w:kern w:val="24"/>
                <w:sz w:val="16"/>
                <w:szCs w:val="16"/>
              </w:rPr>
            </w:pPr>
            <w:r w:rsidRPr="00CA0AE3">
              <w:rPr>
                <w:rFonts w:eastAsia="Times New Roman"/>
                <w:b/>
                <w:bCs/>
                <w:kern w:val="24"/>
                <w:sz w:val="16"/>
                <w:szCs w:val="16"/>
              </w:rPr>
              <w:t>O</w:t>
            </w:r>
          </w:p>
        </w:tc>
        <w:tc>
          <w:tcPr>
            <w:tcW w:w="405"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Times New Roman"/>
                <w:b/>
                <w:sz w:val="16"/>
                <w:szCs w:val="16"/>
              </w:rPr>
            </w:pPr>
            <w:r w:rsidRPr="00CA0AE3">
              <w:rPr>
                <w:rFonts w:eastAsia="Times New Roman"/>
                <w:b/>
                <w:sz w:val="16"/>
                <w:szCs w:val="16"/>
              </w:rPr>
              <w:t>O</w:t>
            </w:r>
          </w:p>
        </w:tc>
        <w:tc>
          <w:tcPr>
            <w:tcW w:w="780" w:type="pct"/>
            <w:tcBorders>
              <w:top w:val="single" w:sz="8" w:space="0" w:color="000000"/>
              <w:left w:val="single" w:sz="8" w:space="0" w:color="000000"/>
              <w:bottom w:val="single" w:sz="8" w:space="0" w:color="000000"/>
              <w:right w:val="single" w:sz="8" w:space="0" w:color="000000"/>
            </w:tcBorders>
            <w:vAlign w:val="center"/>
          </w:tcPr>
          <w:p w:rsidR="00CA2FE3" w:rsidRPr="00CA0AE3" w:rsidRDefault="00CA2FE3" w:rsidP="00D1633A">
            <w:pPr>
              <w:spacing w:after="0" w:line="240" w:lineRule="auto"/>
              <w:rPr>
                <w:rFonts w:eastAsia="Cambria"/>
                <w:sz w:val="16"/>
                <w:szCs w:val="16"/>
              </w:rPr>
            </w:pPr>
            <w:r w:rsidRPr="00CA0AE3">
              <w:rPr>
                <w:rFonts w:eastAsia="Cambria"/>
                <w:sz w:val="16"/>
                <w:szCs w:val="16"/>
              </w:rPr>
              <w:t xml:space="preserve">Target informed by experience with screening measures for other populations  </w:t>
            </w:r>
          </w:p>
        </w:tc>
      </w:tr>
      <w:tr w:rsidR="00CA2FE3" w:rsidRPr="00CA0AE3" w:rsidTr="003C48F3">
        <w:trPr>
          <w:cantSplit/>
        </w:trPr>
        <w:tc>
          <w:tcPr>
            <w:tcW w:w="118" w:type="pct"/>
            <w:tcBorders>
              <w:top w:val="single" w:sz="8" w:space="0" w:color="000000"/>
              <w:left w:val="single" w:sz="8" w:space="0" w:color="000000"/>
              <w:bottom w:val="single" w:sz="8" w:space="0" w:color="000000"/>
              <w:right w:val="single" w:sz="8" w:space="0" w:color="000000"/>
            </w:tcBorders>
            <w:shd w:val="clear" w:color="auto" w:fill="auto"/>
            <w:vAlign w:val="center"/>
          </w:tcPr>
          <w:p w:rsidR="00CA2FE3" w:rsidRPr="00CA0AE3" w:rsidRDefault="00CA2FE3" w:rsidP="00D1633A">
            <w:pPr>
              <w:spacing w:after="0" w:line="240" w:lineRule="auto"/>
              <w:jc w:val="center"/>
              <w:rPr>
                <w:rFonts w:eastAsia="Times New Roman"/>
                <w:bCs/>
                <w:kern w:val="24"/>
                <w:sz w:val="16"/>
                <w:szCs w:val="16"/>
              </w:rPr>
            </w:pPr>
            <w:r w:rsidRPr="00CA0AE3">
              <w:rPr>
                <w:rFonts w:eastAsia="Times New Roman"/>
                <w:bCs/>
                <w:kern w:val="24"/>
                <w:sz w:val="16"/>
                <w:szCs w:val="16"/>
              </w:rPr>
              <w:t>11</w:t>
            </w:r>
          </w:p>
        </w:tc>
        <w:tc>
          <w:tcPr>
            <w:tcW w:w="662"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rPr>
                <w:rFonts w:eastAsia="Cambria"/>
                <w:bCs/>
                <w:sz w:val="16"/>
                <w:szCs w:val="16"/>
              </w:rPr>
            </w:pPr>
            <w:r w:rsidRPr="00CA0AE3">
              <w:rPr>
                <w:rFonts w:eastAsia="Cambria"/>
                <w:bCs/>
                <w:sz w:val="16"/>
                <w:szCs w:val="16"/>
              </w:rPr>
              <w:t>Diabetes Monitoring for People with Diabetes and Schizophrenia (for active primary care patients and BH home patients)</w:t>
            </w:r>
          </w:p>
        </w:tc>
        <w:tc>
          <w:tcPr>
            <w:tcW w:w="370"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Cambria"/>
                <w:bCs/>
                <w:sz w:val="16"/>
                <w:szCs w:val="16"/>
              </w:rPr>
            </w:pPr>
            <w:r w:rsidRPr="00CA0AE3">
              <w:rPr>
                <w:rFonts w:eastAsia="Cambria"/>
                <w:bCs/>
                <w:sz w:val="16"/>
                <w:szCs w:val="16"/>
              </w:rPr>
              <w:t>NQF 1934</w:t>
            </w:r>
          </w:p>
        </w:tc>
        <w:tc>
          <w:tcPr>
            <w:tcW w:w="540"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Cambria"/>
                <w:sz w:val="16"/>
                <w:szCs w:val="16"/>
              </w:rPr>
            </w:pPr>
            <w:r w:rsidRPr="00CA0AE3">
              <w:rPr>
                <w:rFonts w:eastAsia="Cambria"/>
                <w:sz w:val="16"/>
                <w:szCs w:val="16"/>
              </w:rPr>
              <w:t>National (HEDIS)</w:t>
            </w:r>
          </w:p>
          <w:p w:rsidR="00CA2FE3" w:rsidRPr="00CA0AE3" w:rsidRDefault="00CA2FE3" w:rsidP="00D1633A">
            <w:pPr>
              <w:spacing w:after="0" w:line="240" w:lineRule="auto"/>
              <w:jc w:val="center"/>
              <w:rPr>
                <w:rFonts w:eastAsia="Cambria"/>
                <w:sz w:val="16"/>
                <w:szCs w:val="16"/>
              </w:rPr>
            </w:pPr>
            <w:r w:rsidRPr="00CA0AE3">
              <w:rPr>
                <w:rFonts w:eastAsia="Cambria"/>
                <w:sz w:val="16"/>
                <w:szCs w:val="16"/>
              </w:rPr>
              <w:t>Medicaid 2014</w:t>
            </w:r>
          </w:p>
          <w:p w:rsidR="00CA2FE3" w:rsidRPr="00CA0AE3" w:rsidRDefault="00CA2FE3" w:rsidP="00D1633A">
            <w:pPr>
              <w:spacing w:after="0" w:line="240" w:lineRule="auto"/>
              <w:jc w:val="center"/>
              <w:rPr>
                <w:rFonts w:eastAsia="Cambria"/>
                <w:sz w:val="16"/>
                <w:szCs w:val="16"/>
              </w:rPr>
            </w:pPr>
            <w:r w:rsidRPr="00CA0AE3">
              <w:rPr>
                <w:rFonts w:eastAsia="Cambria"/>
                <w:sz w:val="16"/>
                <w:szCs w:val="16"/>
              </w:rPr>
              <w:t>90th percentile = 76.67%</w:t>
            </w:r>
          </w:p>
        </w:tc>
        <w:tc>
          <w:tcPr>
            <w:tcW w:w="541"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Cambria"/>
                <w:bCs/>
                <w:sz w:val="16"/>
                <w:szCs w:val="16"/>
              </w:rPr>
            </w:pPr>
            <w:r w:rsidRPr="00CA0AE3">
              <w:rPr>
                <w:rFonts w:eastAsia="Cambria"/>
                <w:bCs/>
                <w:sz w:val="16"/>
                <w:szCs w:val="16"/>
              </w:rPr>
              <w:t xml:space="preserve">Gap to Goal (10%) or attainment at target </w:t>
            </w:r>
          </w:p>
        </w:tc>
        <w:tc>
          <w:tcPr>
            <w:tcW w:w="370" w:type="pct"/>
            <w:gridSpan w:val="2"/>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Times New Roman"/>
                <w:b/>
                <w:bCs/>
                <w:kern w:val="24"/>
                <w:sz w:val="16"/>
                <w:szCs w:val="16"/>
              </w:rPr>
            </w:pPr>
            <w:r w:rsidRPr="00CA0AE3">
              <w:rPr>
                <w:rFonts w:eastAsia="Times New Roman"/>
                <w:b/>
                <w:bCs/>
                <w:kern w:val="24"/>
                <w:sz w:val="16"/>
                <w:szCs w:val="16"/>
              </w:rPr>
              <w:t>B</w:t>
            </w:r>
          </w:p>
        </w:tc>
        <w:tc>
          <w:tcPr>
            <w:tcW w:w="405"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Times New Roman"/>
                <w:b/>
                <w:bCs/>
                <w:kern w:val="24"/>
                <w:sz w:val="16"/>
                <w:szCs w:val="16"/>
              </w:rPr>
            </w:pPr>
            <w:r w:rsidRPr="00CA0AE3">
              <w:rPr>
                <w:rFonts w:eastAsia="Times New Roman"/>
                <w:b/>
                <w:bCs/>
                <w:kern w:val="24"/>
                <w:sz w:val="16"/>
                <w:szCs w:val="16"/>
              </w:rPr>
              <w:t>O</w:t>
            </w:r>
          </w:p>
        </w:tc>
        <w:tc>
          <w:tcPr>
            <w:tcW w:w="405"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Times New Roman"/>
                <w:b/>
                <w:bCs/>
                <w:kern w:val="24"/>
                <w:sz w:val="16"/>
                <w:szCs w:val="16"/>
              </w:rPr>
            </w:pPr>
            <w:r w:rsidRPr="00CA0AE3">
              <w:rPr>
                <w:rFonts w:eastAsia="Times New Roman"/>
                <w:b/>
                <w:bCs/>
                <w:kern w:val="24"/>
                <w:sz w:val="16"/>
                <w:szCs w:val="16"/>
              </w:rPr>
              <w:t>O</w:t>
            </w:r>
          </w:p>
        </w:tc>
        <w:tc>
          <w:tcPr>
            <w:tcW w:w="404"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Times New Roman"/>
                <w:b/>
                <w:bCs/>
                <w:kern w:val="24"/>
                <w:sz w:val="16"/>
                <w:szCs w:val="16"/>
              </w:rPr>
            </w:pPr>
            <w:r w:rsidRPr="00CA0AE3">
              <w:rPr>
                <w:rFonts w:eastAsia="Times New Roman"/>
                <w:b/>
                <w:bCs/>
                <w:kern w:val="24"/>
                <w:sz w:val="16"/>
                <w:szCs w:val="16"/>
              </w:rPr>
              <w:t>O</w:t>
            </w:r>
          </w:p>
        </w:tc>
        <w:tc>
          <w:tcPr>
            <w:tcW w:w="405"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Times New Roman"/>
                <w:b/>
                <w:sz w:val="16"/>
                <w:szCs w:val="16"/>
              </w:rPr>
            </w:pPr>
            <w:r w:rsidRPr="00CA0AE3">
              <w:rPr>
                <w:rFonts w:eastAsia="Times New Roman"/>
                <w:b/>
                <w:sz w:val="16"/>
                <w:szCs w:val="16"/>
              </w:rPr>
              <w:t>O</w:t>
            </w:r>
          </w:p>
        </w:tc>
        <w:tc>
          <w:tcPr>
            <w:tcW w:w="780" w:type="pct"/>
            <w:tcBorders>
              <w:top w:val="single" w:sz="8" w:space="0" w:color="000000"/>
              <w:left w:val="single" w:sz="8" w:space="0" w:color="000000"/>
              <w:bottom w:val="single" w:sz="8" w:space="0" w:color="000000"/>
              <w:right w:val="single" w:sz="8" w:space="0" w:color="000000"/>
            </w:tcBorders>
            <w:vAlign w:val="center"/>
          </w:tcPr>
          <w:p w:rsidR="00CA2FE3" w:rsidRPr="00CA0AE3" w:rsidRDefault="00CA2FE3" w:rsidP="00D1633A">
            <w:pPr>
              <w:spacing w:after="0" w:line="240" w:lineRule="auto"/>
              <w:rPr>
                <w:rFonts w:eastAsia="Cambria"/>
                <w:sz w:val="16"/>
                <w:szCs w:val="16"/>
              </w:rPr>
            </w:pPr>
          </w:p>
        </w:tc>
      </w:tr>
      <w:tr w:rsidR="00CA2FE3" w:rsidRPr="00CA0AE3" w:rsidTr="003C48F3">
        <w:trPr>
          <w:cantSplit/>
        </w:trPr>
        <w:tc>
          <w:tcPr>
            <w:tcW w:w="118" w:type="pct"/>
            <w:tcBorders>
              <w:top w:val="single" w:sz="8" w:space="0" w:color="000000"/>
              <w:left w:val="single" w:sz="8" w:space="0" w:color="000000"/>
              <w:bottom w:val="single" w:sz="8" w:space="0" w:color="000000"/>
              <w:right w:val="single" w:sz="8" w:space="0" w:color="000000"/>
            </w:tcBorders>
            <w:shd w:val="clear" w:color="auto" w:fill="auto"/>
            <w:vAlign w:val="center"/>
          </w:tcPr>
          <w:p w:rsidR="00CA2FE3" w:rsidRPr="00CA0AE3" w:rsidRDefault="00CA2FE3" w:rsidP="00D1633A">
            <w:pPr>
              <w:spacing w:after="0" w:line="240" w:lineRule="auto"/>
              <w:jc w:val="center"/>
              <w:rPr>
                <w:rFonts w:eastAsia="Times New Roman"/>
                <w:bCs/>
                <w:kern w:val="24"/>
                <w:sz w:val="16"/>
                <w:szCs w:val="16"/>
              </w:rPr>
            </w:pPr>
            <w:r w:rsidRPr="00CA0AE3">
              <w:rPr>
                <w:rFonts w:eastAsia="Times New Roman"/>
                <w:bCs/>
                <w:kern w:val="24"/>
                <w:sz w:val="16"/>
                <w:szCs w:val="16"/>
              </w:rPr>
              <w:t>12</w:t>
            </w:r>
          </w:p>
        </w:tc>
        <w:tc>
          <w:tcPr>
            <w:tcW w:w="662"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rPr>
                <w:rFonts w:eastAsia="Cambria"/>
                <w:bCs/>
                <w:sz w:val="16"/>
                <w:szCs w:val="16"/>
              </w:rPr>
            </w:pPr>
            <w:r w:rsidRPr="00CA0AE3">
              <w:rPr>
                <w:rFonts w:eastAsia="Cambria"/>
                <w:bCs/>
                <w:sz w:val="16"/>
                <w:szCs w:val="16"/>
              </w:rPr>
              <w:t>Screening for metabolic disorders (psychiatric inpatient discharges on routinely-scheduled antipsychotic screened during/before stay)</w:t>
            </w:r>
          </w:p>
        </w:tc>
        <w:tc>
          <w:tcPr>
            <w:tcW w:w="370"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Cambria"/>
                <w:bCs/>
                <w:sz w:val="16"/>
                <w:szCs w:val="16"/>
              </w:rPr>
            </w:pPr>
            <w:r w:rsidRPr="00CA0AE3">
              <w:rPr>
                <w:rFonts w:eastAsia="Cambria"/>
                <w:bCs/>
                <w:sz w:val="16"/>
                <w:szCs w:val="16"/>
              </w:rPr>
              <w:t>CMS IPFQR</w:t>
            </w:r>
          </w:p>
        </w:tc>
        <w:tc>
          <w:tcPr>
            <w:tcW w:w="540"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Cambria"/>
                <w:sz w:val="16"/>
                <w:szCs w:val="16"/>
              </w:rPr>
            </w:pPr>
            <w:r w:rsidRPr="00CA0AE3">
              <w:rPr>
                <w:rFonts w:eastAsia="Cambria"/>
                <w:sz w:val="16"/>
                <w:szCs w:val="16"/>
              </w:rPr>
              <w:t>No external benchmark</w:t>
            </w:r>
          </w:p>
        </w:tc>
        <w:tc>
          <w:tcPr>
            <w:tcW w:w="541"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Cambria"/>
                <w:bCs/>
                <w:sz w:val="16"/>
                <w:szCs w:val="16"/>
              </w:rPr>
            </w:pPr>
            <w:r w:rsidRPr="00CA0AE3">
              <w:rPr>
                <w:rFonts w:eastAsia="Cambria"/>
                <w:bCs/>
                <w:sz w:val="16"/>
                <w:szCs w:val="16"/>
              </w:rPr>
              <w:t>Improvement over CY 2017 baseline</w:t>
            </w:r>
          </w:p>
        </w:tc>
        <w:tc>
          <w:tcPr>
            <w:tcW w:w="370" w:type="pct"/>
            <w:gridSpan w:val="2"/>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Times New Roman"/>
                <w:b/>
                <w:bCs/>
                <w:kern w:val="24"/>
                <w:sz w:val="16"/>
                <w:szCs w:val="16"/>
              </w:rPr>
            </w:pPr>
            <w:r w:rsidRPr="00CA0AE3">
              <w:rPr>
                <w:rFonts w:eastAsia="Times New Roman"/>
                <w:b/>
                <w:bCs/>
                <w:kern w:val="24"/>
                <w:sz w:val="16"/>
                <w:szCs w:val="16"/>
              </w:rPr>
              <w:t>B</w:t>
            </w:r>
          </w:p>
          <w:p w:rsidR="00CA2FE3" w:rsidRPr="00CA0AE3" w:rsidRDefault="00CA2FE3" w:rsidP="00D1633A">
            <w:pPr>
              <w:spacing w:after="0" w:line="240" w:lineRule="auto"/>
              <w:jc w:val="center"/>
              <w:rPr>
                <w:rFonts w:eastAsia="Times New Roman"/>
                <w:bCs/>
                <w:kern w:val="24"/>
                <w:sz w:val="16"/>
                <w:szCs w:val="16"/>
              </w:rPr>
            </w:pPr>
            <w:r w:rsidRPr="00CA0AE3">
              <w:rPr>
                <w:rFonts w:eastAsia="Times New Roman"/>
                <w:bCs/>
                <w:kern w:val="24"/>
                <w:sz w:val="16"/>
                <w:szCs w:val="16"/>
              </w:rPr>
              <w:t>(CY2017)</w:t>
            </w:r>
          </w:p>
        </w:tc>
        <w:tc>
          <w:tcPr>
            <w:tcW w:w="405"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Times New Roman"/>
                <w:b/>
                <w:bCs/>
                <w:kern w:val="24"/>
                <w:sz w:val="16"/>
                <w:szCs w:val="16"/>
              </w:rPr>
            </w:pPr>
            <w:r w:rsidRPr="00CA0AE3">
              <w:rPr>
                <w:rFonts w:eastAsia="Times New Roman"/>
                <w:b/>
                <w:bCs/>
                <w:kern w:val="24"/>
                <w:sz w:val="16"/>
                <w:szCs w:val="16"/>
              </w:rPr>
              <w:t>O</w:t>
            </w:r>
          </w:p>
          <w:p w:rsidR="00CA2FE3" w:rsidRPr="00CA0AE3" w:rsidRDefault="00CA2FE3" w:rsidP="00D1633A">
            <w:pPr>
              <w:spacing w:after="0" w:line="240" w:lineRule="auto"/>
              <w:jc w:val="center"/>
              <w:rPr>
                <w:rFonts w:eastAsia="Times New Roman"/>
                <w:bCs/>
                <w:kern w:val="24"/>
                <w:sz w:val="16"/>
                <w:szCs w:val="16"/>
              </w:rPr>
            </w:pPr>
            <w:r w:rsidRPr="00CA0AE3">
              <w:rPr>
                <w:rFonts w:eastAsia="Times New Roman"/>
                <w:bCs/>
                <w:kern w:val="24"/>
                <w:sz w:val="16"/>
                <w:szCs w:val="16"/>
              </w:rPr>
              <w:t>(CY2018)</w:t>
            </w:r>
          </w:p>
          <w:p w:rsidR="00CA2FE3" w:rsidRPr="00CA0AE3" w:rsidRDefault="00CA2FE3" w:rsidP="00D1633A">
            <w:pPr>
              <w:spacing w:after="0" w:line="240" w:lineRule="auto"/>
              <w:jc w:val="center"/>
              <w:rPr>
                <w:rFonts w:eastAsia="Times New Roman"/>
                <w:b/>
                <w:bCs/>
                <w:kern w:val="24"/>
                <w:sz w:val="16"/>
                <w:szCs w:val="16"/>
              </w:rPr>
            </w:pPr>
            <w:r w:rsidRPr="00CA0AE3">
              <w:rPr>
                <w:rFonts w:eastAsia="Times New Roman"/>
                <w:bCs/>
                <w:kern w:val="24"/>
                <w:sz w:val="16"/>
                <w:szCs w:val="16"/>
              </w:rPr>
              <w:t>2% increase over CY2017</w:t>
            </w:r>
          </w:p>
        </w:tc>
        <w:tc>
          <w:tcPr>
            <w:tcW w:w="405"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Times New Roman"/>
                <w:b/>
                <w:bCs/>
                <w:kern w:val="24"/>
                <w:sz w:val="16"/>
                <w:szCs w:val="16"/>
              </w:rPr>
            </w:pPr>
            <w:r w:rsidRPr="00CA0AE3">
              <w:rPr>
                <w:rFonts w:eastAsia="Times New Roman"/>
                <w:b/>
                <w:bCs/>
                <w:kern w:val="24"/>
                <w:sz w:val="16"/>
                <w:szCs w:val="16"/>
              </w:rPr>
              <w:t>O</w:t>
            </w:r>
          </w:p>
          <w:p w:rsidR="00CA2FE3" w:rsidRPr="00CA0AE3" w:rsidRDefault="00CA2FE3" w:rsidP="00D1633A">
            <w:pPr>
              <w:spacing w:after="0" w:line="240" w:lineRule="auto"/>
              <w:jc w:val="center"/>
              <w:rPr>
                <w:rFonts w:eastAsia="Times New Roman"/>
                <w:bCs/>
                <w:kern w:val="24"/>
                <w:sz w:val="16"/>
                <w:szCs w:val="16"/>
              </w:rPr>
            </w:pPr>
            <w:r w:rsidRPr="00CA0AE3">
              <w:rPr>
                <w:rFonts w:eastAsia="Times New Roman"/>
                <w:bCs/>
                <w:kern w:val="24"/>
                <w:sz w:val="16"/>
                <w:szCs w:val="16"/>
              </w:rPr>
              <w:t>(CY2019)</w:t>
            </w:r>
          </w:p>
          <w:p w:rsidR="00CA2FE3" w:rsidRPr="00CA0AE3" w:rsidRDefault="00CA2FE3" w:rsidP="00D1633A">
            <w:pPr>
              <w:spacing w:after="0" w:line="240" w:lineRule="auto"/>
              <w:jc w:val="center"/>
              <w:rPr>
                <w:rFonts w:eastAsia="Times New Roman"/>
                <w:b/>
                <w:bCs/>
                <w:kern w:val="24"/>
                <w:sz w:val="16"/>
                <w:szCs w:val="16"/>
              </w:rPr>
            </w:pPr>
            <w:r w:rsidRPr="00CA0AE3">
              <w:rPr>
                <w:rFonts w:eastAsia="Times New Roman"/>
                <w:bCs/>
                <w:kern w:val="24"/>
                <w:sz w:val="16"/>
                <w:szCs w:val="16"/>
              </w:rPr>
              <w:t>5% increase over CY2017</w:t>
            </w:r>
          </w:p>
        </w:tc>
        <w:tc>
          <w:tcPr>
            <w:tcW w:w="404"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Times New Roman"/>
                <w:b/>
                <w:bCs/>
                <w:kern w:val="24"/>
                <w:sz w:val="16"/>
                <w:szCs w:val="16"/>
              </w:rPr>
            </w:pPr>
            <w:r w:rsidRPr="00CA0AE3">
              <w:rPr>
                <w:rFonts w:eastAsia="Times New Roman"/>
                <w:b/>
                <w:bCs/>
                <w:kern w:val="24"/>
                <w:sz w:val="16"/>
                <w:szCs w:val="16"/>
              </w:rPr>
              <w:t>O</w:t>
            </w:r>
          </w:p>
          <w:p w:rsidR="00CA2FE3" w:rsidRPr="00CA0AE3" w:rsidRDefault="00CA2FE3" w:rsidP="00D1633A">
            <w:pPr>
              <w:spacing w:after="0" w:line="240" w:lineRule="auto"/>
              <w:jc w:val="center"/>
              <w:rPr>
                <w:rFonts w:eastAsia="Times New Roman"/>
                <w:bCs/>
                <w:kern w:val="24"/>
                <w:sz w:val="16"/>
                <w:szCs w:val="16"/>
              </w:rPr>
            </w:pPr>
            <w:r w:rsidRPr="00CA0AE3">
              <w:rPr>
                <w:rFonts w:eastAsia="Times New Roman"/>
                <w:bCs/>
                <w:kern w:val="24"/>
                <w:sz w:val="16"/>
                <w:szCs w:val="16"/>
              </w:rPr>
              <w:t>(CY2020)</w:t>
            </w:r>
          </w:p>
          <w:p w:rsidR="00CA2FE3" w:rsidRPr="00CA0AE3" w:rsidRDefault="00CA2FE3" w:rsidP="00D1633A">
            <w:pPr>
              <w:spacing w:after="0" w:line="240" w:lineRule="auto"/>
              <w:jc w:val="center"/>
              <w:rPr>
                <w:rFonts w:eastAsia="Times New Roman"/>
                <w:b/>
                <w:bCs/>
                <w:kern w:val="24"/>
                <w:sz w:val="16"/>
                <w:szCs w:val="16"/>
              </w:rPr>
            </w:pPr>
            <w:r w:rsidRPr="00CA0AE3">
              <w:rPr>
                <w:rFonts w:eastAsia="Times New Roman"/>
                <w:bCs/>
                <w:kern w:val="24"/>
                <w:sz w:val="16"/>
                <w:szCs w:val="16"/>
              </w:rPr>
              <w:t>8% increase over CY2017</w:t>
            </w:r>
          </w:p>
        </w:tc>
        <w:tc>
          <w:tcPr>
            <w:tcW w:w="405"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Times New Roman"/>
                <w:b/>
                <w:sz w:val="16"/>
                <w:szCs w:val="16"/>
              </w:rPr>
            </w:pPr>
            <w:r w:rsidRPr="00CA0AE3">
              <w:rPr>
                <w:rFonts w:eastAsia="Times New Roman"/>
                <w:b/>
                <w:sz w:val="16"/>
                <w:szCs w:val="16"/>
              </w:rPr>
              <w:t>O</w:t>
            </w:r>
          </w:p>
          <w:p w:rsidR="00CA2FE3" w:rsidRPr="00CA0AE3" w:rsidRDefault="00CA2FE3" w:rsidP="00D1633A">
            <w:pPr>
              <w:spacing w:after="0" w:line="240" w:lineRule="auto"/>
              <w:jc w:val="center"/>
              <w:rPr>
                <w:rFonts w:eastAsia="Times New Roman"/>
                <w:sz w:val="16"/>
                <w:szCs w:val="16"/>
              </w:rPr>
            </w:pPr>
            <w:r w:rsidRPr="00CA0AE3">
              <w:rPr>
                <w:rFonts w:eastAsia="Times New Roman"/>
                <w:sz w:val="16"/>
                <w:szCs w:val="16"/>
              </w:rPr>
              <w:t>(CY2021)</w:t>
            </w:r>
          </w:p>
          <w:p w:rsidR="00CA2FE3" w:rsidRPr="00CA0AE3" w:rsidRDefault="00CA2FE3" w:rsidP="00D1633A">
            <w:pPr>
              <w:spacing w:after="0" w:line="240" w:lineRule="auto"/>
              <w:jc w:val="center"/>
              <w:rPr>
                <w:rFonts w:eastAsia="Times New Roman"/>
                <w:b/>
                <w:sz w:val="16"/>
                <w:szCs w:val="16"/>
              </w:rPr>
            </w:pPr>
            <w:r w:rsidRPr="00CA0AE3">
              <w:rPr>
                <w:rFonts w:eastAsia="Times New Roman"/>
                <w:sz w:val="16"/>
                <w:szCs w:val="16"/>
              </w:rPr>
              <w:t>10% increase over CY2017</w:t>
            </w:r>
          </w:p>
        </w:tc>
        <w:tc>
          <w:tcPr>
            <w:tcW w:w="780" w:type="pct"/>
            <w:tcBorders>
              <w:top w:val="single" w:sz="8" w:space="0" w:color="000000"/>
              <w:left w:val="single" w:sz="8" w:space="0" w:color="000000"/>
              <w:bottom w:val="single" w:sz="8" w:space="0" w:color="000000"/>
              <w:right w:val="single" w:sz="8" w:space="0" w:color="000000"/>
            </w:tcBorders>
            <w:vAlign w:val="center"/>
          </w:tcPr>
          <w:p w:rsidR="00CA2FE3" w:rsidRPr="00CA0AE3" w:rsidRDefault="00CA2FE3" w:rsidP="00D1633A">
            <w:pPr>
              <w:spacing w:after="0" w:line="240" w:lineRule="auto"/>
              <w:rPr>
                <w:rFonts w:eastAsia="Cambria"/>
                <w:sz w:val="16"/>
                <w:szCs w:val="16"/>
              </w:rPr>
            </w:pPr>
            <w:r w:rsidRPr="00CA0AE3">
              <w:rPr>
                <w:rFonts w:eastAsia="Cambria"/>
                <w:sz w:val="16"/>
                <w:szCs w:val="16"/>
              </w:rPr>
              <w:t>No existing benchmark; CMSIPFQR measure to be implemented 1/1/17</w:t>
            </w:r>
          </w:p>
        </w:tc>
      </w:tr>
      <w:tr w:rsidR="00CA2FE3" w:rsidRPr="00CA0AE3" w:rsidTr="003C48F3">
        <w:trPr>
          <w:cantSplit/>
        </w:trPr>
        <w:tc>
          <w:tcPr>
            <w:tcW w:w="118" w:type="pct"/>
            <w:tcBorders>
              <w:top w:val="single" w:sz="8" w:space="0" w:color="000000"/>
              <w:left w:val="single" w:sz="8" w:space="0" w:color="000000"/>
              <w:bottom w:val="single" w:sz="8" w:space="0" w:color="000000"/>
              <w:right w:val="single" w:sz="8" w:space="0" w:color="000000"/>
            </w:tcBorders>
            <w:shd w:val="clear" w:color="auto" w:fill="auto"/>
            <w:vAlign w:val="center"/>
          </w:tcPr>
          <w:p w:rsidR="00CA2FE3" w:rsidRPr="00CA0AE3" w:rsidRDefault="00CA2FE3" w:rsidP="00D1633A">
            <w:pPr>
              <w:spacing w:after="0" w:line="240" w:lineRule="auto"/>
              <w:jc w:val="center"/>
              <w:rPr>
                <w:rFonts w:eastAsia="Times New Roman"/>
                <w:bCs/>
                <w:kern w:val="24"/>
                <w:sz w:val="16"/>
                <w:szCs w:val="16"/>
              </w:rPr>
            </w:pPr>
            <w:r w:rsidRPr="00CA0AE3">
              <w:rPr>
                <w:rFonts w:eastAsia="Times New Roman"/>
                <w:bCs/>
                <w:kern w:val="24"/>
                <w:sz w:val="16"/>
                <w:szCs w:val="16"/>
              </w:rPr>
              <w:t>13</w:t>
            </w:r>
          </w:p>
        </w:tc>
        <w:tc>
          <w:tcPr>
            <w:tcW w:w="662"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rPr>
                <w:rFonts w:eastAsia="Cambria"/>
                <w:bCs/>
                <w:sz w:val="16"/>
                <w:szCs w:val="16"/>
              </w:rPr>
            </w:pPr>
            <w:r w:rsidRPr="00CA0AE3">
              <w:rPr>
                <w:rFonts w:eastAsia="Cambria"/>
                <w:bCs/>
                <w:sz w:val="16"/>
                <w:szCs w:val="16"/>
              </w:rPr>
              <w:t>Increase the percentage of BH Home target population patients who have a care plan (care plans may include CHA coordinated care plan and/or ACO behavioral health community partner care plan)</w:t>
            </w:r>
          </w:p>
        </w:tc>
        <w:tc>
          <w:tcPr>
            <w:tcW w:w="370"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Cambria"/>
                <w:bCs/>
                <w:sz w:val="16"/>
                <w:szCs w:val="16"/>
              </w:rPr>
            </w:pPr>
          </w:p>
          <w:p w:rsidR="00CA2FE3" w:rsidRPr="00CA0AE3" w:rsidRDefault="00CA2FE3" w:rsidP="00D1633A">
            <w:pPr>
              <w:spacing w:after="0" w:line="240" w:lineRule="auto"/>
              <w:jc w:val="center"/>
              <w:rPr>
                <w:rFonts w:eastAsia="Cambria"/>
                <w:bCs/>
                <w:sz w:val="16"/>
                <w:szCs w:val="16"/>
              </w:rPr>
            </w:pPr>
            <w:r w:rsidRPr="00CA0AE3">
              <w:rPr>
                <w:rFonts w:eastAsia="Cambria"/>
                <w:bCs/>
                <w:sz w:val="16"/>
                <w:szCs w:val="16"/>
              </w:rPr>
              <w:t>NCQA Medical Home</w:t>
            </w:r>
          </w:p>
        </w:tc>
        <w:tc>
          <w:tcPr>
            <w:tcW w:w="540"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Cambria"/>
                <w:sz w:val="16"/>
                <w:szCs w:val="16"/>
              </w:rPr>
            </w:pPr>
            <w:r w:rsidRPr="00CA0AE3">
              <w:rPr>
                <w:rFonts w:eastAsia="Cambria"/>
                <w:sz w:val="16"/>
                <w:szCs w:val="16"/>
              </w:rPr>
              <w:t>NCQA 2014 Medical Home Standard = 75.00%</w:t>
            </w:r>
          </w:p>
        </w:tc>
        <w:tc>
          <w:tcPr>
            <w:tcW w:w="541"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Cambria"/>
                <w:bCs/>
                <w:sz w:val="16"/>
                <w:szCs w:val="16"/>
              </w:rPr>
            </w:pPr>
            <w:r w:rsidRPr="00CA0AE3">
              <w:rPr>
                <w:rFonts w:eastAsia="Cambria"/>
                <w:bCs/>
                <w:sz w:val="16"/>
                <w:szCs w:val="16"/>
              </w:rPr>
              <w:t>Gap to Goal (10%) or attainment at target</w:t>
            </w:r>
          </w:p>
        </w:tc>
        <w:tc>
          <w:tcPr>
            <w:tcW w:w="370" w:type="pct"/>
            <w:gridSpan w:val="2"/>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Times New Roman"/>
                <w:b/>
                <w:bCs/>
                <w:kern w:val="24"/>
                <w:sz w:val="16"/>
                <w:szCs w:val="16"/>
              </w:rPr>
            </w:pPr>
            <w:r w:rsidRPr="00CA0AE3">
              <w:rPr>
                <w:rFonts w:eastAsia="Times New Roman"/>
                <w:b/>
                <w:bCs/>
                <w:kern w:val="24"/>
                <w:sz w:val="16"/>
                <w:szCs w:val="16"/>
              </w:rPr>
              <w:t>O</w:t>
            </w:r>
          </w:p>
        </w:tc>
        <w:tc>
          <w:tcPr>
            <w:tcW w:w="405"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Times New Roman"/>
                <w:b/>
                <w:bCs/>
                <w:kern w:val="24"/>
                <w:sz w:val="16"/>
                <w:szCs w:val="16"/>
              </w:rPr>
            </w:pPr>
            <w:r w:rsidRPr="00CA0AE3">
              <w:rPr>
                <w:rFonts w:eastAsia="Times New Roman"/>
                <w:b/>
                <w:bCs/>
                <w:kern w:val="24"/>
                <w:sz w:val="16"/>
                <w:szCs w:val="16"/>
              </w:rPr>
              <w:t>O</w:t>
            </w:r>
          </w:p>
        </w:tc>
        <w:tc>
          <w:tcPr>
            <w:tcW w:w="405"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Times New Roman"/>
                <w:b/>
                <w:bCs/>
                <w:kern w:val="24"/>
                <w:sz w:val="16"/>
                <w:szCs w:val="16"/>
              </w:rPr>
            </w:pPr>
            <w:r w:rsidRPr="00CA0AE3">
              <w:rPr>
                <w:rFonts w:eastAsia="Times New Roman"/>
                <w:b/>
                <w:bCs/>
                <w:kern w:val="24"/>
                <w:sz w:val="16"/>
                <w:szCs w:val="16"/>
              </w:rPr>
              <w:t>O</w:t>
            </w:r>
          </w:p>
        </w:tc>
        <w:tc>
          <w:tcPr>
            <w:tcW w:w="404"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Times New Roman"/>
                <w:b/>
                <w:bCs/>
                <w:kern w:val="24"/>
                <w:sz w:val="16"/>
                <w:szCs w:val="16"/>
              </w:rPr>
            </w:pPr>
            <w:r w:rsidRPr="00CA0AE3">
              <w:rPr>
                <w:rFonts w:eastAsia="Times New Roman"/>
                <w:b/>
                <w:bCs/>
                <w:kern w:val="24"/>
                <w:sz w:val="16"/>
                <w:szCs w:val="16"/>
              </w:rPr>
              <w:t>O</w:t>
            </w:r>
          </w:p>
        </w:tc>
        <w:tc>
          <w:tcPr>
            <w:tcW w:w="405"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Times New Roman"/>
                <w:b/>
                <w:sz w:val="16"/>
                <w:szCs w:val="16"/>
              </w:rPr>
            </w:pPr>
            <w:r w:rsidRPr="00CA0AE3">
              <w:rPr>
                <w:rFonts w:eastAsia="Times New Roman"/>
                <w:b/>
                <w:sz w:val="16"/>
                <w:szCs w:val="16"/>
              </w:rPr>
              <w:t>O</w:t>
            </w:r>
          </w:p>
        </w:tc>
        <w:tc>
          <w:tcPr>
            <w:tcW w:w="780" w:type="pct"/>
            <w:tcBorders>
              <w:top w:val="single" w:sz="8" w:space="0" w:color="000000"/>
              <w:left w:val="single" w:sz="8" w:space="0" w:color="000000"/>
              <w:bottom w:val="single" w:sz="8" w:space="0" w:color="000000"/>
              <w:right w:val="single" w:sz="8" w:space="0" w:color="000000"/>
            </w:tcBorders>
            <w:vAlign w:val="center"/>
          </w:tcPr>
          <w:p w:rsidR="00CA2FE3" w:rsidRPr="00CA0AE3" w:rsidRDefault="00CA2FE3" w:rsidP="00D1633A">
            <w:pPr>
              <w:spacing w:after="0" w:line="240" w:lineRule="auto"/>
              <w:rPr>
                <w:rFonts w:eastAsia="Cambria"/>
                <w:sz w:val="16"/>
                <w:szCs w:val="16"/>
              </w:rPr>
            </w:pPr>
            <w:r w:rsidRPr="00CA0AE3">
              <w:rPr>
                <w:rFonts w:eastAsia="Cambria"/>
                <w:sz w:val="16"/>
                <w:szCs w:val="16"/>
              </w:rPr>
              <w:t>Target of 75% is 2014 NCQA Medical Home standard.</w:t>
            </w:r>
          </w:p>
        </w:tc>
      </w:tr>
    </w:tbl>
    <w:p w:rsidR="00CA2FE3" w:rsidRDefault="00CA2FE3">
      <w:pPr>
        <w:pStyle w:val="ListParagraph"/>
        <w:autoSpaceDE w:val="0"/>
        <w:autoSpaceDN w:val="0"/>
        <w:adjustRightInd w:val="0"/>
        <w:spacing w:after="0" w:line="240" w:lineRule="auto"/>
        <w:ind w:left="1080"/>
        <w:contextualSpacing w:val="0"/>
        <w:jc w:val="both"/>
      </w:pPr>
    </w:p>
    <w:tbl>
      <w:tblPr>
        <w:tblW w:w="13233" w:type="dxa"/>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358"/>
        <w:gridCol w:w="1529"/>
        <w:gridCol w:w="1170"/>
        <w:gridCol w:w="1260"/>
        <w:gridCol w:w="1440"/>
        <w:gridCol w:w="1170"/>
        <w:gridCol w:w="1260"/>
        <w:gridCol w:w="1260"/>
        <w:gridCol w:w="1260"/>
        <w:gridCol w:w="1260"/>
        <w:gridCol w:w="1266"/>
      </w:tblGrid>
      <w:tr w:rsidR="00CA2FE3" w:rsidRPr="00CA0AE3" w:rsidTr="003C48F3">
        <w:trPr>
          <w:cantSplit/>
        </w:trPr>
        <w:tc>
          <w:tcPr>
            <w:tcW w:w="13233" w:type="dxa"/>
            <w:gridSpan w:val="11"/>
            <w:shd w:val="clear" w:color="auto" w:fill="C6D9F1" w:themeFill="text2" w:themeFillTint="33"/>
          </w:tcPr>
          <w:p w:rsidR="00CA2FE3" w:rsidRPr="00CA0AE3" w:rsidRDefault="00CA2FE3" w:rsidP="00D1633A">
            <w:pPr>
              <w:spacing w:after="0" w:line="240" w:lineRule="auto"/>
              <w:rPr>
                <w:rFonts w:eastAsia="Times New Roman"/>
                <w:b/>
                <w:bCs/>
                <w:kern w:val="24"/>
                <w:sz w:val="20"/>
                <w:szCs w:val="20"/>
              </w:rPr>
            </w:pPr>
            <w:r w:rsidRPr="00CA0AE3">
              <w:rPr>
                <w:rFonts w:eastAsia="Times New Roman"/>
                <w:b/>
                <w:bCs/>
                <w:kern w:val="24"/>
                <w:sz w:val="20"/>
                <w:szCs w:val="20"/>
              </w:rPr>
              <w:t>Required Measure Slate:  Improvement and Outcomes Measures</w:t>
            </w:r>
          </w:p>
          <w:p w:rsidR="00CA2FE3" w:rsidRPr="00CA0AE3" w:rsidRDefault="00CA2FE3" w:rsidP="00D1633A">
            <w:pPr>
              <w:spacing w:after="0" w:line="240" w:lineRule="auto"/>
              <w:rPr>
                <w:rFonts w:eastAsia="Times New Roman"/>
                <w:b/>
                <w:bCs/>
                <w:kern w:val="24"/>
                <w:sz w:val="20"/>
                <w:szCs w:val="20"/>
              </w:rPr>
            </w:pPr>
            <w:r w:rsidRPr="00CA0AE3">
              <w:rPr>
                <w:rFonts w:eastAsia="Times New Roman"/>
                <w:b/>
                <w:bCs/>
                <w:kern w:val="24"/>
                <w:sz w:val="20"/>
                <w:szCs w:val="20"/>
              </w:rPr>
              <w:t xml:space="preserve"> </w:t>
            </w:r>
            <w:r w:rsidRPr="00CA0AE3">
              <w:rPr>
                <w:b/>
                <w:i/>
                <w:sz w:val="20"/>
                <w:szCs w:val="20"/>
              </w:rPr>
              <w:t xml:space="preserve">(Achieve 2 out of 5 in Year 1, </w:t>
            </w:r>
            <w:proofErr w:type="gramStart"/>
            <w:r w:rsidRPr="00CA0AE3">
              <w:rPr>
                <w:b/>
                <w:i/>
                <w:sz w:val="20"/>
                <w:szCs w:val="20"/>
              </w:rPr>
              <w:t>4  of</w:t>
            </w:r>
            <w:proofErr w:type="gramEnd"/>
            <w:r w:rsidRPr="00CA0AE3">
              <w:rPr>
                <w:b/>
                <w:i/>
                <w:sz w:val="20"/>
                <w:szCs w:val="20"/>
              </w:rPr>
              <w:t xml:space="preserve"> 10 Outcome Measures in Year 2, 7 out of 13 in Year 3, 6 out of 10 in Year 4, and 8 out of 13 in Year 5). </w:t>
            </w:r>
          </w:p>
        </w:tc>
      </w:tr>
      <w:tr w:rsidR="00CA2FE3" w:rsidRPr="00CA0AE3" w:rsidTr="003C48F3">
        <w:trPr>
          <w:cantSplit/>
        </w:trPr>
        <w:tc>
          <w:tcPr>
            <w:tcW w:w="1887" w:type="dxa"/>
            <w:gridSpan w:val="2"/>
            <w:shd w:val="clear" w:color="auto" w:fill="C6D9F1" w:themeFill="text2" w:themeFillTint="33"/>
            <w:vAlign w:val="center"/>
          </w:tcPr>
          <w:p w:rsidR="00CA2FE3" w:rsidRPr="00CA0AE3" w:rsidRDefault="00CA2FE3" w:rsidP="00D1633A">
            <w:pPr>
              <w:spacing w:after="0" w:line="240" w:lineRule="auto"/>
              <w:jc w:val="center"/>
              <w:rPr>
                <w:rFonts w:eastAsia="Times New Roman"/>
                <w:b/>
                <w:bCs/>
                <w:kern w:val="24"/>
                <w:sz w:val="20"/>
                <w:szCs w:val="20"/>
              </w:rPr>
            </w:pPr>
            <w:r w:rsidRPr="00CA0AE3">
              <w:rPr>
                <w:rFonts w:eastAsia="Times New Roman"/>
                <w:b/>
                <w:bCs/>
                <w:kern w:val="24"/>
                <w:sz w:val="20"/>
                <w:szCs w:val="20"/>
              </w:rPr>
              <w:t>Measure Slate 3</w:t>
            </w:r>
          </w:p>
        </w:tc>
        <w:tc>
          <w:tcPr>
            <w:tcW w:w="3870" w:type="dxa"/>
            <w:gridSpan w:val="3"/>
            <w:shd w:val="clear" w:color="auto" w:fill="C6D9F1" w:themeFill="text2" w:themeFillTint="33"/>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Times New Roman"/>
                <w:b/>
                <w:bCs/>
                <w:kern w:val="24"/>
                <w:sz w:val="20"/>
                <w:szCs w:val="20"/>
              </w:rPr>
            </w:pPr>
            <w:r w:rsidRPr="00CA0AE3">
              <w:rPr>
                <w:rFonts w:eastAsia="Times New Roman"/>
                <w:b/>
                <w:bCs/>
                <w:kern w:val="24"/>
                <w:sz w:val="20"/>
                <w:szCs w:val="20"/>
              </w:rPr>
              <w:t xml:space="preserve">3:  </w:t>
            </w:r>
            <w:r w:rsidRPr="00CA0AE3">
              <w:rPr>
                <w:b/>
                <w:sz w:val="20"/>
                <w:szCs w:val="20"/>
              </w:rPr>
              <w:t>Referral Management and Integrated Care Management</w:t>
            </w:r>
          </w:p>
        </w:tc>
        <w:tc>
          <w:tcPr>
            <w:tcW w:w="1170" w:type="dxa"/>
            <w:shd w:val="clear" w:color="auto" w:fill="C6D9F1" w:themeFill="text2" w:themeFillTint="33"/>
            <w:vAlign w:val="center"/>
          </w:tcPr>
          <w:p w:rsidR="00CA2FE3" w:rsidRPr="00CA0AE3" w:rsidRDefault="00CA2FE3" w:rsidP="00D1633A">
            <w:pPr>
              <w:spacing w:after="0" w:line="240" w:lineRule="auto"/>
              <w:jc w:val="center"/>
              <w:rPr>
                <w:rFonts w:eastAsia="Times New Roman"/>
                <w:b/>
                <w:bCs/>
                <w:kern w:val="24"/>
                <w:sz w:val="20"/>
                <w:szCs w:val="20"/>
              </w:rPr>
            </w:pPr>
            <w:r w:rsidRPr="00CA0AE3">
              <w:rPr>
                <w:rFonts w:eastAsia="Times New Roman"/>
                <w:b/>
                <w:bCs/>
                <w:kern w:val="24"/>
                <w:sz w:val="20"/>
                <w:szCs w:val="20"/>
              </w:rPr>
              <w:t>Achieve 2 of 5 Measures</w:t>
            </w:r>
          </w:p>
        </w:tc>
        <w:tc>
          <w:tcPr>
            <w:tcW w:w="1260" w:type="dxa"/>
            <w:shd w:val="clear" w:color="auto" w:fill="C6D9F1" w:themeFill="text2" w:themeFillTint="33"/>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Times New Roman"/>
                <w:b/>
                <w:bCs/>
                <w:kern w:val="24"/>
                <w:sz w:val="20"/>
                <w:szCs w:val="20"/>
              </w:rPr>
            </w:pPr>
            <w:r w:rsidRPr="00CA0AE3">
              <w:rPr>
                <w:rFonts w:eastAsia="Times New Roman"/>
                <w:b/>
                <w:bCs/>
                <w:kern w:val="24"/>
                <w:sz w:val="20"/>
                <w:szCs w:val="20"/>
              </w:rPr>
              <w:t>Achieve 4 of 10 Measures</w:t>
            </w:r>
          </w:p>
        </w:tc>
        <w:tc>
          <w:tcPr>
            <w:tcW w:w="1260" w:type="dxa"/>
            <w:shd w:val="clear" w:color="auto" w:fill="C6D9F1" w:themeFill="text2" w:themeFillTint="33"/>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Times New Roman"/>
                <w:b/>
                <w:bCs/>
                <w:kern w:val="24"/>
                <w:sz w:val="20"/>
                <w:szCs w:val="20"/>
              </w:rPr>
            </w:pPr>
            <w:r w:rsidRPr="00CA0AE3">
              <w:rPr>
                <w:rFonts w:eastAsia="Times New Roman"/>
                <w:b/>
                <w:bCs/>
                <w:kern w:val="24"/>
                <w:sz w:val="20"/>
                <w:szCs w:val="20"/>
              </w:rPr>
              <w:t>Achieve 7 of 13 Measures</w:t>
            </w:r>
          </w:p>
        </w:tc>
        <w:tc>
          <w:tcPr>
            <w:tcW w:w="1260" w:type="dxa"/>
            <w:shd w:val="clear" w:color="auto" w:fill="C6D9F1" w:themeFill="text2" w:themeFillTint="33"/>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Times New Roman"/>
                <w:b/>
                <w:bCs/>
                <w:kern w:val="24"/>
                <w:sz w:val="20"/>
                <w:szCs w:val="20"/>
              </w:rPr>
            </w:pPr>
            <w:r w:rsidRPr="00CA0AE3">
              <w:rPr>
                <w:rFonts w:eastAsia="Times New Roman"/>
                <w:b/>
                <w:bCs/>
                <w:kern w:val="24"/>
                <w:sz w:val="20"/>
                <w:szCs w:val="20"/>
              </w:rPr>
              <w:t>Achieve 6 of 10 Measures</w:t>
            </w:r>
          </w:p>
        </w:tc>
        <w:tc>
          <w:tcPr>
            <w:tcW w:w="1260" w:type="dxa"/>
            <w:shd w:val="clear" w:color="auto" w:fill="C6D9F1" w:themeFill="text2" w:themeFillTint="33"/>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Times New Roman"/>
                <w:b/>
                <w:bCs/>
                <w:kern w:val="24"/>
                <w:sz w:val="20"/>
                <w:szCs w:val="20"/>
              </w:rPr>
            </w:pPr>
            <w:r w:rsidRPr="00CA0AE3">
              <w:rPr>
                <w:rFonts w:eastAsia="Times New Roman"/>
                <w:b/>
                <w:bCs/>
                <w:kern w:val="24"/>
                <w:sz w:val="20"/>
                <w:szCs w:val="20"/>
              </w:rPr>
              <w:t>Achieve 8 of 13 Measures</w:t>
            </w:r>
          </w:p>
        </w:tc>
        <w:tc>
          <w:tcPr>
            <w:tcW w:w="1266" w:type="dxa"/>
            <w:shd w:val="clear" w:color="auto" w:fill="C6D9F1" w:themeFill="text2" w:themeFillTint="33"/>
            <w:vAlign w:val="center"/>
          </w:tcPr>
          <w:p w:rsidR="00CA2FE3" w:rsidRDefault="00CA2FE3" w:rsidP="00CA2FE3">
            <w:pPr>
              <w:spacing w:after="0" w:line="240" w:lineRule="auto"/>
              <w:rPr>
                <w:rFonts w:eastAsia="Times New Roman"/>
                <w:b/>
                <w:bCs/>
                <w:kern w:val="24"/>
                <w:sz w:val="20"/>
                <w:szCs w:val="20"/>
              </w:rPr>
            </w:pPr>
            <w:r>
              <w:rPr>
                <w:rFonts w:eastAsia="Times New Roman"/>
                <w:b/>
                <w:bCs/>
                <w:kern w:val="24"/>
                <w:sz w:val="20"/>
                <w:szCs w:val="20"/>
              </w:rPr>
              <w:t>Baseline (B)</w:t>
            </w:r>
          </w:p>
          <w:p w:rsidR="00CA2FE3" w:rsidRDefault="00CA2FE3" w:rsidP="00CA2FE3">
            <w:pPr>
              <w:spacing w:after="0" w:line="240" w:lineRule="auto"/>
              <w:rPr>
                <w:rFonts w:eastAsia="Times New Roman"/>
                <w:b/>
                <w:bCs/>
                <w:kern w:val="24"/>
                <w:sz w:val="20"/>
                <w:szCs w:val="20"/>
              </w:rPr>
            </w:pPr>
            <w:r>
              <w:rPr>
                <w:rFonts w:eastAsia="Times New Roman"/>
                <w:b/>
                <w:bCs/>
                <w:kern w:val="24"/>
                <w:sz w:val="20"/>
                <w:szCs w:val="20"/>
              </w:rPr>
              <w:t>Outcome (O)</w:t>
            </w:r>
          </w:p>
          <w:p w:rsidR="00CA2FE3" w:rsidRPr="00CA0AE3" w:rsidRDefault="00CA2FE3" w:rsidP="00CA2FE3">
            <w:pPr>
              <w:spacing w:after="0" w:line="240" w:lineRule="auto"/>
              <w:rPr>
                <w:rFonts w:eastAsia="Times New Roman"/>
                <w:b/>
                <w:bCs/>
                <w:kern w:val="24"/>
                <w:sz w:val="20"/>
                <w:szCs w:val="20"/>
              </w:rPr>
            </w:pPr>
            <w:r>
              <w:rPr>
                <w:rFonts w:eastAsia="Times New Roman"/>
                <w:b/>
                <w:bCs/>
                <w:kern w:val="24"/>
                <w:sz w:val="20"/>
                <w:szCs w:val="20"/>
              </w:rPr>
              <w:t>Reporting (R)</w:t>
            </w:r>
          </w:p>
        </w:tc>
      </w:tr>
      <w:tr w:rsidR="00CA2FE3" w:rsidRPr="00CA0AE3" w:rsidTr="003C48F3">
        <w:trPr>
          <w:cantSplit/>
        </w:trPr>
        <w:tc>
          <w:tcPr>
            <w:tcW w:w="358" w:type="dxa"/>
            <w:shd w:val="clear" w:color="auto" w:fill="C6D9F1" w:themeFill="text2" w:themeFillTint="33"/>
            <w:vAlign w:val="center"/>
          </w:tcPr>
          <w:p w:rsidR="00CA2FE3" w:rsidRPr="00CA0AE3" w:rsidRDefault="00CA2FE3" w:rsidP="00D1633A">
            <w:pPr>
              <w:spacing w:after="0" w:line="240" w:lineRule="auto"/>
              <w:jc w:val="center"/>
              <w:rPr>
                <w:rFonts w:eastAsia="Times New Roman"/>
                <w:b/>
                <w:bCs/>
                <w:kern w:val="24"/>
                <w:sz w:val="20"/>
                <w:szCs w:val="20"/>
              </w:rPr>
            </w:pPr>
            <w:r w:rsidRPr="00CA0AE3">
              <w:rPr>
                <w:rFonts w:eastAsia="Times New Roman"/>
                <w:b/>
                <w:bCs/>
                <w:kern w:val="24"/>
                <w:sz w:val="20"/>
                <w:szCs w:val="20"/>
              </w:rPr>
              <w:lastRenderedPageBreak/>
              <w:t>#</w:t>
            </w:r>
          </w:p>
        </w:tc>
        <w:tc>
          <w:tcPr>
            <w:tcW w:w="1529" w:type="dxa"/>
            <w:shd w:val="clear" w:color="auto" w:fill="C6D9F1" w:themeFill="text2" w:themeFillTint="33"/>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Times New Roman"/>
                <w:sz w:val="20"/>
                <w:szCs w:val="20"/>
              </w:rPr>
            </w:pPr>
            <w:r w:rsidRPr="00CA0AE3">
              <w:rPr>
                <w:rFonts w:eastAsia="Times New Roman"/>
                <w:b/>
                <w:bCs/>
                <w:kern w:val="24"/>
                <w:sz w:val="20"/>
                <w:szCs w:val="20"/>
              </w:rPr>
              <w:t>Measure Description</w:t>
            </w:r>
          </w:p>
        </w:tc>
        <w:tc>
          <w:tcPr>
            <w:tcW w:w="1170" w:type="dxa"/>
            <w:shd w:val="clear" w:color="auto" w:fill="C6D9F1" w:themeFill="text2" w:themeFillTint="33"/>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Times New Roman"/>
                <w:kern w:val="24"/>
                <w:sz w:val="20"/>
                <w:szCs w:val="20"/>
              </w:rPr>
            </w:pPr>
            <w:r w:rsidRPr="00CA0AE3">
              <w:rPr>
                <w:rFonts w:eastAsia="Times New Roman"/>
                <w:b/>
                <w:bCs/>
                <w:kern w:val="24"/>
                <w:sz w:val="20"/>
                <w:szCs w:val="20"/>
              </w:rPr>
              <w:t>Measure Steward</w:t>
            </w:r>
          </w:p>
          <w:p w:rsidR="00CA2FE3" w:rsidRPr="00CA0AE3" w:rsidRDefault="00CA2FE3" w:rsidP="00D1633A">
            <w:pPr>
              <w:spacing w:after="0" w:line="240" w:lineRule="auto"/>
              <w:jc w:val="center"/>
              <w:rPr>
                <w:rFonts w:eastAsia="Times New Roman"/>
                <w:b/>
                <w:sz w:val="20"/>
                <w:szCs w:val="20"/>
              </w:rPr>
            </w:pPr>
            <w:r w:rsidRPr="00CA0AE3">
              <w:rPr>
                <w:rFonts w:eastAsia="Times New Roman"/>
                <w:b/>
                <w:kern w:val="24"/>
                <w:sz w:val="20"/>
                <w:szCs w:val="20"/>
              </w:rPr>
              <w:t>NQF#</w:t>
            </w:r>
          </w:p>
        </w:tc>
        <w:tc>
          <w:tcPr>
            <w:tcW w:w="1260" w:type="dxa"/>
            <w:shd w:val="clear" w:color="auto" w:fill="C6D9F1" w:themeFill="text2" w:themeFillTint="33"/>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Times New Roman"/>
                <w:sz w:val="20"/>
                <w:szCs w:val="20"/>
              </w:rPr>
            </w:pPr>
            <w:r w:rsidRPr="00CA0AE3">
              <w:rPr>
                <w:rFonts w:eastAsia="Times New Roman"/>
                <w:b/>
                <w:bCs/>
                <w:kern w:val="24"/>
                <w:sz w:val="20"/>
                <w:szCs w:val="20"/>
              </w:rPr>
              <w:t>Benchmark</w:t>
            </w:r>
          </w:p>
        </w:tc>
        <w:tc>
          <w:tcPr>
            <w:tcW w:w="1440" w:type="dxa"/>
            <w:shd w:val="clear" w:color="auto" w:fill="C6D9F1" w:themeFill="text2" w:themeFillTint="33"/>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Times New Roman"/>
                <w:sz w:val="20"/>
                <w:szCs w:val="20"/>
              </w:rPr>
            </w:pPr>
            <w:r w:rsidRPr="00CA0AE3">
              <w:rPr>
                <w:rFonts w:eastAsia="Times New Roman"/>
                <w:b/>
                <w:bCs/>
                <w:kern w:val="24"/>
                <w:sz w:val="20"/>
                <w:szCs w:val="20"/>
              </w:rPr>
              <w:t>Improvement Methodology</w:t>
            </w:r>
          </w:p>
        </w:tc>
        <w:tc>
          <w:tcPr>
            <w:tcW w:w="1170" w:type="dxa"/>
            <w:shd w:val="clear" w:color="auto" w:fill="C6D9F1" w:themeFill="text2" w:themeFillTint="33"/>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Times New Roman"/>
                <w:kern w:val="24"/>
                <w:sz w:val="20"/>
                <w:szCs w:val="20"/>
              </w:rPr>
            </w:pPr>
            <w:r w:rsidRPr="00CA0AE3">
              <w:rPr>
                <w:rFonts w:eastAsia="Times New Roman"/>
                <w:b/>
                <w:bCs/>
                <w:kern w:val="24"/>
                <w:sz w:val="20"/>
                <w:szCs w:val="20"/>
              </w:rPr>
              <w:t>Year 1</w:t>
            </w:r>
          </w:p>
          <w:p w:rsidR="00CA2FE3" w:rsidRPr="00CA0AE3" w:rsidRDefault="00CA2FE3" w:rsidP="00D1633A">
            <w:pPr>
              <w:spacing w:after="0" w:line="240" w:lineRule="auto"/>
              <w:jc w:val="center"/>
              <w:rPr>
                <w:rFonts w:eastAsia="Times New Roman"/>
                <w:kern w:val="24"/>
                <w:sz w:val="20"/>
                <w:szCs w:val="20"/>
              </w:rPr>
            </w:pPr>
            <w:r w:rsidRPr="00CA0AE3">
              <w:rPr>
                <w:rFonts w:eastAsia="Times New Roman"/>
                <w:kern w:val="24"/>
                <w:sz w:val="20"/>
                <w:szCs w:val="20"/>
              </w:rPr>
              <w:t>SFY</w:t>
            </w:r>
          </w:p>
          <w:p w:rsidR="00CA2FE3" w:rsidRPr="00CA0AE3" w:rsidRDefault="00CA2FE3" w:rsidP="00D1633A">
            <w:pPr>
              <w:spacing w:after="0" w:line="240" w:lineRule="auto"/>
              <w:jc w:val="center"/>
              <w:rPr>
                <w:rFonts w:eastAsia="Times New Roman"/>
                <w:sz w:val="20"/>
                <w:szCs w:val="20"/>
              </w:rPr>
            </w:pPr>
            <w:r w:rsidRPr="00CA0AE3">
              <w:rPr>
                <w:rFonts w:eastAsia="Times New Roman"/>
                <w:kern w:val="24"/>
                <w:sz w:val="20"/>
                <w:szCs w:val="20"/>
              </w:rPr>
              <w:t>2018</w:t>
            </w:r>
          </w:p>
        </w:tc>
        <w:tc>
          <w:tcPr>
            <w:tcW w:w="1260" w:type="dxa"/>
            <w:shd w:val="clear" w:color="auto" w:fill="C6D9F1" w:themeFill="text2" w:themeFillTint="33"/>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Times New Roman"/>
                <w:kern w:val="24"/>
                <w:sz w:val="20"/>
                <w:szCs w:val="20"/>
              </w:rPr>
            </w:pPr>
            <w:r w:rsidRPr="00CA0AE3">
              <w:rPr>
                <w:rFonts w:eastAsia="Times New Roman"/>
                <w:b/>
                <w:bCs/>
                <w:kern w:val="24"/>
                <w:sz w:val="20"/>
                <w:szCs w:val="20"/>
              </w:rPr>
              <w:t>Year 2</w:t>
            </w:r>
          </w:p>
          <w:p w:rsidR="00CA2FE3" w:rsidRPr="00CA0AE3" w:rsidRDefault="00CA2FE3" w:rsidP="00D1633A">
            <w:pPr>
              <w:spacing w:after="0" w:line="240" w:lineRule="auto"/>
              <w:jc w:val="center"/>
              <w:rPr>
                <w:rFonts w:eastAsia="Times New Roman"/>
                <w:kern w:val="24"/>
                <w:sz w:val="20"/>
                <w:szCs w:val="20"/>
              </w:rPr>
            </w:pPr>
            <w:r w:rsidRPr="00CA0AE3">
              <w:rPr>
                <w:rFonts w:eastAsia="Times New Roman"/>
                <w:kern w:val="24"/>
                <w:sz w:val="20"/>
                <w:szCs w:val="20"/>
              </w:rPr>
              <w:t>SFY</w:t>
            </w:r>
          </w:p>
          <w:p w:rsidR="00CA2FE3" w:rsidRPr="00CA0AE3" w:rsidRDefault="00CA2FE3" w:rsidP="00D1633A">
            <w:pPr>
              <w:spacing w:after="0" w:line="240" w:lineRule="auto"/>
              <w:jc w:val="center"/>
              <w:rPr>
                <w:rFonts w:eastAsia="Times New Roman"/>
                <w:sz w:val="20"/>
                <w:szCs w:val="20"/>
              </w:rPr>
            </w:pPr>
            <w:r w:rsidRPr="00CA0AE3">
              <w:rPr>
                <w:rFonts w:eastAsia="Times New Roman"/>
                <w:kern w:val="24"/>
                <w:sz w:val="20"/>
                <w:szCs w:val="20"/>
              </w:rPr>
              <w:t>2019</w:t>
            </w:r>
          </w:p>
        </w:tc>
        <w:tc>
          <w:tcPr>
            <w:tcW w:w="1260" w:type="dxa"/>
            <w:shd w:val="clear" w:color="auto" w:fill="C6D9F1" w:themeFill="text2" w:themeFillTint="33"/>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Times New Roman"/>
                <w:kern w:val="24"/>
                <w:sz w:val="20"/>
                <w:szCs w:val="20"/>
              </w:rPr>
            </w:pPr>
            <w:r w:rsidRPr="00CA0AE3">
              <w:rPr>
                <w:rFonts w:eastAsia="Times New Roman"/>
                <w:b/>
                <w:bCs/>
                <w:kern w:val="24"/>
                <w:sz w:val="20"/>
                <w:szCs w:val="20"/>
              </w:rPr>
              <w:t>Year 3</w:t>
            </w:r>
          </w:p>
          <w:p w:rsidR="00CA2FE3" w:rsidRPr="00CA0AE3" w:rsidRDefault="00CA2FE3" w:rsidP="00D1633A">
            <w:pPr>
              <w:spacing w:after="0" w:line="240" w:lineRule="auto"/>
              <w:jc w:val="center"/>
              <w:rPr>
                <w:rFonts w:eastAsia="Times New Roman"/>
                <w:kern w:val="24"/>
                <w:sz w:val="20"/>
                <w:szCs w:val="20"/>
              </w:rPr>
            </w:pPr>
            <w:r w:rsidRPr="00CA0AE3">
              <w:rPr>
                <w:rFonts w:eastAsia="Times New Roman"/>
                <w:kern w:val="24"/>
                <w:sz w:val="20"/>
                <w:szCs w:val="20"/>
              </w:rPr>
              <w:t>SFY</w:t>
            </w:r>
          </w:p>
          <w:p w:rsidR="00CA2FE3" w:rsidRPr="00CA0AE3" w:rsidRDefault="00CA2FE3" w:rsidP="00D1633A">
            <w:pPr>
              <w:spacing w:after="0" w:line="240" w:lineRule="auto"/>
              <w:jc w:val="center"/>
              <w:rPr>
                <w:rFonts w:eastAsia="Times New Roman"/>
                <w:sz w:val="20"/>
                <w:szCs w:val="20"/>
              </w:rPr>
            </w:pPr>
            <w:r w:rsidRPr="00CA0AE3">
              <w:rPr>
                <w:rFonts w:eastAsia="Times New Roman"/>
                <w:kern w:val="24"/>
                <w:sz w:val="20"/>
                <w:szCs w:val="20"/>
              </w:rPr>
              <w:t>2020</w:t>
            </w:r>
          </w:p>
        </w:tc>
        <w:tc>
          <w:tcPr>
            <w:tcW w:w="1260" w:type="dxa"/>
            <w:shd w:val="clear" w:color="auto" w:fill="C6D9F1" w:themeFill="text2" w:themeFillTint="33"/>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Times New Roman"/>
                <w:kern w:val="24"/>
                <w:sz w:val="20"/>
                <w:szCs w:val="20"/>
              </w:rPr>
            </w:pPr>
            <w:r w:rsidRPr="00CA0AE3">
              <w:rPr>
                <w:rFonts w:eastAsia="Times New Roman"/>
                <w:b/>
                <w:bCs/>
                <w:kern w:val="24"/>
                <w:sz w:val="20"/>
                <w:szCs w:val="20"/>
              </w:rPr>
              <w:t>Year 4</w:t>
            </w:r>
          </w:p>
          <w:p w:rsidR="00CA2FE3" w:rsidRPr="00CA0AE3" w:rsidRDefault="00CA2FE3" w:rsidP="00D1633A">
            <w:pPr>
              <w:spacing w:after="0" w:line="240" w:lineRule="auto"/>
              <w:jc w:val="center"/>
              <w:rPr>
                <w:rFonts w:eastAsia="Times New Roman"/>
                <w:kern w:val="24"/>
                <w:sz w:val="20"/>
                <w:szCs w:val="20"/>
              </w:rPr>
            </w:pPr>
            <w:r w:rsidRPr="00CA0AE3">
              <w:rPr>
                <w:rFonts w:eastAsia="Times New Roman"/>
                <w:kern w:val="24"/>
                <w:sz w:val="20"/>
                <w:szCs w:val="20"/>
              </w:rPr>
              <w:t>SFY</w:t>
            </w:r>
          </w:p>
          <w:p w:rsidR="00CA2FE3" w:rsidRPr="00CA0AE3" w:rsidRDefault="00CA2FE3" w:rsidP="00D1633A">
            <w:pPr>
              <w:spacing w:after="0" w:line="240" w:lineRule="auto"/>
              <w:jc w:val="center"/>
              <w:rPr>
                <w:rFonts w:eastAsia="Times New Roman"/>
                <w:sz w:val="20"/>
                <w:szCs w:val="20"/>
              </w:rPr>
            </w:pPr>
            <w:r w:rsidRPr="00CA0AE3">
              <w:rPr>
                <w:rFonts w:eastAsia="Times New Roman"/>
                <w:kern w:val="24"/>
                <w:sz w:val="20"/>
                <w:szCs w:val="20"/>
              </w:rPr>
              <w:t>2021</w:t>
            </w:r>
          </w:p>
        </w:tc>
        <w:tc>
          <w:tcPr>
            <w:tcW w:w="1260" w:type="dxa"/>
            <w:shd w:val="clear" w:color="auto" w:fill="C6D9F1" w:themeFill="text2" w:themeFillTint="33"/>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Times New Roman"/>
                <w:kern w:val="24"/>
                <w:sz w:val="20"/>
                <w:szCs w:val="20"/>
              </w:rPr>
            </w:pPr>
            <w:r w:rsidRPr="00CA0AE3">
              <w:rPr>
                <w:rFonts w:eastAsia="Times New Roman"/>
                <w:b/>
                <w:bCs/>
                <w:kern w:val="24"/>
                <w:sz w:val="20"/>
                <w:szCs w:val="20"/>
              </w:rPr>
              <w:t>Year 5</w:t>
            </w:r>
          </w:p>
          <w:p w:rsidR="00CA2FE3" w:rsidRPr="00CA0AE3" w:rsidRDefault="00CA2FE3" w:rsidP="00D1633A">
            <w:pPr>
              <w:spacing w:after="0" w:line="240" w:lineRule="auto"/>
              <w:jc w:val="center"/>
              <w:rPr>
                <w:rFonts w:eastAsia="Times New Roman"/>
                <w:kern w:val="24"/>
                <w:sz w:val="20"/>
                <w:szCs w:val="20"/>
              </w:rPr>
            </w:pPr>
            <w:r w:rsidRPr="00CA0AE3">
              <w:rPr>
                <w:rFonts w:eastAsia="Times New Roman"/>
                <w:kern w:val="24"/>
                <w:sz w:val="20"/>
                <w:szCs w:val="20"/>
              </w:rPr>
              <w:t>SFY</w:t>
            </w:r>
          </w:p>
          <w:p w:rsidR="00CA2FE3" w:rsidRPr="00CA0AE3" w:rsidRDefault="00CA2FE3" w:rsidP="00D1633A">
            <w:pPr>
              <w:spacing w:after="0" w:line="240" w:lineRule="auto"/>
              <w:jc w:val="center"/>
              <w:rPr>
                <w:rFonts w:eastAsia="Times New Roman"/>
                <w:sz w:val="20"/>
                <w:szCs w:val="20"/>
              </w:rPr>
            </w:pPr>
            <w:r w:rsidRPr="00CA0AE3">
              <w:rPr>
                <w:rFonts w:eastAsia="Times New Roman"/>
                <w:kern w:val="24"/>
                <w:sz w:val="20"/>
                <w:szCs w:val="20"/>
              </w:rPr>
              <w:t>2022</w:t>
            </w:r>
          </w:p>
        </w:tc>
        <w:tc>
          <w:tcPr>
            <w:tcW w:w="1266" w:type="dxa"/>
            <w:shd w:val="clear" w:color="auto" w:fill="C6D9F1" w:themeFill="text2" w:themeFillTint="33"/>
            <w:vAlign w:val="center"/>
          </w:tcPr>
          <w:p w:rsidR="00CA2FE3" w:rsidRPr="00CA0AE3" w:rsidRDefault="00CA2FE3" w:rsidP="00D1633A">
            <w:pPr>
              <w:spacing w:after="0" w:line="240" w:lineRule="auto"/>
              <w:jc w:val="center"/>
              <w:rPr>
                <w:rFonts w:eastAsia="Times New Roman"/>
                <w:b/>
                <w:bCs/>
                <w:kern w:val="24"/>
                <w:sz w:val="20"/>
                <w:szCs w:val="20"/>
              </w:rPr>
            </w:pPr>
            <w:r w:rsidRPr="00CA0AE3">
              <w:rPr>
                <w:rFonts w:eastAsia="Times New Roman"/>
                <w:b/>
                <w:bCs/>
                <w:kern w:val="24"/>
                <w:sz w:val="20"/>
                <w:szCs w:val="20"/>
              </w:rPr>
              <w:t>Rationale for Improvement Target</w:t>
            </w:r>
          </w:p>
        </w:tc>
      </w:tr>
      <w:tr w:rsidR="00CA2FE3" w:rsidRPr="00CA0AE3" w:rsidTr="003C48F3">
        <w:trPr>
          <w:cantSplit/>
        </w:trPr>
        <w:tc>
          <w:tcPr>
            <w:tcW w:w="358" w:type="dxa"/>
            <w:vAlign w:val="center"/>
          </w:tcPr>
          <w:p w:rsidR="00CA2FE3" w:rsidRPr="00CA0AE3" w:rsidRDefault="00CA2FE3" w:rsidP="00D1633A">
            <w:pPr>
              <w:spacing w:after="0" w:line="240" w:lineRule="auto"/>
              <w:jc w:val="center"/>
              <w:rPr>
                <w:sz w:val="16"/>
                <w:szCs w:val="16"/>
              </w:rPr>
            </w:pPr>
            <w:r w:rsidRPr="00CA0AE3">
              <w:rPr>
                <w:sz w:val="16"/>
                <w:szCs w:val="16"/>
              </w:rPr>
              <w:t>1</w:t>
            </w:r>
          </w:p>
        </w:tc>
        <w:tc>
          <w:tcPr>
            <w:tcW w:w="1529" w:type="dxa"/>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rPr>
                <w:sz w:val="16"/>
                <w:szCs w:val="16"/>
              </w:rPr>
            </w:pPr>
            <w:r w:rsidRPr="00CA0AE3">
              <w:rPr>
                <w:sz w:val="16"/>
                <w:szCs w:val="16"/>
              </w:rPr>
              <w:t>Overall Reduce proportion of Emergency Department Outmigration to Non-Public Hospital System Facilities within specific payer contracts</w:t>
            </w:r>
          </w:p>
        </w:tc>
        <w:tc>
          <w:tcPr>
            <w:tcW w:w="1170" w:type="dxa"/>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sz w:val="16"/>
                <w:szCs w:val="16"/>
              </w:rPr>
            </w:pPr>
            <w:r w:rsidRPr="00CA0AE3">
              <w:rPr>
                <w:sz w:val="16"/>
                <w:szCs w:val="16"/>
              </w:rPr>
              <w:t>Customized Measure: Claims based (units of service)</w:t>
            </w:r>
            <w:r w:rsidRPr="00CA0AE3">
              <w:rPr>
                <w:rStyle w:val="FootnoteReference"/>
                <w:sz w:val="16"/>
                <w:szCs w:val="16"/>
              </w:rPr>
              <w:footnoteReference w:id="109"/>
            </w:r>
          </w:p>
        </w:tc>
        <w:tc>
          <w:tcPr>
            <w:tcW w:w="1260" w:type="dxa"/>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sz w:val="16"/>
                <w:szCs w:val="16"/>
              </w:rPr>
            </w:pPr>
            <w:r w:rsidRPr="00CA0AE3">
              <w:rPr>
                <w:sz w:val="16"/>
                <w:szCs w:val="16"/>
              </w:rPr>
              <w:t>No external benchmark;</w:t>
            </w:r>
          </w:p>
          <w:p w:rsidR="00CA2FE3" w:rsidRPr="00CA0AE3" w:rsidRDefault="00CA2FE3" w:rsidP="00D1633A">
            <w:pPr>
              <w:spacing w:after="0" w:line="240" w:lineRule="auto"/>
              <w:jc w:val="center"/>
              <w:rPr>
                <w:bCs/>
                <w:sz w:val="16"/>
                <w:szCs w:val="16"/>
              </w:rPr>
            </w:pPr>
            <w:r w:rsidRPr="00CA0AE3">
              <w:rPr>
                <w:sz w:val="16"/>
                <w:szCs w:val="16"/>
              </w:rPr>
              <w:t>hospital specific improvement target = 25%</w:t>
            </w:r>
          </w:p>
        </w:tc>
        <w:tc>
          <w:tcPr>
            <w:tcW w:w="1440" w:type="dxa"/>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sz w:val="16"/>
                <w:szCs w:val="16"/>
              </w:rPr>
            </w:pPr>
            <w:r w:rsidRPr="00CA0AE3">
              <w:rPr>
                <w:bCs/>
                <w:sz w:val="16"/>
                <w:szCs w:val="16"/>
              </w:rPr>
              <w:t>Gap to Goal (10%) or attainment at target</w:t>
            </w:r>
          </w:p>
        </w:tc>
        <w:tc>
          <w:tcPr>
            <w:tcW w:w="1170" w:type="dxa"/>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b/>
                <w:sz w:val="16"/>
                <w:szCs w:val="16"/>
              </w:rPr>
            </w:pPr>
            <w:r w:rsidRPr="00CA0AE3">
              <w:rPr>
                <w:b/>
                <w:sz w:val="16"/>
                <w:szCs w:val="16"/>
              </w:rPr>
              <w:t>B</w:t>
            </w:r>
          </w:p>
          <w:p w:rsidR="00CA2FE3" w:rsidRPr="00CA0AE3" w:rsidRDefault="00CA2FE3" w:rsidP="00D1633A">
            <w:pPr>
              <w:spacing w:after="0" w:line="240" w:lineRule="auto"/>
              <w:jc w:val="center"/>
              <w:rPr>
                <w:sz w:val="16"/>
                <w:szCs w:val="16"/>
              </w:rPr>
            </w:pPr>
            <w:r w:rsidRPr="00CA0AE3">
              <w:rPr>
                <w:sz w:val="16"/>
                <w:szCs w:val="16"/>
              </w:rPr>
              <w:t>(CY2016)</w:t>
            </w:r>
          </w:p>
        </w:tc>
        <w:tc>
          <w:tcPr>
            <w:tcW w:w="1260" w:type="dxa"/>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b/>
                <w:sz w:val="16"/>
                <w:szCs w:val="16"/>
              </w:rPr>
            </w:pPr>
            <w:r w:rsidRPr="00CA0AE3">
              <w:rPr>
                <w:b/>
                <w:sz w:val="16"/>
                <w:szCs w:val="16"/>
              </w:rPr>
              <w:t>O</w:t>
            </w:r>
          </w:p>
          <w:p w:rsidR="00CA2FE3" w:rsidRPr="00CA0AE3" w:rsidRDefault="00CA2FE3" w:rsidP="00D1633A">
            <w:pPr>
              <w:spacing w:after="0" w:line="240" w:lineRule="auto"/>
              <w:jc w:val="center"/>
              <w:rPr>
                <w:sz w:val="16"/>
                <w:szCs w:val="16"/>
              </w:rPr>
            </w:pPr>
            <w:r w:rsidRPr="00CA0AE3">
              <w:rPr>
                <w:sz w:val="16"/>
                <w:szCs w:val="16"/>
              </w:rPr>
              <w:t>(CY2018)</w:t>
            </w:r>
          </w:p>
        </w:tc>
        <w:tc>
          <w:tcPr>
            <w:tcW w:w="1260" w:type="dxa"/>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b/>
                <w:sz w:val="16"/>
                <w:szCs w:val="16"/>
              </w:rPr>
            </w:pPr>
            <w:r w:rsidRPr="00CA0AE3">
              <w:rPr>
                <w:b/>
                <w:sz w:val="16"/>
                <w:szCs w:val="16"/>
              </w:rPr>
              <w:t>O</w:t>
            </w:r>
          </w:p>
          <w:p w:rsidR="00CA2FE3" w:rsidRPr="00CA0AE3" w:rsidRDefault="00CA2FE3" w:rsidP="00D1633A">
            <w:pPr>
              <w:spacing w:after="0" w:line="240" w:lineRule="auto"/>
              <w:jc w:val="center"/>
              <w:rPr>
                <w:sz w:val="16"/>
                <w:szCs w:val="16"/>
              </w:rPr>
            </w:pPr>
            <w:r w:rsidRPr="00CA0AE3">
              <w:rPr>
                <w:sz w:val="16"/>
                <w:szCs w:val="16"/>
              </w:rPr>
              <w:t>(CY2019)</w:t>
            </w:r>
          </w:p>
        </w:tc>
        <w:tc>
          <w:tcPr>
            <w:tcW w:w="1260" w:type="dxa"/>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b/>
                <w:sz w:val="16"/>
                <w:szCs w:val="16"/>
              </w:rPr>
            </w:pPr>
            <w:r w:rsidRPr="00CA0AE3">
              <w:rPr>
                <w:b/>
                <w:sz w:val="16"/>
                <w:szCs w:val="16"/>
              </w:rPr>
              <w:t>O</w:t>
            </w:r>
          </w:p>
          <w:p w:rsidR="00CA2FE3" w:rsidRPr="00CA0AE3" w:rsidRDefault="00CA2FE3" w:rsidP="00D1633A">
            <w:pPr>
              <w:spacing w:after="0" w:line="240" w:lineRule="auto"/>
              <w:jc w:val="center"/>
              <w:rPr>
                <w:sz w:val="16"/>
                <w:szCs w:val="16"/>
              </w:rPr>
            </w:pPr>
            <w:r w:rsidRPr="00CA0AE3">
              <w:rPr>
                <w:sz w:val="16"/>
                <w:szCs w:val="16"/>
              </w:rPr>
              <w:t>(CY2020)</w:t>
            </w:r>
          </w:p>
        </w:tc>
        <w:tc>
          <w:tcPr>
            <w:tcW w:w="1260" w:type="dxa"/>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b/>
                <w:sz w:val="16"/>
                <w:szCs w:val="16"/>
              </w:rPr>
            </w:pPr>
            <w:r w:rsidRPr="00CA0AE3">
              <w:rPr>
                <w:b/>
                <w:sz w:val="16"/>
                <w:szCs w:val="16"/>
              </w:rPr>
              <w:t>O</w:t>
            </w:r>
          </w:p>
          <w:p w:rsidR="00CA2FE3" w:rsidRPr="00CA0AE3" w:rsidRDefault="00CA2FE3" w:rsidP="00D1633A">
            <w:pPr>
              <w:spacing w:after="0" w:line="240" w:lineRule="auto"/>
              <w:jc w:val="center"/>
              <w:rPr>
                <w:sz w:val="16"/>
                <w:szCs w:val="16"/>
              </w:rPr>
            </w:pPr>
            <w:r w:rsidRPr="00CA0AE3">
              <w:rPr>
                <w:sz w:val="16"/>
                <w:szCs w:val="16"/>
              </w:rPr>
              <w:t>(CY2021)</w:t>
            </w:r>
          </w:p>
        </w:tc>
        <w:tc>
          <w:tcPr>
            <w:tcW w:w="1266" w:type="dxa"/>
            <w:vAlign w:val="center"/>
          </w:tcPr>
          <w:p w:rsidR="00CA2FE3" w:rsidRPr="00CA0AE3" w:rsidRDefault="00CA2FE3" w:rsidP="00D1633A">
            <w:pPr>
              <w:spacing w:after="0" w:line="240" w:lineRule="auto"/>
              <w:rPr>
                <w:rFonts w:eastAsia="Times New Roman"/>
                <w:sz w:val="16"/>
                <w:szCs w:val="16"/>
              </w:rPr>
            </w:pPr>
            <w:r w:rsidRPr="00CA0AE3">
              <w:rPr>
                <w:rFonts w:eastAsia="Times New Roman"/>
                <w:sz w:val="16"/>
                <w:szCs w:val="16"/>
              </w:rPr>
              <w:t>Target of 25% informed by out-migration improvement opportunity</w:t>
            </w:r>
          </w:p>
        </w:tc>
      </w:tr>
      <w:tr w:rsidR="00CA2FE3" w:rsidRPr="00CA0AE3" w:rsidTr="003C48F3">
        <w:trPr>
          <w:cantSplit/>
        </w:trPr>
        <w:tc>
          <w:tcPr>
            <w:tcW w:w="358" w:type="dxa"/>
            <w:vAlign w:val="center"/>
          </w:tcPr>
          <w:p w:rsidR="00CA2FE3" w:rsidRPr="00CA0AE3" w:rsidRDefault="00CA2FE3" w:rsidP="00D1633A">
            <w:pPr>
              <w:spacing w:after="0" w:line="240" w:lineRule="auto"/>
              <w:jc w:val="center"/>
              <w:rPr>
                <w:sz w:val="16"/>
                <w:szCs w:val="16"/>
              </w:rPr>
            </w:pPr>
            <w:r w:rsidRPr="00CA0AE3">
              <w:rPr>
                <w:sz w:val="16"/>
                <w:szCs w:val="16"/>
              </w:rPr>
              <w:t>2</w:t>
            </w:r>
          </w:p>
        </w:tc>
        <w:tc>
          <w:tcPr>
            <w:tcW w:w="1529" w:type="dxa"/>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rPr>
                <w:sz w:val="16"/>
                <w:szCs w:val="16"/>
              </w:rPr>
            </w:pPr>
            <w:r w:rsidRPr="00CA0AE3">
              <w:rPr>
                <w:sz w:val="16"/>
                <w:szCs w:val="16"/>
              </w:rPr>
              <w:t>Overall Reduce proportion of Inpatient Outmigration to –Public Hospital System Facilities within specific payer contracts</w:t>
            </w:r>
          </w:p>
        </w:tc>
        <w:tc>
          <w:tcPr>
            <w:tcW w:w="1170" w:type="dxa"/>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sz w:val="16"/>
                <w:szCs w:val="16"/>
              </w:rPr>
            </w:pPr>
            <w:r w:rsidRPr="00CA0AE3">
              <w:rPr>
                <w:sz w:val="16"/>
                <w:szCs w:val="16"/>
              </w:rPr>
              <w:t>Customized Measure: Claims based</w:t>
            </w:r>
          </w:p>
          <w:p w:rsidR="00CA2FE3" w:rsidRPr="00CA0AE3" w:rsidRDefault="00CA2FE3" w:rsidP="00D1633A">
            <w:pPr>
              <w:spacing w:after="0" w:line="240" w:lineRule="auto"/>
              <w:jc w:val="center"/>
              <w:rPr>
                <w:sz w:val="16"/>
                <w:szCs w:val="16"/>
              </w:rPr>
            </w:pPr>
            <w:r w:rsidRPr="00CA0AE3">
              <w:rPr>
                <w:sz w:val="16"/>
                <w:szCs w:val="16"/>
              </w:rPr>
              <w:t>(units of service)</w:t>
            </w:r>
            <w:r w:rsidRPr="00CA0AE3">
              <w:rPr>
                <w:sz w:val="16"/>
                <w:szCs w:val="16"/>
                <w:vertAlign w:val="superscript"/>
              </w:rPr>
              <w:t>5</w:t>
            </w:r>
          </w:p>
        </w:tc>
        <w:tc>
          <w:tcPr>
            <w:tcW w:w="1260" w:type="dxa"/>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sz w:val="16"/>
                <w:szCs w:val="16"/>
              </w:rPr>
            </w:pPr>
            <w:r w:rsidRPr="00CA0AE3">
              <w:rPr>
                <w:sz w:val="16"/>
                <w:szCs w:val="16"/>
              </w:rPr>
              <w:t>No external benchmark;</w:t>
            </w:r>
          </w:p>
          <w:p w:rsidR="00CA2FE3" w:rsidRPr="00CA0AE3" w:rsidRDefault="00CA2FE3" w:rsidP="00D1633A">
            <w:pPr>
              <w:spacing w:after="0" w:line="240" w:lineRule="auto"/>
              <w:jc w:val="center"/>
              <w:rPr>
                <w:bCs/>
                <w:sz w:val="16"/>
                <w:szCs w:val="16"/>
              </w:rPr>
            </w:pPr>
            <w:r w:rsidRPr="00CA0AE3">
              <w:rPr>
                <w:sz w:val="16"/>
                <w:szCs w:val="16"/>
              </w:rPr>
              <w:t>hospital specific improvement target = 50%</w:t>
            </w:r>
          </w:p>
        </w:tc>
        <w:tc>
          <w:tcPr>
            <w:tcW w:w="1440" w:type="dxa"/>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sz w:val="16"/>
                <w:szCs w:val="16"/>
              </w:rPr>
            </w:pPr>
            <w:r w:rsidRPr="00CA0AE3">
              <w:rPr>
                <w:bCs/>
                <w:sz w:val="16"/>
                <w:szCs w:val="16"/>
              </w:rPr>
              <w:t>Gap to Goal (10%) or attainment at target</w:t>
            </w:r>
          </w:p>
        </w:tc>
        <w:tc>
          <w:tcPr>
            <w:tcW w:w="1170" w:type="dxa"/>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b/>
                <w:sz w:val="16"/>
                <w:szCs w:val="16"/>
              </w:rPr>
            </w:pPr>
            <w:r w:rsidRPr="00CA0AE3">
              <w:rPr>
                <w:b/>
                <w:sz w:val="16"/>
                <w:szCs w:val="16"/>
              </w:rPr>
              <w:t>B</w:t>
            </w:r>
          </w:p>
          <w:p w:rsidR="00CA2FE3" w:rsidRPr="00CA0AE3" w:rsidRDefault="00CA2FE3" w:rsidP="00D1633A">
            <w:pPr>
              <w:spacing w:after="0" w:line="240" w:lineRule="auto"/>
              <w:jc w:val="center"/>
              <w:rPr>
                <w:b/>
                <w:sz w:val="16"/>
                <w:szCs w:val="16"/>
              </w:rPr>
            </w:pPr>
            <w:r w:rsidRPr="00CA0AE3">
              <w:rPr>
                <w:sz w:val="16"/>
                <w:szCs w:val="16"/>
              </w:rPr>
              <w:t>(CY2016)</w:t>
            </w:r>
          </w:p>
        </w:tc>
        <w:tc>
          <w:tcPr>
            <w:tcW w:w="1260" w:type="dxa"/>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b/>
                <w:sz w:val="16"/>
                <w:szCs w:val="16"/>
              </w:rPr>
            </w:pPr>
            <w:r w:rsidRPr="00CA0AE3">
              <w:rPr>
                <w:b/>
                <w:sz w:val="16"/>
                <w:szCs w:val="16"/>
              </w:rPr>
              <w:t>O</w:t>
            </w:r>
          </w:p>
          <w:p w:rsidR="00CA2FE3" w:rsidRPr="00CA0AE3" w:rsidRDefault="00CA2FE3" w:rsidP="00D1633A">
            <w:pPr>
              <w:spacing w:after="0" w:line="240" w:lineRule="auto"/>
              <w:jc w:val="center"/>
              <w:rPr>
                <w:b/>
                <w:sz w:val="16"/>
                <w:szCs w:val="16"/>
              </w:rPr>
            </w:pPr>
            <w:r w:rsidRPr="00CA0AE3">
              <w:rPr>
                <w:sz w:val="16"/>
                <w:szCs w:val="16"/>
              </w:rPr>
              <w:t>(CY2018)</w:t>
            </w:r>
          </w:p>
        </w:tc>
        <w:tc>
          <w:tcPr>
            <w:tcW w:w="1260" w:type="dxa"/>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b/>
                <w:sz w:val="16"/>
                <w:szCs w:val="16"/>
              </w:rPr>
            </w:pPr>
            <w:r w:rsidRPr="00CA0AE3">
              <w:rPr>
                <w:b/>
                <w:sz w:val="16"/>
                <w:szCs w:val="16"/>
              </w:rPr>
              <w:t>O</w:t>
            </w:r>
          </w:p>
          <w:p w:rsidR="00CA2FE3" w:rsidRPr="00CA0AE3" w:rsidRDefault="00CA2FE3" w:rsidP="00D1633A">
            <w:pPr>
              <w:spacing w:after="0" w:line="240" w:lineRule="auto"/>
              <w:jc w:val="center"/>
              <w:rPr>
                <w:b/>
                <w:sz w:val="16"/>
                <w:szCs w:val="16"/>
              </w:rPr>
            </w:pPr>
            <w:r w:rsidRPr="00CA0AE3">
              <w:rPr>
                <w:sz w:val="16"/>
                <w:szCs w:val="16"/>
              </w:rPr>
              <w:t>(CY2019)</w:t>
            </w:r>
          </w:p>
        </w:tc>
        <w:tc>
          <w:tcPr>
            <w:tcW w:w="1260" w:type="dxa"/>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b/>
                <w:sz w:val="16"/>
                <w:szCs w:val="16"/>
              </w:rPr>
            </w:pPr>
            <w:r w:rsidRPr="00CA0AE3">
              <w:rPr>
                <w:b/>
                <w:sz w:val="16"/>
                <w:szCs w:val="16"/>
              </w:rPr>
              <w:t>O</w:t>
            </w:r>
          </w:p>
          <w:p w:rsidR="00CA2FE3" w:rsidRPr="00CA0AE3" w:rsidRDefault="00CA2FE3" w:rsidP="00D1633A">
            <w:pPr>
              <w:spacing w:after="0" w:line="240" w:lineRule="auto"/>
              <w:jc w:val="center"/>
              <w:rPr>
                <w:b/>
                <w:sz w:val="16"/>
                <w:szCs w:val="16"/>
              </w:rPr>
            </w:pPr>
            <w:r w:rsidRPr="00CA0AE3">
              <w:rPr>
                <w:sz w:val="16"/>
                <w:szCs w:val="16"/>
              </w:rPr>
              <w:t>(CY2020)</w:t>
            </w:r>
          </w:p>
        </w:tc>
        <w:tc>
          <w:tcPr>
            <w:tcW w:w="1260" w:type="dxa"/>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b/>
                <w:sz w:val="16"/>
                <w:szCs w:val="16"/>
              </w:rPr>
            </w:pPr>
            <w:r w:rsidRPr="00CA0AE3">
              <w:rPr>
                <w:b/>
                <w:sz w:val="16"/>
                <w:szCs w:val="16"/>
              </w:rPr>
              <w:t>O</w:t>
            </w:r>
          </w:p>
          <w:p w:rsidR="00CA2FE3" w:rsidRPr="00CA0AE3" w:rsidRDefault="00CA2FE3" w:rsidP="00D1633A">
            <w:pPr>
              <w:spacing w:after="0" w:line="240" w:lineRule="auto"/>
              <w:jc w:val="center"/>
              <w:rPr>
                <w:b/>
                <w:sz w:val="16"/>
                <w:szCs w:val="16"/>
              </w:rPr>
            </w:pPr>
            <w:r w:rsidRPr="00CA0AE3">
              <w:rPr>
                <w:sz w:val="16"/>
                <w:szCs w:val="16"/>
              </w:rPr>
              <w:t>(CY2021)</w:t>
            </w:r>
          </w:p>
        </w:tc>
        <w:tc>
          <w:tcPr>
            <w:tcW w:w="1266" w:type="dxa"/>
            <w:vAlign w:val="center"/>
          </w:tcPr>
          <w:p w:rsidR="00CA2FE3" w:rsidRPr="00CA0AE3" w:rsidRDefault="00CA2FE3" w:rsidP="00D1633A">
            <w:pPr>
              <w:spacing w:after="0" w:line="240" w:lineRule="auto"/>
              <w:rPr>
                <w:rFonts w:eastAsia="Times New Roman"/>
                <w:sz w:val="16"/>
                <w:szCs w:val="16"/>
              </w:rPr>
            </w:pPr>
            <w:r w:rsidRPr="00CA0AE3">
              <w:rPr>
                <w:rFonts w:eastAsia="Times New Roman"/>
                <w:sz w:val="16"/>
                <w:szCs w:val="16"/>
              </w:rPr>
              <w:t>Target of 50% informed by out-migration improvement opportunity</w:t>
            </w:r>
          </w:p>
        </w:tc>
      </w:tr>
      <w:tr w:rsidR="00CA2FE3" w:rsidRPr="00CA0AE3" w:rsidTr="003C48F3">
        <w:trPr>
          <w:cantSplit/>
        </w:trPr>
        <w:tc>
          <w:tcPr>
            <w:tcW w:w="358" w:type="dxa"/>
            <w:vAlign w:val="center"/>
          </w:tcPr>
          <w:p w:rsidR="00CA2FE3" w:rsidRPr="00CA0AE3" w:rsidRDefault="00CA2FE3" w:rsidP="00D1633A">
            <w:pPr>
              <w:spacing w:after="0" w:line="240" w:lineRule="auto"/>
              <w:jc w:val="center"/>
              <w:rPr>
                <w:sz w:val="16"/>
                <w:szCs w:val="16"/>
              </w:rPr>
            </w:pPr>
            <w:r w:rsidRPr="00CA0AE3">
              <w:rPr>
                <w:sz w:val="16"/>
                <w:szCs w:val="16"/>
              </w:rPr>
              <w:t>3</w:t>
            </w:r>
          </w:p>
        </w:tc>
        <w:tc>
          <w:tcPr>
            <w:tcW w:w="1529" w:type="dxa"/>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rPr>
                <w:sz w:val="16"/>
                <w:szCs w:val="16"/>
              </w:rPr>
            </w:pPr>
            <w:r w:rsidRPr="00CA0AE3">
              <w:rPr>
                <w:sz w:val="16"/>
                <w:szCs w:val="16"/>
              </w:rPr>
              <w:t>Overall Reduce proportion of out-of-network Medical &amp; Surgical specialty referrals (outpatient)</w:t>
            </w:r>
          </w:p>
        </w:tc>
        <w:tc>
          <w:tcPr>
            <w:tcW w:w="1170" w:type="dxa"/>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sz w:val="16"/>
                <w:szCs w:val="16"/>
              </w:rPr>
            </w:pPr>
            <w:r w:rsidRPr="00CA0AE3">
              <w:rPr>
                <w:sz w:val="16"/>
                <w:szCs w:val="16"/>
              </w:rPr>
              <w:t>Customized Measure</w:t>
            </w:r>
          </w:p>
        </w:tc>
        <w:tc>
          <w:tcPr>
            <w:tcW w:w="1260" w:type="dxa"/>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sz w:val="16"/>
                <w:szCs w:val="16"/>
              </w:rPr>
            </w:pPr>
            <w:r w:rsidRPr="00CA0AE3">
              <w:rPr>
                <w:sz w:val="16"/>
                <w:szCs w:val="16"/>
              </w:rPr>
              <w:t>No external benchmark;</w:t>
            </w:r>
          </w:p>
          <w:p w:rsidR="00CA2FE3" w:rsidRPr="00CA0AE3" w:rsidRDefault="00CA2FE3" w:rsidP="00D1633A">
            <w:pPr>
              <w:spacing w:after="0" w:line="240" w:lineRule="auto"/>
              <w:jc w:val="center"/>
              <w:rPr>
                <w:bCs/>
                <w:sz w:val="16"/>
                <w:szCs w:val="16"/>
              </w:rPr>
            </w:pPr>
            <w:r w:rsidRPr="00CA0AE3">
              <w:rPr>
                <w:sz w:val="16"/>
                <w:szCs w:val="16"/>
              </w:rPr>
              <w:t>hospital specific improvement target = 10%</w:t>
            </w:r>
          </w:p>
        </w:tc>
        <w:tc>
          <w:tcPr>
            <w:tcW w:w="1440" w:type="dxa"/>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sz w:val="16"/>
                <w:szCs w:val="16"/>
              </w:rPr>
            </w:pPr>
            <w:r w:rsidRPr="00CA0AE3">
              <w:rPr>
                <w:bCs/>
                <w:sz w:val="16"/>
                <w:szCs w:val="16"/>
              </w:rPr>
              <w:t>Gap to Goal (10%) or attainment at target</w:t>
            </w:r>
          </w:p>
        </w:tc>
        <w:tc>
          <w:tcPr>
            <w:tcW w:w="1170" w:type="dxa"/>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b/>
                <w:sz w:val="16"/>
                <w:szCs w:val="16"/>
              </w:rPr>
            </w:pPr>
            <w:r w:rsidRPr="00CA0AE3">
              <w:rPr>
                <w:b/>
                <w:sz w:val="16"/>
                <w:szCs w:val="16"/>
              </w:rPr>
              <w:t>O</w:t>
            </w:r>
          </w:p>
          <w:p w:rsidR="00CA2FE3" w:rsidRPr="00CA0AE3" w:rsidRDefault="00CA2FE3" w:rsidP="00D1633A">
            <w:pPr>
              <w:spacing w:after="0" w:line="240" w:lineRule="auto"/>
              <w:jc w:val="center"/>
              <w:rPr>
                <w:sz w:val="16"/>
                <w:szCs w:val="16"/>
              </w:rPr>
            </w:pPr>
            <w:r w:rsidRPr="00CA0AE3">
              <w:rPr>
                <w:sz w:val="16"/>
                <w:szCs w:val="16"/>
              </w:rPr>
              <w:t>(4/1/17 -3/31/18)</w:t>
            </w:r>
          </w:p>
        </w:tc>
        <w:tc>
          <w:tcPr>
            <w:tcW w:w="1260" w:type="dxa"/>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b/>
                <w:sz w:val="16"/>
                <w:szCs w:val="16"/>
              </w:rPr>
            </w:pPr>
            <w:r w:rsidRPr="00CA0AE3">
              <w:rPr>
                <w:b/>
                <w:sz w:val="16"/>
                <w:szCs w:val="16"/>
              </w:rPr>
              <w:t>O</w:t>
            </w:r>
          </w:p>
          <w:p w:rsidR="00CA2FE3" w:rsidRPr="00CA0AE3" w:rsidRDefault="00CA2FE3" w:rsidP="00D1633A">
            <w:pPr>
              <w:spacing w:after="0" w:line="240" w:lineRule="auto"/>
              <w:jc w:val="center"/>
              <w:rPr>
                <w:sz w:val="16"/>
                <w:szCs w:val="16"/>
              </w:rPr>
            </w:pPr>
            <w:r w:rsidRPr="00CA0AE3">
              <w:rPr>
                <w:sz w:val="16"/>
                <w:szCs w:val="16"/>
              </w:rPr>
              <w:t>(4/1/18 -3/31/19)</w:t>
            </w:r>
          </w:p>
        </w:tc>
        <w:tc>
          <w:tcPr>
            <w:tcW w:w="1260" w:type="dxa"/>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b/>
                <w:sz w:val="16"/>
                <w:szCs w:val="16"/>
              </w:rPr>
            </w:pPr>
            <w:r w:rsidRPr="00CA0AE3">
              <w:rPr>
                <w:b/>
                <w:sz w:val="16"/>
                <w:szCs w:val="16"/>
              </w:rPr>
              <w:t>O</w:t>
            </w:r>
          </w:p>
          <w:p w:rsidR="00CA2FE3" w:rsidRPr="00CA0AE3" w:rsidRDefault="00CA2FE3" w:rsidP="00D1633A">
            <w:pPr>
              <w:spacing w:after="0" w:line="240" w:lineRule="auto"/>
              <w:jc w:val="center"/>
              <w:rPr>
                <w:sz w:val="16"/>
                <w:szCs w:val="16"/>
              </w:rPr>
            </w:pPr>
            <w:r w:rsidRPr="00CA0AE3">
              <w:rPr>
                <w:sz w:val="16"/>
                <w:szCs w:val="16"/>
              </w:rPr>
              <w:t>(4/1/19 -3/31/20)</w:t>
            </w:r>
          </w:p>
        </w:tc>
        <w:tc>
          <w:tcPr>
            <w:tcW w:w="1260" w:type="dxa"/>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b/>
                <w:sz w:val="16"/>
                <w:szCs w:val="16"/>
              </w:rPr>
            </w:pPr>
            <w:r w:rsidRPr="00CA0AE3">
              <w:rPr>
                <w:b/>
                <w:sz w:val="16"/>
                <w:szCs w:val="16"/>
              </w:rPr>
              <w:t>O</w:t>
            </w:r>
          </w:p>
          <w:p w:rsidR="00CA2FE3" w:rsidRPr="00CA0AE3" w:rsidRDefault="00CA2FE3" w:rsidP="00D1633A">
            <w:pPr>
              <w:spacing w:after="0" w:line="240" w:lineRule="auto"/>
              <w:jc w:val="center"/>
              <w:rPr>
                <w:sz w:val="16"/>
                <w:szCs w:val="16"/>
              </w:rPr>
            </w:pPr>
            <w:r w:rsidRPr="00CA0AE3">
              <w:rPr>
                <w:sz w:val="16"/>
                <w:szCs w:val="16"/>
              </w:rPr>
              <w:t>(4/1/20 – 3/31/21)</w:t>
            </w:r>
          </w:p>
        </w:tc>
        <w:tc>
          <w:tcPr>
            <w:tcW w:w="1260" w:type="dxa"/>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b/>
                <w:sz w:val="16"/>
                <w:szCs w:val="16"/>
              </w:rPr>
            </w:pPr>
            <w:r w:rsidRPr="00CA0AE3">
              <w:rPr>
                <w:b/>
                <w:sz w:val="16"/>
                <w:szCs w:val="16"/>
              </w:rPr>
              <w:t>O</w:t>
            </w:r>
          </w:p>
          <w:p w:rsidR="00CA2FE3" w:rsidRPr="00CA0AE3" w:rsidRDefault="00CA2FE3" w:rsidP="00D1633A">
            <w:pPr>
              <w:spacing w:after="0" w:line="240" w:lineRule="auto"/>
              <w:jc w:val="center"/>
              <w:rPr>
                <w:sz w:val="16"/>
                <w:szCs w:val="16"/>
              </w:rPr>
            </w:pPr>
            <w:r w:rsidRPr="00CA0AE3">
              <w:rPr>
                <w:sz w:val="16"/>
                <w:szCs w:val="16"/>
              </w:rPr>
              <w:t>(4/1/21 - 3/31/22)</w:t>
            </w:r>
          </w:p>
        </w:tc>
        <w:tc>
          <w:tcPr>
            <w:tcW w:w="1266" w:type="dxa"/>
            <w:vAlign w:val="center"/>
          </w:tcPr>
          <w:p w:rsidR="00CA2FE3" w:rsidRPr="00CA0AE3" w:rsidRDefault="00CA2FE3" w:rsidP="00D1633A">
            <w:pPr>
              <w:spacing w:after="0" w:line="240" w:lineRule="auto"/>
              <w:rPr>
                <w:rFonts w:eastAsia="Times New Roman"/>
                <w:sz w:val="16"/>
                <w:szCs w:val="16"/>
              </w:rPr>
            </w:pPr>
            <w:r w:rsidRPr="00CA0AE3">
              <w:rPr>
                <w:rFonts w:eastAsia="Times New Roman"/>
                <w:sz w:val="16"/>
                <w:szCs w:val="16"/>
              </w:rPr>
              <w:t>Target of 10% informed by out-of-network referral improvement opportunity</w:t>
            </w:r>
          </w:p>
        </w:tc>
      </w:tr>
      <w:tr w:rsidR="00CA2FE3" w:rsidRPr="00CA0AE3" w:rsidTr="003C48F3">
        <w:trPr>
          <w:cantSplit/>
          <w:trHeight w:val="1035"/>
        </w:trPr>
        <w:tc>
          <w:tcPr>
            <w:tcW w:w="358" w:type="dxa"/>
            <w:vMerge w:val="restart"/>
            <w:vAlign w:val="center"/>
          </w:tcPr>
          <w:p w:rsidR="00CA2FE3" w:rsidRPr="00CA0AE3" w:rsidRDefault="00CA2FE3" w:rsidP="00D1633A">
            <w:pPr>
              <w:spacing w:after="0" w:line="240" w:lineRule="auto"/>
              <w:jc w:val="center"/>
              <w:rPr>
                <w:sz w:val="16"/>
                <w:szCs w:val="16"/>
              </w:rPr>
            </w:pPr>
            <w:r w:rsidRPr="00CA0AE3">
              <w:rPr>
                <w:sz w:val="16"/>
                <w:szCs w:val="16"/>
              </w:rPr>
              <w:t>4</w:t>
            </w:r>
          </w:p>
        </w:tc>
        <w:tc>
          <w:tcPr>
            <w:tcW w:w="1529" w:type="dxa"/>
            <w:vMerge w:val="restart"/>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rPr>
                <w:sz w:val="16"/>
                <w:szCs w:val="16"/>
              </w:rPr>
            </w:pPr>
            <w:r w:rsidRPr="00CA0AE3">
              <w:rPr>
                <w:sz w:val="16"/>
                <w:szCs w:val="16"/>
              </w:rPr>
              <w:t>Selected Public Hospital Primary Care Practice(s) Initiative: Primary care reduce proportion of out-of-network Medical &amp; Surgical specialty referrals (outpatient) referrals</w:t>
            </w:r>
          </w:p>
        </w:tc>
        <w:tc>
          <w:tcPr>
            <w:tcW w:w="1170" w:type="dxa"/>
            <w:vMerge w:val="restart"/>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sz w:val="16"/>
                <w:szCs w:val="16"/>
              </w:rPr>
            </w:pPr>
            <w:r w:rsidRPr="00CA0AE3">
              <w:rPr>
                <w:sz w:val="16"/>
                <w:szCs w:val="16"/>
              </w:rPr>
              <w:t>Customized Measure</w:t>
            </w:r>
          </w:p>
        </w:tc>
        <w:tc>
          <w:tcPr>
            <w:tcW w:w="1260" w:type="dxa"/>
            <w:vMerge w:val="restart"/>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sz w:val="16"/>
                <w:szCs w:val="16"/>
              </w:rPr>
            </w:pPr>
            <w:r w:rsidRPr="00CA0AE3">
              <w:rPr>
                <w:sz w:val="16"/>
                <w:szCs w:val="16"/>
              </w:rPr>
              <w:t>No external benchmark;</w:t>
            </w:r>
          </w:p>
          <w:p w:rsidR="00CA2FE3" w:rsidRPr="00CA0AE3" w:rsidRDefault="00CA2FE3" w:rsidP="00D1633A">
            <w:pPr>
              <w:spacing w:after="0" w:line="240" w:lineRule="auto"/>
              <w:jc w:val="center"/>
              <w:rPr>
                <w:b/>
                <w:sz w:val="16"/>
                <w:szCs w:val="16"/>
              </w:rPr>
            </w:pPr>
            <w:r w:rsidRPr="00CA0AE3">
              <w:rPr>
                <w:sz w:val="16"/>
                <w:szCs w:val="16"/>
              </w:rPr>
              <w:t>hospital specific improvement target = 10%</w:t>
            </w:r>
          </w:p>
        </w:tc>
        <w:tc>
          <w:tcPr>
            <w:tcW w:w="1440" w:type="dxa"/>
            <w:vMerge w:val="restart"/>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bCs/>
                <w:sz w:val="16"/>
                <w:szCs w:val="16"/>
              </w:rPr>
            </w:pPr>
            <w:r w:rsidRPr="00CA0AE3">
              <w:rPr>
                <w:bCs/>
                <w:sz w:val="16"/>
                <w:szCs w:val="16"/>
              </w:rPr>
              <w:t>Gap to Goal (10%) or attainment at target</w:t>
            </w:r>
          </w:p>
        </w:tc>
        <w:tc>
          <w:tcPr>
            <w:tcW w:w="1170" w:type="dxa"/>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b/>
                <w:sz w:val="16"/>
                <w:szCs w:val="16"/>
              </w:rPr>
            </w:pPr>
            <w:r w:rsidRPr="00CA0AE3">
              <w:rPr>
                <w:b/>
                <w:sz w:val="16"/>
                <w:szCs w:val="16"/>
              </w:rPr>
              <w:t>B</w:t>
            </w:r>
          </w:p>
          <w:p w:rsidR="00CA2FE3" w:rsidRPr="00CA0AE3" w:rsidRDefault="00CA2FE3" w:rsidP="00D1633A">
            <w:pPr>
              <w:spacing w:after="0" w:line="240" w:lineRule="auto"/>
              <w:jc w:val="center"/>
              <w:rPr>
                <w:sz w:val="16"/>
                <w:szCs w:val="16"/>
              </w:rPr>
            </w:pPr>
            <w:r w:rsidRPr="00CA0AE3">
              <w:rPr>
                <w:sz w:val="16"/>
                <w:szCs w:val="16"/>
              </w:rPr>
              <w:t>(4/1/17 -3/31/18)</w:t>
            </w:r>
          </w:p>
        </w:tc>
        <w:tc>
          <w:tcPr>
            <w:tcW w:w="1260" w:type="dxa"/>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b/>
                <w:sz w:val="16"/>
                <w:szCs w:val="16"/>
              </w:rPr>
            </w:pPr>
            <w:r w:rsidRPr="00CA0AE3">
              <w:rPr>
                <w:b/>
                <w:sz w:val="16"/>
                <w:szCs w:val="16"/>
              </w:rPr>
              <w:t>O</w:t>
            </w:r>
          </w:p>
          <w:p w:rsidR="00CA2FE3" w:rsidRPr="00CA0AE3" w:rsidRDefault="00CA2FE3" w:rsidP="00D1633A">
            <w:pPr>
              <w:spacing w:after="0" w:line="240" w:lineRule="auto"/>
              <w:jc w:val="center"/>
              <w:rPr>
                <w:sz w:val="16"/>
                <w:szCs w:val="16"/>
              </w:rPr>
            </w:pPr>
            <w:r w:rsidRPr="00CA0AE3">
              <w:rPr>
                <w:sz w:val="16"/>
                <w:szCs w:val="16"/>
              </w:rPr>
              <w:t>(4/1/18 -3/31/19)</w:t>
            </w:r>
          </w:p>
        </w:tc>
        <w:tc>
          <w:tcPr>
            <w:tcW w:w="1260" w:type="dxa"/>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b/>
                <w:sz w:val="16"/>
                <w:szCs w:val="16"/>
              </w:rPr>
            </w:pPr>
            <w:r w:rsidRPr="00CA0AE3">
              <w:rPr>
                <w:b/>
                <w:sz w:val="16"/>
                <w:szCs w:val="16"/>
              </w:rPr>
              <w:t>O</w:t>
            </w:r>
          </w:p>
          <w:p w:rsidR="00CA2FE3" w:rsidRPr="00CA0AE3" w:rsidRDefault="00CA2FE3" w:rsidP="00D1633A">
            <w:pPr>
              <w:spacing w:after="0" w:line="240" w:lineRule="auto"/>
              <w:jc w:val="center"/>
              <w:rPr>
                <w:sz w:val="16"/>
                <w:szCs w:val="16"/>
              </w:rPr>
            </w:pPr>
            <w:r w:rsidRPr="00CA0AE3">
              <w:rPr>
                <w:sz w:val="16"/>
                <w:szCs w:val="16"/>
              </w:rPr>
              <w:t>(4/1/19 -3/31/20)</w:t>
            </w:r>
          </w:p>
          <w:p w:rsidR="00CA2FE3" w:rsidRPr="00CA0AE3" w:rsidRDefault="00CA2FE3" w:rsidP="00D1633A">
            <w:pPr>
              <w:spacing w:after="0" w:line="240" w:lineRule="auto"/>
              <w:jc w:val="center"/>
              <w:rPr>
                <w:b/>
                <w:sz w:val="16"/>
                <w:szCs w:val="16"/>
              </w:rPr>
            </w:pPr>
            <w:r w:rsidRPr="00CA0AE3">
              <w:rPr>
                <w:sz w:val="16"/>
                <w:szCs w:val="16"/>
              </w:rPr>
              <w:t>Initial Practice (s)</w:t>
            </w:r>
          </w:p>
        </w:tc>
        <w:tc>
          <w:tcPr>
            <w:tcW w:w="1260" w:type="dxa"/>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b/>
                <w:sz w:val="16"/>
                <w:szCs w:val="16"/>
              </w:rPr>
            </w:pPr>
            <w:r w:rsidRPr="00CA0AE3">
              <w:rPr>
                <w:b/>
                <w:sz w:val="16"/>
                <w:szCs w:val="16"/>
              </w:rPr>
              <w:t>O</w:t>
            </w:r>
          </w:p>
          <w:p w:rsidR="00CA2FE3" w:rsidRPr="00CA0AE3" w:rsidRDefault="00CA2FE3" w:rsidP="00D1633A">
            <w:pPr>
              <w:spacing w:after="0" w:line="240" w:lineRule="auto"/>
              <w:jc w:val="center"/>
              <w:rPr>
                <w:sz w:val="16"/>
                <w:szCs w:val="16"/>
              </w:rPr>
            </w:pPr>
            <w:r w:rsidRPr="00CA0AE3">
              <w:rPr>
                <w:sz w:val="16"/>
                <w:szCs w:val="16"/>
              </w:rPr>
              <w:t>(4/1/20 – 3/31/21)</w:t>
            </w:r>
          </w:p>
        </w:tc>
        <w:tc>
          <w:tcPr>
            <w:tcW w:w="1260" w:type="dxa"/>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b/>
                <w:sz w:val="16"/>
                <w:szCs w:val="16"/>
              </w:rPr>
            </w:pPr>
            <w:r w:rsidRPr="00CA0AE3">
              <w:rPr>
                <w:b/>
                <w:sz w:val="16"/>
                <w:szCs w:val="16"/>
              </w:rPr>
              <w:t>O</w:t>
            </w:r>
          </w:p>
          <w:p w:rsidR="00CA2FE3" w:rsidRPr="00CA0AE3" w:rsidRDefault="00CA2FE3" w:rsidP="00D1633A">
            <w:pPr>
              <w:spacing w:after="0" w:line="240" w:lineRule="auto"/>
              <w:jc w:val="center"/>
              <w:rPr>
                <w:sz w:val="16"/>
                <w:szCs w:val="16"/>
              </w:rPr>
            </w:pPr>
            <w:r w:rsidRPr="00CA0AE3">
              <w:rPr>
                <w:sz w:val="16"/>
                <w:szCs w:val="16"/>
              </w:rPr>
              <w:t>(4/1/21 - 3/31/22)</w:t>
            </w:r>
          </w:p>
        </w:tc>
        <w:tc>
          <w:tcPr>
            <w:tcW w:w="1266" w:type="dxa"/>
            <w:vMerge w:val="restart"/>
            <w:vAlign w:val="center"/>
          </w:tcPr>
          <w:p w:rsidR="00CA2FE3" w:rsidRPr="00CA0AE3" w:rsidRDefault="00CA2FE3" w:rsidP="00D1633A">
            <w:pPr>
              <w:spacing w:after="0" w:line="240" w:lineRule="auto"/>
              <w:rPr>
                <w:rFonts w:eastAsia="Times New Roman"/>
                <w:sz w:val="16"/>
                <w:szCs w:val="16"/>
              </w:rPr>
            </w:pPr>
            <w:r w:rsidRPr="00CA0AE3">
              <w:rPr>
                <w:rFonts w:eastAsia="Times New Roman"/>
                <w:sz w:val="16"/>
                <w:szCs w:val="16"/>
              </w:rPr>
              <w:t>Target of 10% informed by out-of-network referral improvement opportunity</w:t>
            </w:r>
          </w:p>
        </w:tc>
      </w:tr>
      <w:tr w:rsidR="00CA2FE3" w:rsidRPr="00CA0AE3" w:rsidTr="003C48F3">
        <w:trPr>
          <w:cantSplit/>
          <w:trHeight w:val="1035"/>
        </w:trPr>
        <w:tc>
          <w:tcPr>
            <w:tcW w:w="358" w:type="dxa"/>
            <w:vMerge/>
            <w:vAlign w:val="center"/>
          </w:tcPr>
          <w:p w:rsidR="00CA2FE3" w:rsidRPr="00CA0AE3" w:rsidRDefault="00CA2FE3" w:rsidP="00D1633A">
            <w:pPr>
              <w:spacing w:after="0" w:line="240" w:lineRule="auto"/>
              <w:jc w:val="center"/>
              <w:rPr>
                <w:sz w:val="16"/>
                <w:szCs w:val="16"/>
              </w:rPr>
            </w:pPr>
          </w:p>
        </w:tc>
        <w:tc>
          <w:tcPr>
            <w:tcW w:w="1529" w:type="dxa"/>
            <w:vMerge/>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rPr>
                <w:sz w:val="16"/>
                <w:szCs w:val="16"/>
              </w:rPr>
            </w:pPr>
          </w:p>
        </w:tc>
        <w:tc>
          <w:tcPr>
            <w:tcW w:w="1170" w:type="dxa"/>
            <w:vMerge/>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sz w:val="16"/>
                <w:szCs w:val="16"/>
              </w:rPr>
            </w:pPr>
          </w:p>
        </w:tc>
        <w:tc>
          <w:tcPr>
            <w:tcW w:w="1260" w:type="dxa"/>
            <w:vMerge/>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sz w:val="16"/>
                <w:szCs w:val="16"/>
              </w:rPr>
            </w:pPr>
          </w:p>
        </w:tc>
        <w:tc>
          <w:tcPr>
            <w:tcW w:w="1440" w:type="dxa"/>
            <w:vMerge/>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bCs/>
                <w:sz w:val="16"/>
                <w:szCs w:val="16"/>
              </w:rPr>
            </w:pPr>
          </w:p>
        </w:tc>
        <w:tc>
          <w:tcPr>
            <w:tcW w:w="1170" w:type="dxa"/>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sz w:val="16"/>
                <w:szCs w:val="16"/>
              </w:rPr>
            </w:pPr>
            <w:r w:rsidRPr="00CA0AE3">
              <w:rPr>
                <w:sz w:val="16"/>
                <w:szCs w:val="16"/>
              </w:rPr>
              <w:t>Initial Practice (s)</w:t>
            </w:r>
          </w:p>
        </w:tc>
        <w:tc>
          <w:tcPr>
            <w:tcW w:w="1260" w:type="dxa"/>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sz w:val="16"/>
                <w:szCs w:val="16"/>
              </w:rPr>
            </w:pPr>
            <w:r w:rsidRPr="00CA0AE3">
              <w:rPr>
                <w:sz w:val="16"/>
                <w:szCs w:val="16"/>
              </w:rPr>
              <w:t>Initial Practice (s)</w:t>
            </w:r>
          </w:p>
        </w:tc>
        <w:tc>
          <w:tcPr>
            <w:tcW w:w="1260" w:type="dxa"/>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sz w:val="16"/>
                <w:szCs w:val="16"/>
              </w:rPr>
            </w:pPr>
            <w:r w:rsidRPr="00CA0AE3">
              <w:rPr>
                <w:sz w:val="16"/>
                <w:szCs w:val="16"/>
              </w:rPr>
              <w:t>New</w:t>
            </w:r>
          </w:p>
          <w:p w:rsidR="00CA2FE3" w:rsidRPr="00CA0AE3" w:rsidRDefault="00CA2FE3" w:rsidP="00D1633A">
            <w:pPr>
              <w:spacing w:after="0" w:line="240" w:lineRule="auto"/>
              <w:jc w:val="center"/>
              <w:rPr>
                <w:b/>
                <w:sz w:val="16"/>
                <w:szCs w:val="16"/>
              </w:rPr>
            </w:pPr>
            <w:r w:rsidRPr="00CA0AE3">
              <w:rPr>
                <w:sz w:val="16"/>
                <w:szCs w:val="16"/>
              </w:rPr>
              <w:t>Practice (s)</w:t>
            </w:r>
          </w:p>
        </w:tc>
        <w:tc>
          <w:tcPr>
            <w:tcW w:w="1260" w:type="dxa"/>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sz w:val="16"/>
                <w:szCs w:val="16"/>
              </w:rPr>
            </w:pPr>
            <w:r w:rsidRPr="00CA0AE3">
              <w:rPr>
                <w:sz w:val="16"/>
                <w:szCs w:val="16"/>
              </w:rPr>
              <w:t xml:space="preserve">New </w:t>
            </w:r>
          </w:p>
          <w:p w:rsidR="00CA2FE3" w:rsidRPr="00CA0AE3" w:rsidRDefault="00CA2FE3" w:rsidP="00D1633A">
            <w:pPr>
              <w:spacing w:after="0" w:line="240" w:lineRule="auto"/>
              <w:jc w:val="center"/>
              <w:rPr>
                <w:b/>
                <w:sz w:val="16"/>
                <w:szCs w:val="16"/>
              </w:rPr>
            </w:pPr>
            <w:r w:rsidRPr="00CA0AE3">
              <w:rPr>
                <w:sz w:val="16"/>
                <w:szCs w:val="16"/>
              </w:rPr>
              <w:t>Practice (s)</w:t>
            </w:r>
          </w:p>
        </w:tc>
        <w:tc>
          <w:tcPr>
            <w:tcW w:w="1260" w:type="dxa"/>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sz w:val="16"/>
                <w:szCs w:val="16"/>
              </w:rPr>
            </w:pPr>
            <w:r w:rsidRPr="00CA0AE3">
              <w:rPr>
                <w:sz w:val="16"/>
                <w:szCs w:val="16"/>
              </w:rPr>
              <w:t xml:space="preserve">New </w:t>
            </w:r>
          </w:p>
          <w:p w:rsidR="00CA2FE3" w:rsidRPr="00CA0AE3" w:rsidRDefault="00CA2FE3" w:rsidP="00D1633A">
            <w:pPr>
              <w:spacing w:after="0" w:line="240" w:lineRule="auto"/>
              <w:jc w:val="center"/>
              <w:rPr>
                <w:b/>
                <w:sz w:val="16"/>
                <w:szCs w:val="16"/>
              </w:rPr>
            </w:pPr>
            <w:r w:rsidRPr="00CA0AE3">
              <w:rPr>
                <w:sz w:val="16"/>
                <w:szCs w:val="16"/>
              </w:rPr>
              <w:t>Practice (s)</w:t>
            </w:r>
          </w:p>
        </w:tc>
        <w:tc>
          <w:tcPr>
            <w:tcW w:w="1266" w:type="dxa"/>
            <w:vMerge/>
            <w:vAlign w:val="center"/>
          </w:tcPr>
          <w:p w:rsidR="00CA2FE3" w:rsidRPr="00CA0AE3" w:rsidRDefault="00CA2FE3" w:rsidP="00D1633A">
            <w:pPr>
              <w:spacing w:after="0" w:line="240" w:lineRule="auto"/>
              <w:rPr>
                <w:rFonts w:eastAsia="Times New Roman"/>
                <w:sz w:val="16"/>
                <w:szCs w:val="16"/>
              </w:rPr>
            </w:pPr>
          </w:p>
        </w:tc>
      </w:tr>
      <w:tr w:rsidR="00CA2FE3" w:rsidRPr="00CA0AE3" w:rsidTr="003C48F3">
        <w:trPr>
          <w:cantSplit/>
          <w:trHeight w:val="1596"/>
        </w:trPr>
        <w:tc>
          <w:tcPr>
            <w:tcW w:w="358" w:type="dxa"/>
            <w:vMerge w:val="restart"/>
            <w:vAlign w:val="center"/>
          </w:tcPr>
          <w:p w:rsidR="00CA2FE3" w:rsidRPr="00CA0AE3" w:rsidRDefault="00CA2FE3" w:rsidP="00D1633A">
            <w:pPr>
              <w:spacing w:after="0" w:line="240" w:lineRule="auto"/>
              <w:jc w:val="center"/>
              <w:rPr>
                <w:sz w:val="16"/>
                <w:szCs w:val="16"/>
              </w:rPr>
            </w:pPr>
            <w:r w:rsidRPr="00CA0AE3">
              <w:rPr>
                <w:sz w:val="16"/>
                <w:szCs w:val="16"/>
              </w:rPr>
              <w:lastRenderedPageBreak/>
              <w:t>5</w:t>
            </w:r>
          </w:p>
        </w:tc>
        <w:tc>
          <w:tcPr>
            <w:tcW w:w="1529" w:type="dxa"/>
            <w:vMerge w:val="restart"/>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rPr>
                <w:sz w:val="16"/>
                <w:szCs w:val="16"/>
              </w:rPr>
            </w:pPr>
            <w:r w:rsidRPr="00CA0AE3">
              <w:rPr>
                <w:sz w:val="16"/>
                <w:szCs w:val="16"/>
              </w:rPr>
              <w:t xml:space="preserve">Reduce the proportion of out-of-network referrals for selected  specialty care areas </w:t>
            </w:r>
            <w:r w:rsidRPr="00CA0AE3">
              <w:rPr>
                <w:bCs/>
                <w:sz w:val="16"/>
                <w:szCs w:val="16"/>
              </w:rPr>
              <w:t>within the public hospital system</w:t>
            </w:r>
            <w:r w:rsidRPr="00CA0AE3">
              <w:rPr>
                <w:sz w:val="16"/>
                <w:szCs w:val="16"/>
              </w:rPr>
              <w:t>:</w:t>
            </w:r>
          </w:p>
          <w:p w:rsidR="00CA2FE3" w:rsidRPr="00CA0AE3" w:rsidRDefault="00CA2FE3" w:rsidP="00D1633A">
            <w:pPr>
              <w:spacing w:after="0" w:line="240" w:lineRule="auto"/>
              <w:rPr>
                <w:sz w:val="16"/>
                <w:szCs w:val="16"/>
              </w:rPr>
            </w:pPr>
            <w:r w:rsidRPr="00CA0AE3">
              <w:rPr>
                <w:sz w:val="16"/>
                <w:szCs w:val="16"/>
              </w:rPr>
              <w:t>(SFY 2018 will continue Gastroenterology) (SFYs 2019 – 2020 will be a 2</w:t>
            </w:r>
            <w:r w:rsidRPr="00CA0AE3">
              <w:rPr>
                <w:sz w:val="16"/>
                <w:szCs w:val="16"/>
                <w:vertAlign w:val="superscript"/>
              </w:rPr>
              <w:t>nd</w:t>
            </w:r>
            <w:r w:rsidRPr="00CA0AE3">
              <w:rPr>
                <w:sz w:val="16"/>
                <w:szCs w:val="16"/>
              </w:rPr>
              <w:t xml:space="preserve"> Specialty Area)</w:t>
            </w:r>
          </w:p>
          <w:p w:rsidR="00CA2FE3" w:rsidRPr="00CA0AE3" w:rsidRDefault="00CA2FE3" w:rsidP="00D1633A">
            <w:pPr>
              <w:spacing w:after="0" w:line="240" w:lineRule="auto"/>
              <w:rPr>
                <w:sz w:val="16"/>
                <w:szCs w:val="16"/>
              </w:rPr>
            </w:pPr>
            <w:r w:rsidRPr="00CA0AE3">
              <w:rPr>
                <w:sz w:val="16"/>
                <w:szCs w:val="16"/>
              </w:rPr>
              <w:t>(SFYs 2021 – 2022 will be a 3</w:t>
            </w:r>
            <w:r w:rsidRPr="00CA0AE3">
              <w:rPr>
                <w:sz w:val="16"/>
                <w:szCs w:val="16"/>
                <w:vertAlign w:val="superscript"/>
              </w:rPr>
              <w:t>rd</w:t>
            </w:r>
            <w:r w:rsidRPr="00CA0AE3">
              <w:rPr>
                <w:sz w:val="16"/>
                <w:szCs w:val="16"/>
              </w:rPr>
              <w:t xml:space="preserve"> Specialty Area)</w:t>
            </w:r>
          </w:p>
        </w:tc>
        <w:tc>
          <w:tcPr>
            <w:tcW w:w="1170" w:type="dxa"/>
            <w:vMerge w:val="restart"/>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sz w:val="16"/>
                <w:szCs w:val="16"/>
              </w:rPr>
            </w:pPr>
            <w:r w:rsidRPr="00CA0AE3">
              <w:rPr>
                <w:sz w:val="16"/>
                <w:szCs w:val="16"/>
              </w:rPr>
              <w:t>Customized Measure</w:t>
            </w:r>
          </w:p>
        </w:tc>
        <w:tc>
          <w:tcPr>
            <w:tcW w:w="1260" w:type="dxa"/>
            <w:vMerge w:val="restart"/>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sz w:val="16"/>
                <w:szCs w:val="16"/>
              </w:rPr>
            </w:pPr>
            <w:r w:rsidRPr="00CA0AE3">
              <w:rPr>
                <w:sz w:val="16"/>
                <w:szCs w:val="16"/>
              </w:rPr>
              <w:t>No external benchmark;</w:t>
            </w:r>
          </w:p>
          <w:p w:rsidR="00CA2FE3" w:rsidRPr="00CA0AE3" w:rsidRDefault="00CA2FE3" w:rsidP="00D1633A">
            <w:pPr>
              <w:spacing w:after="0" w:line="240" w:lineRule="auto"/>
              <w:jc w:val="center"/>
              <w:rPr>
                <w:sz w:val="16"/>
                <w:szCs w:val="16"/>
              </w:rPr>
            </w:pPr>
            <w:r w:rsidRPr="00CA0AE3">
              <w:rPr>
                <w:sz w:val="16"/>
                <w:szCs w:val="16"/>
              </w:rPr>
              <w:t xml:space="preserve">hospital specific improvement target </w:t>
            </w:r>
          </w:p>
          <w:p w:rsidR="00CA2FE3" w:rsidRPr="00CA0AE3" w:rsidRDefault="00CA2FE3" w:rsidP="00D1633A">
            <w:pPr>
              <w:spacing w:after="0" w:line="240" w:lineRule="auto"/>
              <w:jc w:val="center"/>
              <w:rPr>
                <w:sz w:val="16"/>
                <w:szCs w:val="16"/>
              </w:rPr>
            </w:pPr>
            <w:r w:rsidRPr="00CA0AE3">
              <w:rPr>
                <w:sz w:val="16"/>
                <w:szCs w:val="16"/>
              </w:rPr>
              <w:t>(Gastroenterology = 6%; Applicable to SFY 2018)</w:t>
            </w:r>
          </w:p>
          <w:p w:rsidR="00CA2FE3" w:rsidRPr="00CA0AE3" w:rsidRDefault="00CA2FE3" w:rsidP="00D1633A">
            <w:pPr>
              <w:spacing w:after="0" w:line="240" w:lineRule="auto"/>
              <w:jc w:val="center"/>
              <w:rPr>
                <w:sz w:val="16"/>
                <w:szCs w:val="16"/>
              </w:rPr>
            </w:pPr>
            <w:r w:rsidRPr="00CA0AE3">
              <w:rPr>
                <w:sz w:val="16"/>
                <w:szCs w:val="16"/>
              </w:rPr>
              <w:t>New Specialty Target will be submitted with baseline data for each new specialty</w:t>
            </w:r>
          </w:p>
        </w:tc>
        <w:tc>
          <w:tcPr>
            <w:tcW w:w="1440" w:type="dxa"/>
            <w:vMerge w:val="restart"/>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sz w:val="16"/>
                <w:szCs w:val="16"/>
              </w:rPr>
            </w:pPr>
            <w:r w:rsidRPr="00CA0AE3">
              <w:rPr>
                <w:bCs/>
                <w:sz w:val="16"/>
                <w:szCs w:val="16"/>
              </w:rPr>
              <w:t>Gap to Goal (10%) or attainment at target</w:t>
            </w:r>
          </w:p>
        </w:tc>
        <w:tc>
          <w:tcPr>
            <w:tcW w:w="1170" w:type="dxa"/>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b/>
                <w:sz w:val="16"/>
                <w:szCs w:val="16"/>
              </w:rPr>
            </w:pPr>
            <w:r w:rsidRPr="00CA0AE3">
              <w:rPr>
                <w:b/>
                <w:sz w:val="16"/>
                <w:szCs w:val="16"/>
              </w:rPr>
              <w:t>O</w:t>
            </w:r>
          </w:p>
          <w:p w:rsidR="00CA2FE3" w:rsidRPr="00CA0AE3" w:rsidRDefault="00CA2FE3" w:rsidP="00D1633A">
            <w:pPr>
              <w:spacing w:after="0" w:line="240" w:lineRule="auto"/>
              <w:jc w:val="center"/>
              <w:rPr>
                <w:sz w:val="16"/>
                <w:szCs w:val="16"/>
              </w:rPr>
            </w:pPr>
            <w:r w:rsidRPr="00CA0AE3">
              <w:rPr>
                <w:sz w:val="16"/>
                <w:szCs w:val="16"/>
              </w:rPr>
              <w:t>(4/1/17 -3/31/18)</w:t>
            </w:r>
          </w:p>
        </w:tc>
        <w:tc>
          <w:tcPr>
            <w:tcW w:w="1260" w:type="dxa"/>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b/>
                <w:sz w:val="16"/>
                <w:szCs w:val="16"/>
              </w:rPr>
            </w:pPr>
            <w:r w:rsidRPr="00CA0AE3">
              <w:rPr>
                <w:b/>
                <w:sz w:val="16"/>
                <w:szCs w:val="16"/>
              </w:rPr>
              <w:t>B</w:t>
            </w:r>
          </w:p>
          <w:p w:rsidR="00CA2FE3" w:rsidRPr="00CA0AE3" w:rsidRDefault="00CA2FE3" w:rsidP="00D1633A">
            <w:pPr>
              <w:spacing w:after="0" w:line="240" w:lineRule="auto"/>
              <w:jc w:val="center"/>
              <w:rPr>
                <w:sz w:val="16"/>
                <w:szCs w:val="16"/>
              </w:rPr>
            </w:pPr>
            <w:r w:rsidRPr="00CA0AE3">
              <w:rPr>
                <w:sz w:val="16"/>
                <w:szCs w:val="16"/>
              </w:rPr>
              <w:t>(4/1/18 -3/31/19)</w:t>
            </w:r>
          </w:p>
        </w:tc>
        <w:tc>
          <w:tcPr>
            <w:tcW w:w="1260" w:type="dxa"/>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b/>
                <w:sz w:val="16"/>
                <w:szCs w:val="16"/>
              </w:rPr>
            </w:pPr>
            <w:r w:rsidRPr="00CA0AE3">
              <w:rPr>
                <w:b/>
                <w:sz w:val="16"/>
                <w:szCs w:val="16"/>
              </w:rPr>
              <w:t>O</w:t>
            </w:r>
          </w:p>
          <w:p w:rsidR="00CA2FE3" w:rsidRPr="00CA0AE3" w:rsidRDefault="00CA2FE3" w:rsidP="00D1633A">
            <w:pPr>
              <w:spacing w:after="0" w:line="240" w:lineRule="auto"/>
              <w:jc w:val="center"/>
              <w:rPr>
                <w:sz w:val="16"/>
                <w:szCs w:val="16"/>
              </w:rPr>
            </w:pPr>
            <w:r w:rsidRPr="00CA0AE3">
              <w:rPr>
                <w:sz w:val="16"/>
                <w:szCs w:val="16"/>
              </w:rPr>
              <w:t>(4/1/19 -3/31/20)</w:t>
            </w:r>
          </w:p>
        </w:tc>
        <w:tc>
          <w:tcPr>
            <w:tcW w:w="1260" w:type="dxa"/>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b/>
                <w:sz w:val="16"/>
                <w:szCs w:val="16"/>
              </w:rPr>
            </w:pPr>
            <w:r w:rsidRPr="00CA0AE3">
              <w:rPr>
                <w:b/>
                <w:sz w:val="16"/>
                <w:szCs w:val="16"/>
              </w:rPr>
              <w:t>B</w:t>
            </w:r>
          </w:p>
          <w:p w:rsidR="00CA2FE3" w:rsidRPr="00CA0AE3" w:rsidRDefault="00CA2FE3" w:rsidP="00D1633A">
            <w:pPr>
              <w:spacing w:after="0" w:line="240" w:lineRule="auto"/>
              <w:jc w:val="center"/>
              <w:rPr>
                <w:sz w:val="16"/>
                <w:szCs w:val="16"/>
              </w:rPr>
            </w:pPr>
            <w:r w:rsidRPr="00CA0AE3">
              <w:rPr>
                <w:sz w:val="16"/>
                <w:szCs w:val="16"/>
              </w:rPr>
              <w:t>(4/1/20 -3/31/21)</w:t>
            </w:r>
          </w:p>
        </w:tc>
        <w:tc>
          <w:tcPr>
            <w:tcW w:w="1260" w:type="dxa"/>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b/>
                <w:sz w:val="16"/>
                <w:szCs w:val="16"/>
              </w:rPr>
            </w:pPr>
            <w:r w:rsidRPr="00CA0AE3">
              <w:rPr>
                <w:b/>
                <w:sz w:val="16"/>
                <w:szCs w:val="16"/>
              </w:rPr>
              <w:t>O</w:t>
            </w:r>
          </w:p>
          <w:p w:rsidR="00CA2FE3" w:rsidRPr="00CA0AE3" w:rsidRDefault="00CA2FE3" w:rsidP="00D1633A">
            <w:pPr>
              <w:spacing w:after="0" w:line="240" w:lineRule="auto"/>
              <w:jc w:val="center"/>
              <w:rPr>
                <w:sz w:val="16"/>
                <w:szCs w:val="16"/>
              </w:rPr>
            </w:pPr>
            <w:r w:rsidRPr="00CA0AE3">
              <w:rPr>
                <w:sz w:val="16"/>
                <w:szCs w:val="16"/>
              </w:rPr>
              <w:t>(4/1/21 - 3/31/22)</w:t>
            </w:r>
          </w:p>
        </w:tc>
        <w:tc>
          <w:tcPr>
            <w:tcW w:w="1266" w:type="dxa"/>
            <w:vMerge w:val="restart"/>
            <w:vAlign w:val="center"/>
          </w:tcPr>
          <w:p w:rsidR="00CA2FE3" w:rsidRPr="00CA0AE3" w:rsidRDefault="00CA2FE3" w:rsidP="00D1633A">
            <w:pPr>
              <w:spacing w:after="0" w:line="240" w:lineRule="auto"/>
              <w:rPr>
                <w:rFonts w:eastAsia="Times New Roman"/>
                <w:sz w:val="16"/>
                <w:szCs w:val="16"/>
              </w:rPr>
            </w:pPr>
            <w:r w:rsidRPr="00CA0AE3">
              <w:rPr>
                <w:sz w:val="16"/>
                <w:szCs w:val="16"/>
              </w:rPr>
              <w:t>Target for new specialties will be specified at the time of the selection of the specialty and reported with baseline data</w:t>
            </w:r>
          </w:p>
        </w:tc>
      </w:tr>
      <w:tr w:rsidR="00CA2FE3" w:rsidRPr="00CA0AE3" w:rsidTr="003C48F3">
        <w:trPr>
          <w:cantSplit/>
          <w:trHeight w:val="1541"/>
        </w:trPr>
        <w:tc>
          <w:tcPr>
            <w:tcW w:w="358" w:type="dxa"/>
            <w:vMerge/>
            <w:vAlign w:val="center"/>
          </w:tcPr>
          <w:p w:rsidR="00CA2FE3" w:rsidRPr="00CA0AE3" w:rsidRDefault="00CA2FE3" w:rsidP="00D1633A">
            <w:pPr>
              <w:spacing w:after="0" w:line="240" w:lineRule="auto"/>
              <w:jc w:val="center"/>
              <w:rPr>
                <w:sz w:val="16"/>
                <w:szCs w:val="16"/>
              </w:rPr>
            </w:pPr>
          </w:p>
        </w:tc>
        <w:tc>
          <w:tcPr>
            <w:tcW w:w="1529" w:type="dxa"/>
            <w:vMerge/>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rPr>
                <w:sz w:val="16"/>
                <w:szCs w:val="16"/>
              </w:rPr>
            </w:pPr>
          </w:p>
        </w:tc>
        <w:tc>
          <w:tcPr>
            <w:tcW w:w="1170" w:type="dxa"/>
            <w:vMerge/>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sz w:val="16"/>
                <w:szCs w:val="16"/>
              </w:rPr>
            </w:pPr>
          </w:p>
        </w:tc>
        <w:tc>
          <w:tcPr>
            <w:tcW w:w="1260" w:type="dxa"/>
            <w:vMerge/>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sz w:val="16"/>
                <w:szCs w:val="16"/>
              </w:rPr>
            </w:pPr>
          </w:p>
        </w:tc>
        <w:tc>
          <w:tcPr>
            <w:tcW w:w="1440" w:type="dxa"/>
            <w:vMerge/>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bCs/>
                <w:sz w:val="16"/>
                <w:szCs w:val="16"/>
              </w:rPr>
            </w:pPr>
          </w:p>
        </w:tc>
        <w:tc>
          <w:tcPr>
            <w:tcW w:w="1170" w:type="dxa"/>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sz w:val="16"/>
                <w:szCs w:val="16"/>
              </w:rPr>
            </w:pPr>
            <w:r w:rsidRPr="00CA0AE3">
              <w:rPr>
                <w:sz w:val="16"/>
                <w:szCs w:val="16"/>
              </w:rPr>
              <w:t>Gastroenterology</w:t>
            </w:r>
          </w:p>
        </w:tc>
        <w:tc>
          <w:tcPr>
            <w:tcW w:w="1260" w:type="dxa"/>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sz w:val="16"/>
                <w:szCs w:val="16"/>
              </w:rPr>
            </w:pPr>
            <w:r w:rsidRPr="00CA0AE3">
              <w:rPr>
                <w:sz w:val="16"/>
                <w:szCs w:val="16"/>
              </w:rPr>
              <w:t>New Specialty 1</w:t>
            </w:r>
          </w:p>
        </w:tc>
        <w:tc>
          <w:tcPr>
            <w:tcW w:w="1260" w:type="dxa"/>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sz w:val="16"/>
                <w:szCs w:val="16"/>
              </w:rPr>
            </w:pPr>
            <w:r w:rsidRPr="00CA0AE3">
              <w:rPr>
                <w:sz w:val="16"/>
                <w:szCs w:val="16"/>
              </w:rPr>
              <w:t>New Specialty 1</w:t>
            </w:r>
          </w:p>
        </w:tc>
        <w:tc>
          <w:tcPr>
            <w:tcW w:w="1260" w:type="dxa"/>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sz w:val="16"/>
                <w:szCs w:val="16"/>
              </w:rPr>
            </w:pPr>
            <w:r w:rsidRPr="00CA0AE3">
              <w:rPr>
                <w:sz w:val="16"/>
                <w:szCs w:val="16"/>
              </w:rPr>
              <w:t>New Specialty 2</w:t>
            </w:r>
          </w:p>
        </w:tc>
        <w:tc>
          <w:tcPr>
            <w:tcW w:w="1260" w:type="dxa"/>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sz w:val="16"/>
                <w:szCs w:val="16"/>
              </w:rPr>
            </w:pPr>
            <w:r w:rsidRPr="00CA0AE3">
              <w:rPr>
                <w:sz w:val="16"/>
                <w:szCs w:val="16"/>
              </w:rPr>
              <w:t>New Specialty 2</w:t>
            </w:r>
          </w:p>
        </w:tc>
        <w:tc>
          <w:tcPr>
            <w:tcW w:w="1266" w:type="dxa"/>
            <w:vMerge/>
            <w:vAlign w:val="center"/>
          </w:tcPr>
          <w:p w:rsidR="00CA2FE3" w:rsidRPr="00CA0AE3" w:rsidRDefault="00CA2FE3" w:rsidP="00D1633A">
            <w:pPr>
              <w:spacing w:after="0" w:line="240" w:lineRule="auto"/>
              <w:rPr>
                <w:sz w:val="16"/>
                <w:szCs w:val="16"/>
              </w:rPr>
            </w:pPr>
          </w:p>
        </w:tc>
      </w:tr>
      <w:tr w:rsidR="00CA2FE3" w:rsidRPr="00CA0AE3" w:rsidTr="003C48F3">
        <w:trPr>
          <w:cantSplit/>
          <w:trHeight w:val="1541"/>
        </w:trPr>
        <w:tc>
          <w:tcPr>
            <w:tcW w:w="358" w:type="dxa"/>
            <w:vMerge w:val="restart"/>
            <w:vAlign w:val="center"/>
          </w:tcPr>
          <w:p w:rsidR="00CA2FE3" w:rsidRPr="00CA0AE3" w:rsidRDefault="00CA2FE3" w:rsidP="00D1633A">
            <w:pPr>
              <w:spacing w:after="0" w:line="240" w:lineRule="auto"/>
              <w:jc w:val="center"/>
              <w:rPr>
                <w:sz w:val="16"/>
                <w:szCs w:val="16"/>
              </w:rPr>
            </w:pPr>
            <w:r w:rsidRPr="00CA0AE3">
              <w:rPr>
                <w:sz w:val="16"/>
                <w:szCs w:val="16"/>
              </w:rPr>
              <w:t>6</w:t>
            </w:r>
          </w:p>
        </w:tc>
        <w:tc>
          <w:tcPr>
            <w:tcW w:w="1529" w:type="dxa"/>
            <w:vMerge w:val="restart"/>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rPr>
                <w:sz w:val="16"/>
                <w:szCs w:val="16"/>
              </w:rPr>
            </w:pPr>
            <w:r w:rsidRPr="00CA0AE3">
              <w:rPr>
                <w:sz w:val="16"/>
                <w:szCs w:val="16"/>
              </w:rPr>
              <w:t>Completed appointments per FTE or total number of completed appointments for selected specialties</w:t>
            </w:r>
            <w:r w:rsidRPr="00CA0AE3">
              <w:rPr>
                <w:bCs/>
                <w:sz w:val="16"/>
                <w:szCs w:val="16"/>
              </w:rPr>
              <w:t xml:space="preserve"> within the public hospital system</w:t>
            </w:r>
            <w:r w:rsidRPr="00CA0AE3">
              <w:rPr>
                <w:sz w:val="16"/>
                <w:szCs w:val="16"/>
              </w:rPr>
              <w:t>:</w:t>
            </w:r>
          </w:p>
          <w:p w:rsidR="00CA2FE3" w:rsidRPr="00CA0AE3" w:rsidRDefault="00CA2FE3" w:rsidP="00D1633A">
            <w:pPr>
              <w:spacing w:after="0" w:line="240" w:lineRule="auto"/>
              <w:rPr>
                <w:sz w:val="16"/>
                <w:szCs w:val="16"/>
              </w:rPr>
            </w:pPr>
            <w:r w:rsidRPr="00CA0AE3">
              <w:rPr>
                <w:sz w:val="16"/>
                <w:szCs w:val="16"/>
              </w:rPr>
              <w:t>(SFY 2018 will continue Gastroenterology) (SFYs 2019 – 2020 will be a 2</w:t>
            </w:r>
            <w:r w:rsidRPr="00CA0AE3">
              <w:rPr>
                <w:sz w:val="16"/>
                <w:szCs w:val="16"/>
                <w:vertAlign w:val="superscript"/>
              </w:rPr>
              <w:t>nd</w:t>
            </w:r>
            <w:r w:rsidRPr="00CA0AE3">
              <w:rPr>
                <w:sz w:val="16"/>
                <w:szCs w:val="16"/>
              </w:rPr>
              <w:t xml:space="preserve"> Specialty Area)</w:t>
            </w:r>
          </w:p>
          <w:p w:rsidR="00CA2FE3" w:rsidRPr="00CA0AE3" w:rsidRDefault="00CA2FE3" w:rsidP="00D1633A">
            <w:pPr>
              <w:spacing w:after="0" w:line="240" w:lineRule="auto"/>
              <w:rPr>
                <w:sz w:val="16"/>
                <w:szCs w:val="16"/>
              </w:rPr>
            </w:pPr>
            <w:r w:rsidRPr="00CA0AE3">
              <w:rPr>
                <w:sz w:val="16"/>
                <w:szCs w:val="16"/>
              </w:rPr>
              <w:t>(SFYs 2021 – 2022 will be a 3</w:t>
            </w:r>
            <w:r w:rsidRPr="00CA0AE3">
              <w:rPr>
                <w:sz w:val="16"/>
                <w:szCs w:val="16"/>
                <w:vertAlign w:val="superscript"/>
              </w:rPr>
              <w:t>rd</w:t>
            </w:r>
            <w:r w:rsidRPr="00CA0AE3">
              <w:rPr>
                <w:sz w:val="16"/>
                <w:szCs w:val="16"/>
              </w:rPr>
              <w:t xml:space="preserve"> Specialty Area) </w:t>
            </w:r>
          </w:p>
        </w:tc>
        <w:tc>
          <w:tcPr>
            <w:tcW w:w="1170" w:type="dxa"/>
            <w:vMerge w:val="restart"/>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sz w:val="16"/>
                <w:szCs w:val="16"/>
              </w:rPr>
            </w:pPr>
            <w:r w:rsidRPr="00CA0AE3">
              <w:rPr>
                <w:sz w:val="16"/>
                <w:szCs w:val="16"/>
              </w:rPr>
              <w:t>Customized Measure</w:t>
            </w:r>
          </w:p>
        </w:tc>
        <w:tc>
          <w:tcPr>
            <w:tcW w:w="1260" w:type="dxa"/>
            <w:vMerge w:val="restart"/>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sz w:val="16"/>
                <w:szCs w:val="16"/>
              </w:rPr>
            </w:pPr>
            <w:r w:rsidRPr="00CA0AE3">
              <w:rPr>
                <w:sz w:val="16"/>
                <w:szCs w:val="16"/>
              </w:rPr>
              <w:t>No external benchmark;</w:t>
            </w:r>
          </w:p>
          <w:p w:rsidR="00CA2FE3" w:rsidRPr="00CA0AE3" w:rsidRDefault="00CA2FE3" w:rsidP="00D1633A">
            <w:pPr>
              <w:spacing w:after="0" w:line="240" w:lineRule="auto"/>
              <w:jc w:val="center"/>
              <w:rPr>
                <w:sz w:val="16"/>
                <w:szCs w:val="16"/>
              </w:rPr>
            </w:pPr>
            <w:r w:rsidRPr="00CA0AE3">
              <w:rPr>
                <w:sz w:val="16"/>
                <w:szCs w:val="16"/>
              </w:rPr>
              <w:t xml:space="preserve">hospital specific improvement target (Gastroenterology = 1300 appointments per FTE; Applicable to SFY 2018) </w:t>
            </w:r>
          </w:p>
          <w:p w:rsidR="00CA2FE3" w:rsidRPr="00CA0AE3" w:rsidRDefault="00CA2FE3" w:rsidP="00D1633A">
            <w:pPr>
              <w:spacing w:after="0" w:line="240" w:lineRule="auto"/>
              <w:jc w:val="center"/>
              <w:rPr>
                <w:sz w:val="16"/>
                <w:szCs w:val="16"/>
              </w:rPr>
            </w:pPr>
            <w:r w:rsidRPr="00CA0AE3">
              <w:rPr>
                <w:sz w:val="16"/>
                <w:szCs w:val="16"/>
              </w:rPr>
              <w:t>New Specialty Target will be submitted with baseline data for each new specialty</w:t>
            </w:r>
          </w:p>
        </w:tc>
        <w:tc>
          <w:tcPr>
            <w:tcW w:w="1440" w:type="dxa"/>
            <w:vMerge w:val="restart"/>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bCs/>
                <w:sz w:val="16"/>
                <w:szCs w:val="16"/>
              </w:rPr>
            </w:pPr>
          </w:p>
          <w:p w:rsidR="00CA2FE3" w:rsidRPr="00CA0AE3" w:rsidRDefault="00CA2FE3" w:rsidP="00D1633A">
            <w:pPr>
              <w:spacing w:after="0" w:line="240" w:lineRule="auto"/>
              <w:jc w:val="center"/>
              <w:rPr>
                <w:sz w:val="16"/>
                <w:szCs w:val="16"/>
              </w:rPr>
            </w:pPr>
            <w:r w:rsidRPr="00CA0AE3">
              <w:rPr>
                <w:bCs/>
                <w:sz w:val="16"/>
                <w:szCs w:val="16"/>
              </w:rPr>
              <w:t>Gap to Goal (10%) or attainment at target</w:t>
            </w:r>
          </w:p>
          <w:p w:rsidR="00CA2FE3" w:rsidRPr="00CA0AE3" w:rsidRDefault="00CA2FE3" w:rsidP="00D1633A">
            <w:pPr>
              <w:spacing w:after="0" w:line="240" w:lineRule="auto"/>
              <w:jc w:val="center"/>
              <w:rPr>
                <w:sz w:val="16"/>
                <w:szCs w:val="16"/>
              </w:rPr>
            </w:pPr>
          </w:p>
        </w:tc>
        <w:tc>
          <w:tcPr>
            <w:tcW w:w="1170" w:type="dxa"/>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b/>
                <w:sz w:val="16"/>
                <w:szCs w:val="16"/>
              </w:rPr>
            </w:pPr>
            <w:r w:rsidRPr="00CA0AE3">
              <w:rPr>
                <w:b/>
                <w:sz w:val="16"/>
                <w:szCs w:val="16"/>
              </w:rPr>
              <w:t>O</w:t>
            </w:r>
          </w:p>
          <w:p w:rsidR="00CA2FE3" w:rsidRPr="00CA0AE3" w:rsidRDefault="00CA2FE3" w:rsidP="00D1633A">
            <w:pPr>
              <w:spacing w:after="0" w:line="240" w:lineRule="auto"/>
              <w:jc w:val="center"/>
              <w:rPr>
                <w:sz w:val="16"/>
                <w:szCs w:val="16"/>
              </w:rPr>
            </w:pPr>
            <w:r w:rsidRPr="00CA0AE3">
              <w:rPr>
                <w:sz w:val="16"/>
                <w:szCs w:val="16"/>
              </w:rPr>
              <w:t>(4/1/17 -3/31/18)</w:t>
            </w:r>
          </w:p>
        </w:tc>
        <w:tc>
          <w:tcPr>
            <w:tcW w:w="1260" w:type="dxa"/>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b/>
                <w:sz w:val="16"/>
                <w:szCs w:val="16"/>
              </w:rPr>
            </w:pPr>
            <w:r w:rsidRPr="00CA0AE3">
              <w:rPr>
                <w:b/>
                <w:sz w:val="16"/>
                <w:szCs w:val="16"/>
              </w:rPr>
              <w:t>B</w:t>
            </w:r>
          </w:p>
          <w:p w:rsidR="00CA2FE3" w:rsidRPr="00CA0AE3" w:rsidRDefault="00CA2FE3" w:rsidP="00D1633A">
            <w:pPr>
              <w:spacing w:after="0" w:line="240" w:lineRule="auto"/>
              <w:jc w:val="center"/>
              <w:rPr>
                <w:sz w:val="16"/>
                <w:szCs w:val="16"/>
              </w:rPr>
            </w:pPr>
            <w:r w:rsidRPr="00CA0AE3">
              <w:rPr>
                <w:sz w:val="16"/>
                <w:szCs w:val="16"/>
              </w:rPr>
              <w:t>(4/1/18 -3/31/19)</w:t>
            </w:r>
          </w:p>
        </w:tc>
        <w:tc>
          <w:tcPr>
            <w:tcW w:w="1260" w:type="dxa"/>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b/>
                <w:sz w:val="16"/>
                <w:szCs w:val="16"/>
              </w:rPr>
            </w:pPr>
            <w:r w:rsidRPr="00CA0AE3">
              <w:rPr>
                <w:b/>
                <w:sz w:val="16"/>
                <w:szCs w:val="16"/>
              </w:rPr>
              <w:t>O</w:t>
            </w:r>
          </w:p>
          <w:p w:rsidR="00CA2FE3" w:rsidRPr="00CA0AE3" w:rsidRDefault="00CA2FE3" w:rsidP="00D1633A">
            <w:pPr>
              <w:spacing w:after="0" w:line="240" w:lineRule="auto"/>
              <w:jc w:val="center"/>
              <w:rPr>
                <w:sz w:val="16"/>
                <w:szCs w:val="16"/>
              </w:rPr>
            </w:pPr>
            <w:r w:rsidRPr="00CA0AE3">
              <w:rPr>
                <w:sz w:val="16"/>
                <w:szCs w:val="16"/>
              </w:rPr>
              <w:t>(4/1/19 -3/31/20)</w:t>
            </w:r>
          </w:p>
        </w:tc>
        <w:tc>
          <w:tcPr>
            <w:tcW w:w="1260" w:type="dxa"/>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b/>
                <w:sz w:val="16"/>
                <w:szCs w:val="16"/>
              </w:rPr>
            </w:pPr>
            <w:r w:rsidRPr="00CA0AE3">
              <w:rPr>
                <w:b/>
                <w:sz w:val="16"/>
                <w:szCs w:val="16"/>
              </w:rPr>
              <w:t>B</w:t>
            </w:r>
          </w:p>
          <w:p w:rsidR="00CA2FE3" w:rsidRPr="00CA0AE3" w:rsidRDefault="00CA2FE3" w:rsidP="00D1633A">
            <w:pPr>
              <w:spacing w:after="0" w:line="240" w:lineRule="auto"/>
              <w:jc w:val="center"/>
              <w:rPr>
                <w:sz w:val="16"/>
                <w:szCs w:val="16"/>
              </w:rPr>
            </w:pPr>
            <w:r w:rsidRPr="00CA0AE3">
              <w:rPr>
                <w:sz w:val="16"/>
                <w:szCs w:val="16"/>
              </w:rPr>
              <w:t>(4/1/20 -3/31/21)</w:t>
            </w:r>
          </w:p>
        </w:tc>
        <w:tc>
          <w:tcPr>
            <w:tcW w:w="1260" w:type="dxa"/>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b/>
                <w:sz w:val="16"/>
                <w:szCs w:val="16"/>
              </w:rPr>
            </w:pPr>
            <w:r w:rsidRPr="00CA0AE3">
              <w:rPr>
                <w:b/>
                <w:sz w:val="16"/>
                <w:szCs w:val="16"/>
              </w:rPr>
              <w:t>O</w:t>
            </w:r>
          </w:p>
          <w:p w:rsidR="00CA2FE3" w:rsidRPr="00CA0AE3" w:rsidRDefault="00CA2FE3" w:rsidP="00D1633A">
            <w:pPr>
              <w:spacing w:after="0" w:line="240" w:lineRule="auto"/>
              <w:jc w:val="center"/>
              <w:rPr>
                <w:sz w:val="16"/>
                <w:szCs w:val="16"/>
              </w:rPr>
            </w:pPr>
            <w:r w:rsidRPr="00CA0AE3">
              <w:rPr>
                <w:sz w:val="16"/>
                <w:szCs w:val="16"/>
              </w:rPr>
              <w:t>(4/1/21 - 3/31/22)</w:t>
            </w:r>
          </w:p>
        </w:tc>
        <w:tc>
          <w:tcPr>
            <w:tcW w:w="1266" w:type="dxa"/>
            <w:vMerge w:val="restart"/>
            <w:vAlign w:val="center"/>
          </w:tcPr>
          <w:p w:rsidR="00CA2FE3" w:rsidRPr="00CA0AE3" w:rsidRDefault="00CA2FE3" w:rsidP="00D1633A">
            <w:pPr>
              <w:spacing w:after="0" w:line="240" w:lineRule="auto"/>
              <w:rPr>
                <w:rFonts w:eastAsia="Times New Roman"/>
                <w:sz w:val="16"/>
                <w:szCs w:val="16"/>
              </w:rPr>
            </w:pPr>
            <w:r w:rsidRPr="00CA0AE3">
              <w:rPr>
                <w:sz w:val="16"/>
                <w:szCs w:val="16"/>
              </w:rPr>
              <w:t>Target for new specialties will be specified at the time of the selection of the  specialty and reported with baseline data</w:t>
            </w:r>
          </w:p>
        </w:tc>
      </w:tr>
      <w:tr w:rsidR="00CA2FE3" w:rsidRPr="00CA0AE3" w:rsidTr="003C48F3">
        <w:trPr>
          <w:cantSplit/>
          <w:trHeight w:val="1541"/>
        </w:trPr>
        <w:tc>
          <w:tcPr>
            <w:tcW w:w="358" w:type="dxa"/>
            <w:vMerge/>
            <w:vAlign w:val="center"/>
          </w:tcPr>
          <w:p w:rsidR="00CA2FE3" w:rsidRPr="00CA0AE3" w:rsidRDefault="00CA2FE3" w:rsidP="00D1633A">
            <w:pPr>
              <w:spacing w:after="0" w:line="240" w:lineRule="auto"/>
              <w:jc w:val="center"/>
              <w:rPr>
                <w:sz w:val="16"/>
                <w:szCs w:val="16"/>
              </w:rPr>
            </w:pPr>
          </w:p>
        </w:tc>
        <w:tc>
          <w:tcPr>
            <w:tcW w:w="1529" w:type="dxa"/>
            <w:vMerge/>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rPr>
                <w:sz w:val="16"/>
                <w:szCs w:val="16"/>
              </w:rPr>
            </w:pPr>
          </w:p>
        </w:tc>
        <w:tc>
          <w:tcPr>
            <w:tcW w:w="1170" w:type="dxa"/>
            <w:vMerge/>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sz w:val="16"/>
                <w:szCs w:val="16"/>
              </w:rPr>
            </w:pPr>
          </w:p>
        </w:tc>
        <w:tc>
          <w:tcPr>
            <w:tcW w:w="1260" w:type="dxa"/>
            <w:vMerge/>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sz w:val="16"/>
                <w:szCs w:val="16"/>
              </w:rPr>
            </w:pPr>
          </w:p>
        </w:tc>
        <w:tc>
          <w:tcPr>
            <w:tcW w:w="1440" w:type="dxa"/>
            <w:vMerge/>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bCs/>
                <w:sz w:val="16"/>
                <w:szCs w:val="16"/>
              </w:rPr>
            </w:pPr>
          </w:p>
        </w:tc>
        <w:tc>
          <w:tcPr>
            <w:tcW w:w="1170" w:type="dxa"/>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sz w:val="16"/>
                <w:szCs w:val="16"/>
              </w:rPr>
            </w:pPr>
            <w:r w:rsidRPr="00CA0AE3">
              <w:rPr>
                <w:sz w:val="16"/>
                <w:szCs w:val="16"/>
              </w:rPr>
              <w:t>Gastroenterology</w:t>
            </w:r>
          </w:p>
        </w:tc>
        <w:tc>
          <w:tcPr>
            <w:tcW w:w="1260" w:type="dxa"/>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sz w:val="16"/>
                <w:szCs w:val="16"/>
              </w:rPr>
            </w:pPr>
            <w:r w:rsidRPr="00CA0AE3">
              <w:rPr>
                <w:sz w:val="16"/>
                <w:szCs w:val="16"/>
              </w:rPr>
              <w:t>New Specialty 1</w:t>
            </w:r>
          </w:p>
        </w:tc>
        <w:tc>
          <w:tcPr>
            <w:tcW w:w="1260" w:type="dxa"/>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sz w:val="16"/>
                <w:szCs w:val="16"/>
              </w:rPr>
            </w:pPr>
            <w:r w:rsidRPr="00CA0AE3">
              <w:rPr>
                <w:sz w:val="16"/>
                <w:szCs w:val="16"/>
              </w:rPr>
              <w:t>New Specialty 1</w:t>
            </w:r>
          </w:p>
        </w:tc>
        <w:tc>
          <w:tcPr>
            <w:tcW w:w="1260" w:type="dxa"/>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sz w:val="16"/>
                <w:szCs w:val="16"/>
              </w:rPr>
            </w:pPr>
            <w:r w:rsidRPr="00CA0AE3">
              <w:rPr>
                <w:sz w:val="16"/>
                <w:szCs w:val="16"/>
              </w:rPr>
              <w:t>New Specialty 2</w:t>
            </w:r>
          </w:p>
        </w:tc>
        <w:tc>
          <w:tcPr>
            <w:tcW w:w="1260" w:type="dxa"/>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sz w:val="16"/>
                <w:szCs w:val="16"/>
              </w:rPr>
            </w:pPr>
            <w:r w:rsidRPr="00CA0AE3">
              <w:rPr>
                <w:sz w:val="16"/>
                <w:szCs w:val="16"/>
              </w:rPr>
              <w:t>New Specialty 2</w:t>
            </w:r>
          </w:p>
        </w:tc>
        <w:tc>
          <w:tcPr>
            <w:tcW w:w="1266" w:type="dxa"/>
            <w:vMerge/>
            <w:vAlign w:val="center"/>
          </w:tcPr>
          <w:p w:rsidR="00CA2FE3" w:rsidRPr="00CA0AE3" w:rsidRDefault="00CA2FE3" w:rsidP="00D1633A">
            <w:pPr>
              <w:spacing w:after="0" w:line="240" w:lineRule="auto"/>
              <w:jc w:val="center"/>
              <w:rPr>
                <w:sz w:val="16"/>
                <w:szCs w:val="16"/>
              </w:rPr>
            </w:pPr>
          </w:p>
        </w:tc>
      </w:tr>
      <w:tr w:rsidR="00CA2FE3" w:rsidRPr="00CA0AE3" w:rsidTr="003C48F3">
        <w:trPr>
          <w:cantSplit/>
          <w:trHeight w:val="1334"/>
        </w:trPr>
        <w:tc>
          <w:tcPr>
            <w:tcW w:w="358" w:type="dxa"/>
            <w:vMerge w:val="restart"/>
            <w:vAlign w:val="center"/>
          </w:tcPr>
          <w:p w:rsidR="00CA2FE3" w:rsidRPr="00CA0AE3" w:rsidRDefault="00CA2FE3" w:rsidP="00D1633A">
            <w:pPr>
              <w:spacing w:after="0" w:line="240" w:lineRule="auto"/>
              <w:jc w:val="center"/>
              <w:rPr>
                <w:sz w:val="16"/>
                <w:szCs w:val="16"/>
              </w:rPr>
            </w:pPr>
            <w:r w:rsidRPr="00CA0AE3">
              <w:rPr>
                <w:sz w:val="16"/>
                <w:szCs w:val="16"/>
              </w:rPr>
              <w:t>7</w:t>
            </w:r>
          </w:p>
        </w:tc>
        <w:tc>
          <w:tcPr>
            <w:tcW w:w="1529" w:type="dxa"/>
            <w:vMerge w:val="restart"/>
            <w:shd w:val="clear" w:color="auto" w:fill="auto"/>
            <w:tcMar>
              <w:top w:w="13" w:type="dxa"/>
              <w:left w:w="93" w:type="dxa"/>
              <w:bottom w:w="0" w:type="dxa"/>
              <w:right w:w="93" w:type="dxa"/>
            </w:tcMar>
            <w:vAlign w:val="center"/>
          </w:tcPr>
          <w:p w:rsidR="00CA2FE3" w:rsidRPr="00CA0AE3" w:rsidRDefault="00CA2FE3" w:rsidP="00D1633A">
            <w:pPr>
              <w:spacing w:after="0" w:line="240" w:lineRule="auto"/>
              <w:rPr>
                <w:bCs/>
                <w:sz w:val="16"/>
                <w:szCs w:val="16"/>
              </w:rPr>
            </w:pPr>
            <w:r w:rsidRPr="00CA0AE3">
              <w:rPr>
                <w:sz w:val="16"/>
                <w:szCs w:val="16"/>
              </w:rPr>
              <w:t>Time to first appointment: percentage of referrals to scheduled within 60 days</w:t>
            </w:r>
            <w:r w:rsidRPr="00CA0AE3">
              <w:rPr>
                <w:bCs/>
                <w:sz w:val="16"/>
                <w:szCs w:val="16"/>
              </w:rPr>
              <w:t xml:space="preserve"> for selected specialties within </w:t>
            </w:r>
            <w:r w:rsidRPr="00CA0AE3">
              <w:rPr>
                <w:bCs/>
                <w:sz w:val="16"/>
                <w:szCs w:val="16"/>
              </w:rPr>
              <w:lastRenderedPageBreak/>
              <w:t>the public hospital system:</w:t>
            </w:r>
          </w:p>
          <w:p w:rsidR="00CA2FE3" w:rsidRPr="00CA0AE3" w:rsidRDefault="00CA2FE3" w:rsidP="00D1633A">
            <w:pPr>
              <w:spacing w:after="0" w:line="240" w:lineRule="auto"/>
              <w:rPr>
                <w:sz w:val="16"/>
                <w:szCs w:val="16"/>
              </w:rPr>
            </w:pPr>
            <w:r w:rsidRPr="00CA0AE3">
              <w:rPr>
                <w:sz w:val="16"/>
                <w:szCs w:val="16"/>
              </w:rPr>
              <w:t>(SFY 2018 will continue Gastroenterology) (SFYs 2019 – 2020 will be a 2</w:t>
            </w:r>
            <w:r w:rsidRPr="00CA0AE3">
              <w:rPr>
                <w:sz w:val="16"/>
                <w:szCs w:val="16"/>
                <w:vertAlign w:val="superscript"/>
              </w:rPr>
              <w:t>nd</w:t>
            </w:r>
            <w:r w:rsidRPr="00CA0AE3">
              <w:rPr>
                <w:sz w:val="16"/>
                <w:szCs w:val="16"/>
              </w:rPr>
              <w:t xml:space="preserve"> Specialty Area)</w:t>
            </w:r>
          </w:p>
          <w:p w:rsidR="00CA2FE3" w:rsidRPr="00CA0AE3" w:rsidRDefault="00CA2FE3" w:rsidP="00D1633A">
            <w:pPr>
              <w:spacing w:after="0" w:line="240" w:lineRule="auto"/>
              <w:rPr>
                <w:sz w:val="16"/>
                <w:szCs w:val="16"/>
              </w:rPr>
            </w:pPr>
            <w:r w:rsidRPr="00CA0AE3">
              <w:rPr>
                <w:sz w:val="16"/>
                <w:szCs w:val="16"/>
              </w:rPr>
              <w:t>(SFYs 2021 – 2022 will be a 3</w:t>
            </w:r>
            <w:r w:rsidRPr="00CA0AE3">
              <w:rPr>
                <w:sz w:val="16"/>
                <w:szCs w:val="16"/>
                <w:vertAlign w:val="superscript"/>
              </w:rPr>
              <w:t>rd</w:t>
            </w:r>
            <w:r w:rsidRPr="00CA0AE3">
              <w:rPr>
                <w:sz w:val="16"/>
                <w:szCs w:val="16"/>
              </w:rPr>
              <w:t xml:space="preserve"> Specialty Area)</w:t>
            </w:r>
          </w:p>
        </w:tc>
        <w:tc>
          <w:tcPr>
            <w:tcW w:w="1170" w:type="dxa"/>
            <w:vMerge w:val="restart"/>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sz w:val="16"/>
                <w:szCs w:val="16"/>
              </w:rPr>
            </w:pPr>
            <w:r w:rsidRPr="00CA0AE3">
              <w:rPr>
                <w:sz w:val="16"/>
                <w:szCs w:val="16"/>
              </w:rPr>
              <w:lastRenderedPageBreak/>
              <w:t>Customized Measure</w:t>
            </w:r>
          </w:p>
        </w:tc>
        <w:tc>
          <w:tcPr>
            <w:tcW w:w="1260" w:type="dxa"/>
            <w:vMerge w:val="restart"/>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sz w:val="16"/>
                <w:szCs w:val="16"/>
              </w:rPr>
            </w:pPr>
            <w:r w:rsidRPr="00CA0AE3">
              <w:rPr>
                <w:sz w:val="16"/>
                <w:szCs w:val="16"/>
              </w:rPr>
              <w:t>No external benchmark;</w:t>
            </w:r>
          </w:p>
          <w:p w:rsidR="00CA2FE3" w:rsidRPr="00CA0AE3" w:rsidRDefault="00CA2FE3" w:rsidP="00D1633A">
            <w:pPr>
              <w:spacing w:after="0" w:line="240" w:lineRule="auto"/>
              <w:jc w:val="center"/>
              <w:rPr>
                <w:sz w:val="16"/>
                <w:szCs w:val="16"/>
              </w:rPr>
            </w:pPr>
            <w:r w:rsidRPr="00CA0AE3">
              <w:rPr>
                <w:sz w:val="16"/>
                <w:szCs w:val="16"/>
              </w:rPr>
              <w:t xml:space="preserve">hospital specific improvement target (Gastroenterology=50%; </w:t>
            </w:r>
            <w:r w:rsidRPr="00CA0AE3">
              <w:rPr>
                <w:sz w:val="16"/>
                <w:szCs w:val="16"/>
              </w:rPr>
              <w:lastRenderedPageBreak/>
              <w:t>Applicable to SFY 2018)</w:t>
            </w:r>
          </w:p>
          <w:p w:rsidR="00CA2FE3" w:rsidRPr="00CA0AE3" w:rsidRDefault="00CA2FE3" w:rsidP="00D1633A">
            <w:pPr>
              <w:spacing w:after="0" w:line="240" w:lineRule="auto"/>
              <w:jc w:val="center"/>
              <w:rPr>
                <w:sz w:val="16"/>
                <w:szCs w:val="16"/>
              </w:rPr>
            </w:pPr>
            <w:r w:rsidRPr="00CA0AE3">
              <w:rPr>
                <w:sz w:val="16"/>
                <w:szCs w:val="16"/>
              </w:rPr>
              <w:t>New Specialty Target will be submitted with baseline data for each new specialty</w:t>
            </w:r>
          </w:p>
        </w:tc>
        <w:tc>
          <w:tcPr>
            <w:tcW w:w="1440" w:type="dxa"/>
            <w:vMerge w:val="restart"/>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sz w:val="16"/>
                <w:szCs w:val="16"/>
              </w:rPr>
            </w:pPr>
            <w:r w:rsidRPr="00CA0AE3">
              <w:rPr>
                <w:bCs/>
                <w:sz w:val="16"/>
                <w:szCs w:val="16"/>
              </w:rPr>
              <w:lastRenderedPageBreak/>
              <w:t>Gap to Goal (10%) or attainment at target</w:t>
            </w:r>
          </w:p>
        </w:tc>
        <w:tc>
          <w:tcPr>
            <w:tcW w:w="1170" w:type="dxa"/>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b/>
                <w:sz w:val="16"/>
                <w:szCs w:val="16"/>
              </w:rPr>
            </w:pPr>
            <w:r w:rsidRPr="00CA0AE3">
              <w:rPr>
                <w:b/>
                <w:sz w:val="16"/>
                <w:szCs w:val="16"/>
              </w:rPr>
              <w:t>O</w:t>
            </w:r>
          </w:p>
          <w:p w:rsidR="00CA2FE3" w:rsidRPr="00CA0AE3" w:rsidRDefault="00CA2FE3" w:rsidP="00D1633A">
            <w:pPr>
              <w:spacing w:after="0" w:line="240" w:lineRule="auto"/>
              <w:jc w:val="center"/>
              <w:rPr>
                <w:sz w:val="16"/>
                <w:szCs w:val="16"/>
              </w:rPr>
            </w:pPr>
            <w:r w:rsidRPr="00CA0AE3">
              <w:rPr>
                <w:sz w:val="16"/>
                <w:szCs w:val="16"/>
              </w:rPr>
              <w:t>(4/1/17 -3/31/18)</w:t>
            </w:r>
          </w:p>
        </w:tc>
        <w:tc>
          <w:tcPr>
            <w:tcW w:w="1260" w:type="dxa"/>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b/>
                <w:sz w:val="16"/>
                <w:szCs w:val="16"/>
              </w:rPr>
            </w:pPr>
            <w:r w:rsidRPr="00CA0AE3">
              <w:rPr>
                <w:b/>
                <w:sz w:val="16"/>
                <w:szCs w:val="16"/>
              </w:rPr>
              <w:t>B</w:t>
            </w:r>
          </w:p>
          <w:p w:rsidR="00CA2FE3" w:rsidRPr="00CA0AE3" w:rsidRDefault="00CA2FE3" w:rsidP="00D1633A">
            <w:pPr>
              <w:spacing w:after="0" w:line="240" w:lineRule="auto"/>
              <w:jc w:val="center"/>
              <w:rPr>
                <w:sz w:val="16"/>
                <w:szCs w:val="16"/>
              </w:rPr>
            </w:pPr>
            <w:r w:rsidRPr="00CA0AE3">
              <w:rPr>
                <w:sz w:val="16"/>
                <w:szCs w:val="16"/>
              </w:rPr>
              <w:t>(4/1/18 -3/31/19)</w:t>
            </w:r>
          </w:p>
        </w:tc>
        <w:tc>
          <w:tcPr>
            <w:tcW w:w="1260" w:type="dxa"/>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b/>
                <w:sz w:val="16"/>
                <w:szCs w:val="16"/>
              </w:rPr>
            </w:pPr>
            <w:r w:rsidRPr="00CA0AE3">
              <w:rPr>
                <w:b/>
                <w:sz w:val="16"/>
                <w:szCs w:val="16"/>
              </w:rPr>
              <w:t>O</w:t>
            </w:r>
          </w:p>
          <w:p w:rsidR="00CA2FE3" w:rsidRPr="00CA0AE3" w:rsidRDefault="00CA2FE3" w:rsidP="00D1633A">
            <w:pPr>
              <w:spacing w:after="0" w:line="240" w:lineRule="auto"/>
              <w:jc w:val="center"/>
              <w:rPr>
                <w:sz w:val="16"/>
                <w:szCs w:val="16"/>
              </w:rPr>
            </w:pPr>
            <w:r w:rsidRPr="00CA0AE3">
              <w:rPr>
                <w:sz w:val="16"/>
                <w:szCs w:val="16"/>
              </w:rPr>
              <w:t>(4/1/19 -3/31/20)</w:t>
            </w:r>
          </w:p>
        </w:tc>
        <w:tc>
          <w:tcPr>
            <w:tcW w:w="1260" w:type="dxa"/>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b/>
                <w:sz w:val="16"/>
                <w:szCs w:val="16"/>
              </w:rPr>
            </w:pPr>
            <w:r w:rsidRPr="00CA0AE3">
              <w:rPr>
                <w:b/>
                <w:sz w:val="16"/>
                <w:szCs w:val="16"/>
              </w:rPr>
              <w:t>B</w:t>
            </w:r>
          </w:p>
          <w:p w:rsidR="00CA2FE3" w:rsidRPr="00CA0AE3" w:rsidRDefault="00CA2FE3" w:rsidP="00D1633A">
            <w:pPr>
              <w:spacing w:after="0" w:line="240" w:lineRule="auto"/>
              <w:jc w:val="center"/>
              <w:rPr>
                <w:sz w:val="16"/>
                <w:szCs w:val="16"/>
              </w:rPr>
            </w:pPr>
            <w:r w:rsidRPr="00CA0AE3">
              <w:rPr>
                <w:sz w:val="16"/>
                <w:szCs w:val="16"/>
              </w:rPr>
              <w:t>(4/1/20 -3/31/21)</w:t>
            </w:r>
          </w:p>
        </w:tc>
        <w:tc>
          <w:tcPr>
            <w:tcW w:w="1260" w:type="dxa"/>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b/>
                <w:sz w:val="16"/>
                <w:szCs w:val="16"/>
              </w:rPr>
            </w:pPr>
            <w:r w:rsidRPr="00CA0AE3">
              <w:rPr>
                <w:b/>
                <w:sz w:val="16"/>
                <w:szCs w:val="16"/>
              </w:rPr>
              <w:t>O</w:t>
            </w:r>
          </w:p>
          <w:p w:rsidR="00CA2FE3" w:rsidRPr="00CA0AE3" w:rsidRDefault="00CA2FE3" w:rsidP="00D1633A">
            <w:pPr>
              <w:spacing w:after="0" w:line="240" w:lineRule="auto"/>
              <w:jc w:val="center"/>
              <w:rPr>
                <w:sz w:val="16"/>
                <w:szCs w:val="16"/>
              </w:rPr>
            </w:pPr>
            <w:r w:rsidRPr="00CA0AE3">
              <w:rPr>
                <w:sz w:val="16"/>
                <w:szCs w:val="16"/>
              </w:rPr>
              <w:t>(4/1/21 - 3/31/22)</w:t>
            </w:r>
          </w:p>
        </w:tc>
        <w:tc>
          <w:tcPr>
            <w:tcW w:w="1266" w:type="dxa"/>
            <w:vMerge w:val="restart"/>
            <w:vAlign w:val="center"/>
          </w:tcPr>
          <w:p w:rsidR="00CA2FE3" w:rsidRPr="00CA0AE3" w:rsidRDefault="00CA2FE3" w:rsidP="00D1633A">
            <w:pPr>
              <w:spacing w:after="0" w:line="240" w:lineRule="auto"/>
              <w:rPr>
                <w:rFonts w:eastAsia="Times New Roman"/>
                <w:sz w:val="16"/>
                <w:szCs w:val="16"/>
              </w:rPr>
            </w:pPr>
            <w:r w:rsidRPr="00CA0AE3">
              <w:rPr>
                <w:sz w:val="16"/>
                <w:szCs w:val="16"/>
              </w:rPr>
              <w:t xml:space="preserve">Target for new specialties will be specified at the time of the selection of the  specialty and </w:t>
            </w:r>
            <w:r w:rsidRPr="00CA0AE3">
              <w:rPr>
                <w:sz w:val="16"/>
                <w:szCs w:val="16"/>
              </w:rPr>
              <w:lastRenderedPageBreak/>
              <w:t>reported with baseline data</w:t>
            </w:r>
          </w:p>
        </w:tc>
      </w:tr>
      <w:tr w:rsidR="00CA2FE3" w:rsidRPr="00CA0AE3" w:rsidTr="003C48F3">
        <w:trPr>
          <w:cantSplit/>
          <w:trHeight w:val="1334"/>
        </w:trPr>
        <w:tc>
          <w:tcPr>
            <w:tcW w:w="358" w:type="dxa"/>
            <w:vMerge/>
            <w:vAlign w:val="center"/>
          </w:tcPr>
          <w:p w:rsidR="00CA2FE3" w:rsidRPr="00CA0AE3" w:rsidRDefault="00CA2FE3" w:rsidP="00D1633A">
            <w:pPr>
              <w:spacing w:after="0" w:line="240" w:lineRule="auto"/>
              <w:jc w:val="center"/>
              <w:rPr>
                <w:sz w:val="16"/>
                <w:szCs w:val="16"/>
              </w:rPr>
            </w:pPr>
          </w:p>
        </w:tc>
        <w:tc>
          <w:tcPr>
            <w:tcW w:w="1529" w:type="dxa"/>
            <w:vMerge/>
            <w:shd w:val="clear" w:color="auto" w:fill="auto"/>
            <w:tcMar>
              <w:top w:w="13" w:type="dxa"/>
              <w:left w:w="93" w:type="dxa"/>
              <w:bottom w:w="0" w:type="dxa"/>
              <w:right w:w="93" w:type="dxa"/>
            </w:tcMar>
            <w:vAlign w:val="center"/>
          </w:tcPr>
          <w:p w:rsidR="00CA2FE3" w:rsidRPr="00CA0AE3" w:rsidRDefault="00CA2FE3" w:rsidP="00D1633A">
            <w:pPr>
              <w:spacing w:after="0" w:line="240" w:lineRule="auto"/>
              <w:rPr>
                <w:sz w:val="16"/>
                <w:szCs w:val="16"/>
              </w:rPr>
            </w:pPr>
          </w:p>
        </w:tc>
        <w:tc>
          <w:tcPr>
            <w:tcW w:w="1170" w:type="dxa"/>
            <w:vMerge/>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sz w:val="16"/>
                <w:szCs w:val="16"/>
              </w:rPr>
            </w:pPr>
          </w:p>
        </w:tc>
        <w:tc>
          <w:tcPr>
            <w:tcW w:w="1260" w:type="dxa"/>
            <w:vMerge/>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sz w:val="16"/>
                <w:szCs w:val="16"/>
              </w:rPr>
            </w:pPr>
          </w:p>
        </w:tc>
        <w:tc>
          <w:tcPr>
            <w:tcW w:w="1440" w:type="dxa"/>
            <w:vMerge/>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bCs/>
                <w:sz w:val="16"/>
                <w:szCs w:val="16"/>
              </w:rPr>
            </w:pPr>
          </w:p>
        </w:tc>
        <w:tc>
          <w:tcPr>
            <w:tcW w:w="1170" w:type="dxa"/>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sz w:val="16"/>
                <w:szCs w:val="16"/>
              </w:rPr>
            </w:pPr>
            <w:r w:rsidRPr="00CA0AE3">
              <w:rPr>
                <w:sz w:val="16"/>
                <w:szCs w:val="16"/>
              </w:rPr>
              <w:t>Gastroenterology</w:t>
            </w:r>
          </w:p>
        </w:tc>
        <w:tc>
          <w:tcPr>
            <w:tcW w:w="1260" w:type="dxa"/>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sz w:val="16"/>
                <w:szCs w:val="16"/>
              </w:rPr>
            </w:pPr>
            <w:r w:rsidRPr="00CA0AE3">
              <w:rPr>
                <w:sz w:val="16"/>
                <w:szCs w:val="16"/>
              </w:rPr>
              <w:t>New Specialty 1</w:t>
            </w:r>
          </w:p>
        </w:tc>
        <w:tc>
          <w:tcPr>
            <w:tcW w:w="1260" w:type="dxa"/>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sz w:val="16"/>
                <w:szCs w:val="16"/>
              </w:rPr>
            </w:pPr>
            <w:r w:rsidRPr="00CA0AE3">
              <w:rPr>
                <w:sz w:val="16"/>
                <w:szCs w:val="16"/>
              </w:rPr>
              <w:t>New Specialty 1</w:t>
            </w:r>
          </w:p>
        </w:tc>
        <w:tc>
          <w:tcPr>
            <w:tcW w:w="1260" w:type="dxa"/>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sz w:val="16"/>
                <w:szCs w:val="16"/>
              </w:rPr>
            </w:pPr>
            <w:r w:rsidRPr="00CA0AE3">
              <w:rPr>
                <w:sz w:val="16"/>
                <w:szCs w:val="16"/>
              </w:rPr>
              <w:t>New Specialty 2</w:t>
            </w:r>
          </w:p>
        </w:tc>
        <w:tc>
          <w:tcPr>
            <w:tcW w:w="1260" w:type="dxa"/>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sz w:val="16"/>
                <w:szCs w:val="16"/>
              </w:rPr>
            </w:pPr>
            <w:r w:rsidRPr="00CA0AE3">
              <w:rPr>
                <w:sz w:val="16"/>
                <w:szCs w:val="16"/>
              </w:rPr>
              <w:t>New Specialty 2</w:t>
            </w:r>
          </w:p>
        </w:tc>
        <w:tc>
          <w:tcPr>
            <w:tcW w:w="1266" w:type="dxa"/>
            <w:vMerge/>
            <w:vAlign w:val="center"/>
          </w:tcPr>
          <w:p w:rsidR="00CA2FE3" w:rsidRPr="00CA0AE3" w:rsidRDefault="00CA2FE3" w:rsidP="00D1633A">
            <w:pPr>
              <w:spacing w:after="0" w:line="240" w:lineRule="auto"/>
              <w:rPr>
                <w:sz w:val="16"/>
                <w:szCs w:val="16"/>
              </w:rPr>
            </w:pPr>
          </w:p>
        </w:tc>
      </w:tr>
      <w:tr w:rsidR="00CA2FE3" w:rsidRPr="00CA0AE3" w:rsidTr="003C48F3">
        <w:trPr>
          <w:cantSplit/>
        </w:trPr>
        <w:tc>
          <w:tcPr>
            <w:tcW w:w="358" w:type="dxa"/>
            <w:vAlign w:val="center"/>
          </w:tcPr>
          <w:p w:rsidR="00CA2FE3" w:rsidRPr="00CA0AE3" w:rsidRDefault="00CA2FE3" w:rsidP="00D1633A">
            <w:pPr>
              <w:spacing w:after="0" w:line="240" w:lineRule="auto"/>
              <w:jc w:val="center"/>
              <w:rPr>
                <w:sz w:val="16"/>
                <w:szCs w:val="16"/>
              </w:rPr>
            </w:pPr>
            <w:r w:rsidRPr="00CA0AE3">
              <w:rPr>
                <w:sz w:val="16"/>
                <w:szCs w:val="16"/>
              </w:rPr>
              <w:t>8</w:t>
            </w:r>
          </w:p>
        </w:tc>
        <w:tc>
          <w:tcPr>
            <w:tcW w:w="1529" w:type="dxa"/>
            <w:shd w:val="clear" w:color="auto" w:fill="auto"/>
            <w:tcMar>
              <w:top w:w="13" w:type="dxa"/>
              <w:left w:w="93" w:type="dxa"/>
              <w:bottom w:w="0" w:type="dxa"/>
              <w:right w:w="93" w:type="dxa"/>
            </w:tcMar>
            <w:vAlign w:val="center"/>
          </w:tcPr>
          <w:p w:rsidR="00CA2FE3" w:rsidRPr="00CA0AE3" w:rsidRDefault="00CA2FE3" w:rsidP="00D1633A">
            <w:pPr>
              <w:spacing w:after="0" w:line="240" w:lineRule="auto"/>
              <w:rPr>
                <w:sz w:val="16"/>
                <w:szCs w:val="16"/>
              </w:rPr>
            </w:pPr>
            <w:r w:rsidRPr="00CA0AE3">
              <w:rPr>
                <w:bCs/>
                <w:sz w:val="16"/>
                <w:szCs w:val="16"/>
              </w:rPr>
              <w:t xml:space="preserve">Increase the # of E-Consults referrals made by public hospital primary care providers to defined public hospital specialists </w:t>
            </w:r>
          </w:p>
        </w:tc>
        <w:tc>
          <w:tcPr>
            <w:tcW w:w="1170" w:type="dxa"/>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sz w:val="16"/>
                <w:szCs w:val="16"/>
              </w:rPr>
            </w:pPr>
            <w:r w:rsidRPr="00CA0AE3">
              <w:rPr>
                <w:sz w:val="16"/>
                <w:szCs w:val="16"/>
              </w:rPr>
              <w:t>Customized Measure</w:t>
            </w:r>
          </w:p>
        </w:tc>
        <w:tc>
          <w:tcPr>
            <w:tcW w:w="1260" w:type="dxa"/>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sz w:val="16"/>
                <w:szCs w:val="16"/>
              </w:rPr>
            </w:pPr>
            <w:r w:rsidRPr="00CA0AE3">
              <w:rPr>
                <w:sz w:val="16"/>
                <w:szCs w:val="16"/>
              </w:rPr>
              <w:t>No external benchmark;</w:t>
            </w:r>
          </w:p>
          <w:p w:rsidR="00CA2FE3" w:rsidRPr="00CA0AE3" w:rsidRDefault="00CA2FE3" w:rsidP="00D1633A">
            <w:pPr>
              <w:spacing w:after="0" w:line="240" w:lineRule="auto"/>
              <w:jc w:val="center"/>
              <w:rPr>
                <w:sz w:val="16"/>
                <w:szCs w:val="16"/>
              </w:rPr>
            </w:pPr>
            <w:r w:rsidRPr="00CA0AE3">
              <w:rPr>
                <w:sz w:val="16"/>
                <w:szCs w:val="16"/>
              </w:rPr>
              <w:t>hospital specific improvement over SFY 2018 baseline</w:t>
            </w:r>
          </w:p>
        </w:tc>
        <w:tc>
          <w:tcPr>
            <w:tcW w:w="1440" w:type="dxa"/>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bCs/>
                <w:sz w:val="16"/>
                <w:szCs w:val="16"/>
              </w:rPr>
            </w:pPr>
            <w:r w:rsidRPr="00CA0AE3">
              <w:rPr>
                <w:bCs/>
                <w:sz w:val="16"/>
                <w:szCs w:val="16"/>
              </w:rPr>
              <w:t>Defined improvement over SFY 2018 baseline</w:t>
            </w:r>
          </w:p>
          <w:p w:rsidR="00CA2FE3" w:rsidRPr="00CA0AE3" w:rsidRDefault="00CA2FE3" w:rsidP="00D1633A">
            <w:pPr>
              <w:spacing w:after="0" w:line="240" w:lineRule="auto"/>
              <w:jc w:val="center"/>
              <w:rPr>
                <w:bCs/>
                <w:sz w:val="16"/>
                <w:szCs w:val="16"/>
              </w:rPr>
            </w:pPr>
          </w:p>
        </w:tc>
        <w:tc>
          <w:tcPr>
            <w:tcW w:w="1170" w:type="dxa"/>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b/>
                <w:sz w:val="16"/>
                <w:szCs w:val="16"/>
              </w:rPr>
            </w:pPr>
            <w:r w:rsidRPr="00CA0AE3">
              <w:rPr>
                <w:b/>
                <w:sz w:val="16"/>
                <w:szCs w:val="16"/>
              </w:rPr>
              <w:t>B</w:t>
            </w:r>
          </w:p>
          <w:p w:rsidR="00CA2FE3" w:rsidRPr="00CA0AE3" w:rsidRDefault="00CA2FE3" w:rsidP="00D1633A">
            <w:pPr>
              <w:spacing w:after="0" w:line="240" w:lineRule="auto"/>
              <w:jc w:val="center"/>
              <w:rPr>
                <w:sz w:val="16"/>
                <w:szCs w:val="16"/>
              </w:rPr>
            </w:pPr>
            <w:r w:rsidRPr="00CA0AE3">
              <w:rPr>
                <w:sz w:val="16"/>
                <w:szCs w:val="16"/>
              </w:rPr>
              <w:t>(4/1/17 -3/31/18)</w:t>
            </w:r>
          </w:p>
        </w:tc>
        <w:tc>
          <w:tcPr>
            <w:tcW w:w="1260" w:type="dxa"/>
            <w:shd w:val="clear" w:color="auto" w:fill="auto"/>
            <w:tcMar>
              <w:top w:w="13" w:type="dxa"/>
              <w:left w:w="93" w:type="dxa"/>
              <w:bottom w:w="0" w:type="dxa"/>
              <w:right w:w="93" w:type="dxa"/>
            </w:tcMar>
          </w:tcPr>
          <w:p w:rsidR="00CA2FE3" w:rsidRPr="00CA0AE3" w:rsidRDefault="00CA2FE3" w:rsidP="00D1633A">
            <w:pPr>
              <w:spacing w:after="0" w:line="240" w:lineRule="auto"/>
              <w:jc w:val="center"/>
              <w:rPr>
                <w:b/>
                <w:sz w:val="16"/>
                <w:szCs w:val="16"/>
              </w:rPr>
            </w:pPr>
            <w:r w:rsidRPr="00CA0AE3">
              <w:rPr>
                <w:b/>
                <w:sz w:val="16"/>
                <w:szCs w:val="16"/>
              </w:rPr>
              <w:t>O</w:t>
            </w:r>
          </w:p>
          <w:p w:rsidR="00CA2FE3" w:rsidRPr="00CA0AE3" w:rsidRDefault="00CA2FE3" w:rsidP="00D1633A">
            <w:pPr>
              <w:spacing w:after="0" w:line="240" w:lineRule="auto"/>
              <w:jc w:val="center"/>
              <w:rPr>
                <w:sz w:val="16"/>
                <w:szCs w:val="16"/>
              </w:rPr>
            </w:pPr>
            <w:r w:rsidRPr="00CA0AE3">
              <w:rPr>
                <w:sz w:val="16"/>
                <w:szCs w:val="16"/>
              </w:rPr>
              <w:t>10% improvement over SFY18 baseline</w:t>
            </w:r>
          </w:p>
          <w:p w:rsidR="00CA2FE3" w:rsidRPr="00CA0AE3" w:rsidRDefault="00CA2FE3" w:rsidP="00D1633A">
            <w:pPr>
              <w:spacing w:after="0" w:line="240" w:lineRule="auto"/>
              <w:jc w:val="center"/>
              <w:rPr>
                <w:b/>
                <w:sz w:val="16"/>
                <w:szCs w:val="16"/>
              </w:rPr>
            </w:pPr>
            <w:r w:rsidRPr="00CA0AE3">
              <w:rPr>
                <w:sz w:val="16"/>
                <w:szCs w:val="16"/>
              </w:rPr>
              <w:t>(4/1/18 -3/31/19)</w:t>
            </w:r>
          </w:p>
        </w:tc>
        <w:tc>
          <w:tcPr>
            <w:tcW w:w="1260" w:type="dxa"/>
            <w:shd w:val="clear" w:color="auto" w:fill="auto"/>
            <w:tcMar>
              <w:top w:w="13" w:type="dxa"/>
              <w:left w:w="93" w:type="dxa"/>
              <w:bottom w:w="0" w:type="dxa"/>
              <w:right w:w="93" w:type="dxa"/>
            </w:tcMar>
          </w:tcPr>
          <w:p w:rsidR="00CA2FE3" w:rsidRPr="00CA0AE3" w:rsidRDefault="00CA2FE3" w:rsidP="00D1633A">
            <w:pPr>
              <w:spacing w:after="0" w:line="240" w:lineRule="auto"/>
              <w:jc w:val="center"/>
              <w:rPr>
                <w:b/>
                <w:sz w:val="16"/>
                <w:szCs w:val="16"/>
              </w:rPr>
            </w:pPr>
            <w:r w:rsidRPr="00CA0AE3">
              <w:rPr>
                <w:b/>
                <w:sz w:val="16"/>
                <w:szCs w:val="16"/>
              </w:rPr>
              <w:t>O</w:t>
            </w:r>
          </w:p>
          <w:p w:rsidR="00CA2FE3" w:rsidRPr="00CA0AE3" w:rsidRDefault="00CA2FE3" w:rsidP="00D1633A">
            <w:pPr>
              <w:spacing w:after="0" w:line="240" w:lineRule="auto"/>
              <w:jc w:val="center"/>
              <w:rPr>
                <w:sz w:val="16"/>
                <w:szCs w:val="16"/>
              </w:rPr>
            </w:pPr>
            <w:r w:rsidRPr="00CA0AE3">
              <w:rPr>
                <w:sz w:val="16"/>
                <w:szCs w:val="16"/>
              </w:rPr>
              <w:t>20% improvement over SFY18 baseline</w:t>
            </w:r>
          </w:p>
          <w:p w:rsidR="00CA2FE3" w:rsidRPr="00CA0AE3" w:rsidRDefault="00CA2FE3" w:rsidP="00D1633A">
            <w:pPr>
              <w:spacing w:after="0" w:line="240" w:lineRule="auto"/>
              <w:jc w:val="center"/>
              <w:rPr>
                <w:b/>
                <w:sz w:val="16"/>
                <w:szCs w:val="16"/>
              </w:rPr>
            </w:pPr>
            <w:r w:rsidRPr="00CA0AE3">
              <w:rPr>
                <w:sz w:val="16"/>
                <w:szCs w:val="16"/>
              </w:rPr>
              <w:t>(4/1/19 -3/31/20)</w:t>
            </w:r>
          </w:p>
        </w:tc>
        <w:tc>
          <w:tcPr>
            <w:tcW w:w="1260" w:type="dxa"/>
            <w:shd w:val="clear" w:color="auto" w:fill="auto"/>
            <w:tcMar>
              <w:top w:w="13" w:type="dxa"/>
              <w:left w:w="93" w:type="dxa"/>
              <w:bottom w:w="0" w:type="dxa"/>
              <w:right w:w="93" w:type="dxa"/>
            </w:tcMar>
          </w:tcPr>
          <w:p w:rsidR="00CA2FE3" w:rsidRPr="00CA0AE3" w:rsidRDefault="00CA2FE3" w:rsidP="00D1633A">
            <w:pPr>
              <w:spacing w:after="0" w:line="240" w:lineRule="auto"/>
              <w:jc w:val="center"/>
              <w:rPr>
                <w:b/>
                <w:sz w:val="16"/>
                <w:szCs w:val="16"/>
              </w:rPr>
            </w:pPr>
            <w:r w:rsidRPr="00CA0AE3">
              <w:rPr>
                <w:b/>
                <w:sz w:val="16"/>
                <w:szCs w:val="16"/>
              </w:rPr>
              <w:t>O</w:t>
            </w:r>
          </w:p>
          <w:p w:rsidR="00CA2FE3" w:rsidRPr="00CA0AE3" w:rsidRDefault="00CA2FE3" w:rsidP="00D1633A">
            <w:pPr>
              <w:spacing w:after="0" w:line="240" w:lineRule="auto"/>
              <w:jc w:val="center"/>
              <w:rPr>
                <w:sz w:val="16"/>
                <w:szCs w:val="16"/>
              </w:rPr>
            </w:pPr>
            <w:r w:rsidRPr="00CA0AE3">
              <w:rPr>
                <w:sz w:val="16"/>
                <w:szCs w:val="16"/>
              </w:rPr>
              <w:t>30% improvement over SFY18 baseline</w:t>
            </w:r>
          </w:p>
          <w:p w:rsidR="00CA2FE3" w:rsidRPr="00CA0AE3" w:rsidRDefault="00CA2FE3" w:rsidP="00D1633A">
            <w:pPr>
              <w:spacing w:after="0" w:line="240" w:lineRule="auto"/>
              <w:jc w:val="center"/>
              <w:rPr>
                <w:b/>
                <w:sz w:val="16"/>
                <w:szCs w:val="16"/>
              </w:rPr>
            </w:pPr>
            <w:r w:rsidRPr="00CA0AE3">
              <w:rPr>
                <w:sz w:val="16"/>
                <w:szCs w:val="16"/>
              </w:rPr>
              <w:t>(4/1/20 -3/31/21)</w:t>
            </w:r>
          </w:p>
        </w:tc>
        <w:tc>
          <w:tcPr>
            <w:tcW w:w="1260" w:type="dxa"/>
            <w:shd w:val="clear" w:color="auto" w:fill="auto"/>
            <w:tcMar>
              <w:top w:w="13" w:type="dxa"/>
              <w:left w:w="93" w:type="dxa"/>
              <w:bottom w:w="0" w:type="dxa"/>
              <w:right w:w="93" w:type="dxa"/>
            </w:tcMar>
          </w:tcPr>
          <w:p w:rsidR="00CA2FE3" w:rsidRPr="00CA0AE3" w:rsidRDefault="00CA2FE3" w:rsidP="00D1633A">
            <w:pPr>
              <w:spacing w:after="0" w:line="240" w:lineRule="auto"/>
              <w:jc w:val="center"/>
              <w:rPr>
                <w:b/>
                <w:sz w:val="16"/>
                <w:szCs w:val="16"/>
              </w:rPr>
            </w:pPr>
            <w:r w:rsidRPr="00CA0AE3">
              <w:rPr>
                <w:b/>
                <w:sz w:val="16"/>
                <w:szCs w:val="16"/>
              </w:rPr>
              <w:t>O</w:t>
            </w:r>
          </w:p>
          <w:p w:rsidR="00CA2FE3" w:rsidRPr="00CA0AE3" w:rsidRDefault="00CA2FE3" w:rsidP="00D1633A">
            <w:pPr>
              <w:spacing w:after="0" w:line="240" w:lineRule="auto"/>
              <w:jc w:val="center"/>
              <w:rPr>
                <w:sz w:val="16"/>
                <w:szCs w:val="16"/>
              </w:rPr>
            </w:pPr>
            <w:r w:rsidRPr="00CA0AE3">
              <w:rPr>
                <w:sz w:val="16"/>
                <w:szCs w:val="16"/>
              </w:rPr>
              <w:t>40% improvement over SFY18 baseline</w:t>
            </w:r>
          </w:p>
          <w:p w:rsidR="00CA2FE3" w:rsidRPr="00CA0AE3" w:rsidRDefault="00CA2FE3" w:rsidP="00D1633A">
            <w:pPr>
              <w:spacing w:after="0" w:line="240" w:lineRule="auto"/>
              <w:jc w:val="center"/>
              <w:rPr>
                <w:b/>
                <w:sz w:val="16"/>
                <w:szCs w:val="16"/>
              </w:rPr>
            </w:pPr>
            <w:r w:rsidRPr="00CA0AE3">
              <w:rPr>
                <w:sz w:val="16"/>
                <w:szCs w:val="16"/>
              </w:rPr>
              <w:t>(4/1/21 - 3/31/22)</w:t>
            </w:r>
          </w:p>
        </w:tc>
        <w:tc>
          <w:tcPr>
            <w:tcW w:w="1266" w:type="dxa"/>
            <w:vAlign w:val="center"/>
          </w:tcPr>
          <w:p w:rsidR="00CA2FE3" w:rsidRPr="00CA0AE3" w:rsidRDefault="00CA2FE3" w:rsidP="00D1633A">
            <w:pPr>
              <w:spacing w:after="0" w:line="240" w:lineRule="auto"/>
              <w:rPr>
                <w:rFonts w:eastAsia="Times New Roman"/>
                <w:sz w:val="16"/>
                <w:szCs w:val="16"/>
              </w:rPr>
            </w:pPr>
            <w:r w:rsidRPr="00CA0AE3">
              <w:rPr>
                <w:rFonts w:eastAsia="Times New Roman"/>
                <w:sz w:val="16"/>
                <w:szCs w:val="16"/>
              </w:rPr>
              <w:t>Increased access for consultative services to facilitate care and access for patients to critical specialties</w:t>
            </w:r>
          </w:p>
        </w:tc>
      </w:tr>
      <w:tr w:rsidR="00CA2FE3" w:rsidRPr="00CA0AE3" w:rsidTr="003C48F3">
        <w:trPr>
          <w:cantSplit/>
        </w:trPr>
        <w:tc>
          <w:tcPr>
            <w:tcW w:w="358" w:type="dxa"/>
            <w:vAlign w:val="center"/>
          </w:tcPr>
          <w:p w:rsidR="00CA2FE3" w:rsidRPr="00CA0AE3" w:rsidRDefault="00CA2FE3" w:rsidP="00D1633A">
            <w:pPr>
              <w:spacing w:after="0" w:line="240" w:lineRule="auto"/>
              <w:jc w:val="center"/>
              <w:rPr>
                <w:sz w:val="16"/>
                <w:szCs w:val="16"/>
              </w:rPr>
            </w:pPr>
            <w:r w:rsidRPr="00CA0AE3">
              <w:rPr>
                <w:sz w:val="16"/>
                <w:szCs w:val="16"/>
              </w:rPr>
              <w:t>9</w:t>
            </w:r>
          </w:p>
        </w:tc>
        <w:tc>
          <w:tcPr>
            <w:tcW w:w="1529" w:type="dxa"/>
            <w:shd w:val="clear" w:color="auto" w:fill="auto"/>
            <w:tcMar>
              <w:top w:w="13" w:type="dxa"/>
              <w:left w:w="93" w:type="dxa"/>
              <w:bottom w:w="0" w:type="dxa"/>
              <w:right w:w="93" w:type="dxa"/>
            </w:tcMar>
            <w:vAlign w:val="center"/>
          </w:tcPr>
          <w:p w:rsidR="00CA2FE3" w:rsidRPr="00CA0AE3" w:rsidRDefault="00CA2FE3" w:rsidP="00D1633A">
            <w:pPr>
              <w:spacing w:after="0" w:line="240" w:lineRule="auto"/>
              <w:rPr>
                <w:sz w:val="16"/>
                <w:szCs w:val="16"/>
              </w:rPr>
            </w:pPr>
            <w:r w:rsidRPr="00CA0AE3">
              <w:rPr>
                <w:sz w:val="16"/>
                <w:szCs w:val="16"/>
              </w:rPr>
              <w:t>Demonstrate improvement in colorectal cancer screening rates (for active pubic hospital primary care patients)</w:t>
            </w:r>
          </w:p>
        </w:tc>
        <w:tc>
          <w:tcPr>
            <w:tcW w:w="1170" w:type="dxa"/>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sz w:val="16"/>
                <w:szCs w:val="16"/>
              </w:rPr>
            </w:pPr>
            <w:r w:rsidRPr="00CA0AE3">
              <w:rPr>
                <w:sz w:val="16"/>
                <w:szCs w:val="16"/>
              </w:rPr>
              <w:t>NQF 0034</w:t>
            </w:r>
          </w:p>
        </w:tc>
        <w:tc>
          <w:tcPr>
            <w:tcW w:w="1260" w:type="dxa"/>
            <w:shd w:val="clear" w:color="auto" w:fill="auto"/>
            <w:tcMar>
              <w:top w:w="13" w:type="dxa"/>
              <w:left w:w="93" w:type="dxa"/>
              <w:bottom w:w="0" w:type="dxa"/>
              <w:right w:w="93" w:type="dxa"/>
            </w:tcMar>
            <w:vAlign w:val="center"/>
          </w:tcPr>
          <w:p w:rsidR="00CA2FE3" w:rsidRPr="00CA0AE3" w:rsidRDefault="00CA2FE3" w:rsidP="00D1633A">
            <w:pPr>
              <w:pStyle w:val="Default"/>
              <w:jc w:val="center"/>
              <w:rPr>
                <w:color w:val="auto"/>
                <w:sz w:val="16"/>
                <w:szCs w:val="16"/>
              </w:rPr>
            </w:pPr>
            <w:r w:rsidRPr="00CA0AE3">
              <w:rPr>
                <w:color w:val="auto"/>
                <w:sz w:val="16"/>
                <w:szCs w:val="16"/>
              </w:rPr>
              <w:t xml:space="preserve">National (HEDIS) Commercial 2014 90th percentile = 72% </w:t>
            </w:r>
          </w:p>
          <w:p w:rsidR="00CA2FE3" w:rsidRPr="00CA0AE3" w:rsidRDefault="00CA2FE3" w:rsidP="00D1633A">
            <w:pPr>
              <w:spacing w:after="0" w:line="240" w:lineRule="auto"/>
              <w:jc w:val="center"/>
              <w:rPr>
                <w:sz w:val="16"/>
                <w:szCs w:val="16"/>
              </w:rPr>
            </w:pPr>
          </w:p>
        </w:tc>
        <w:tc>
          <w:tcPr>
            <w:tcW w:w="1440" w:type="dxa"/>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bCs/>
                <w:sz w:val="16"/>
                <w:szCs w:val="16"/>
              </w:rPr>
            </w:pPr>
            <w:r w:rsidRPr="00CA0AE3">
              <w:rPr>
                <w:bCs/>
                <w:sz w:val="16"/>
                <w:szCs w:val="16"/>
              </w:rPr>
              <w:t>Gap to Goal (10%) or attainment at target</w:t>
            </w:r>
          </w:p>
          <w:p w:rsidR="00CA2FE3" w:rsidRPr="00CA0AE3" w:rsidRDefault="00CA2FE3" w:rsidP="00D1633A">
            <w:pPr>
              <w:spacing w:after="0" w:line="240" w:lineRule="auto"/>
              <w:jc w:val="center"/>
              <w:rPr>
                <w:bCs/>
                <w:sz w:val="16"/>
                <w:szCs w:val="16"/>
              </w:rPr>
            </w:pPr>
          </w:p>
        </w:tc>
        <w:tc>
          <w:tcPr>
            <w:tcW w:w="1170" w:type="dxa"/>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b/>
                <w:sz w:val="16"/>
                <w:szCs w:val="16"/>
              </w:rPr>
            </w:pPr>
            <w:r w:rsidRPr="00CA0AE3">
              <w:rPr>
                <w:b/>
                <w:sz w:val="16"/>
                <w:szCs w:val="16"/>
              </w:rPr>
              <w:t>O</w:t>
            </w:r>
          </w:p>
        </w:tc>
        <w:tc>
          <w:tcPr>
            <w:tcW w:w="1260" w:type="dxa"/>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b/>
                <w:sz w:val="16"/>
                <w:szCs w:val="16"/>
              </w:rPr>
            </w:pPr>
            <w:r w:rsidRPr="00CA0AE3">
              <w:rPr>
                <w:b/>
                <w:sz w:val="16"/>
                <w:szCs w:val="16"/>
              </w:rPr>
              <w:t>O</w:t>
            </w:r>
          </w:p>
        </w:tc>
        <w:tc>
          <w:tcPr>
            <w:tcW w:w="1260" w:type="dxa"/>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b/>
                <w:sz w:val="16"/>
                <w:szCs w:val="16"/>
              </w:rPr>
            </w:pPr>
            <w:r w:rsidRPr="00CA0AE3">
              <w:rPr>
                <w:b/>
                <w:sz w:val="16"/>
                <w:szCs w:val="16"/>
              </w:rPr>
              <w:t>O</w:t>
            </w:r>
          </w:p>
        </w:tc>
        <w:tc>
          <w:tcPr>
            <w:tcW w:w="1260" w:type="dxa"/>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b/>
                <w:sz w:val="16"/>
                <w:szCs w:val="16"/>
              </w:rPr>
            </w:pPr>
            <w:r w:rsidRPr="00CA0AE3">
              <w:rPr>
                <w:b/>
                <w:sz w:val="16"/>
                <w:szCs w:val="16"/>
              </w:rPr>
              <w:t>O</w:t>
            </w:r>
          </w:p>
        </w:tc>
        <w:tc>
          <w:tcPr>
            <w:tcW w:w="1260" w:type="dxa"/>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b/>
                <w:sz w:val="16"/>
                <w:szCs w:val="16"/>
              </w:rPr>
            </w:pPr>
            <w:r w:rsidRPr="00CA0AE3">
              <w:rPr>
                <w:b/>
                <w:sz w:val="16"/>
                <w:szCs w:val="16"/>
              </w:rPr>
              <w:t>O</w:t>
            </w:r>
          </w:p>
        </w:tc>
        <w:tc>
          <w:tcPr>
            <w:tcW w:w="1266" w:type="dxa"/>
            <w:vAlign w:val="center"/>
          </w:tcPr>
          <w:p w:rsidR="00CA2FE3" w:rsidRPr="00CA0AE3" w:rsidRDefault="00CA2FE3" w:rsidP="00D1633A">
            <w:pPr>
              <w:spacing w:after="0" w:line="240" w:lineRule="auto"/>
              <w:rPr>
                <w:rFonts w:eastAsia="Times New Roman"/>
                <w:sz w:val="16"/>
                <w:szCs w:val="16"/>
              </w:rPr>
            </w:pPr>
          </w:p>
        </w:tc>
      </w:tr>
      <w:tr w:rsidR="00CA2FE3" w:rsidRPr="00CA0AE3" w:rsidTr="003C48F3">
        <w:trPr>
          <w:cantSplit/>
        </w:trPr>
        <w:tc>
          <w:tcPr>
            <w:tcW w:w="358" w:type="dxa"/>
            <w:vAlign w:val="center"/>
          </w:tcPr>
          <w:p w:rsidR="00CA2FE3" w:rsidRPr="00CA0AE3" w:rsidRDefault="00CA2FE3" w:rsidP="00D1633A">
            <w:pPr>
              <w:spacing w:after="0" w:line="240" w:lineRule="auto"/>
              <w:jc w:val="center"/>
              <w:rPr>
                <w:sz w:val="16"/>
                <w:szCs w:val="16"/>
              </w:rPr>
            </w:pPr>
            <w:r w:rsidRPr="00CA0AE3">
              <w:rPr>
                <w:sz w:val="16"/>
                <w:szCs w:val="16"/>
              </w:rPr>
              <w:t>10</w:t>
            </w:r>
          </w:p>
        </w:tc>
        <w:tc>
          <w:tcPr>
            <w:tcW w:w="1529" w:type="dxa"/>
            <w:shd w:val="clear" w:color="auto" w:fill="auto"/>
            <w:tcMar>
              <w:top w:w="13" w:type="dxa"/>
              <w:left w:w="93" w:type="dxa"/>
              <w:bottom w:w="0" w:type="dxa"/>
              <w:right w:w="93" w:type="dxa"/>
            </w:tcMar>
            <w:vAlign w:val="center"/>
          </w:tcPr>
          <w:p w:rsidR="00CA2FE3" w:rsidRPr="00CA0AE3" w:rsidRDefault="00CA2FE3" w:rsidP="00D1633A">
            <w:pPr>
              <w:spacing w:after="0" w:line="240" w:lineRule="auto"/>
              <w:rPr>
                <w:sz w:val="16"/>
                <w:szCs w:val="16"/>
              </w:rPr>
            </w:pPr>
            <w:r w:rsidRPr="00CA0AE3">
              <w:rPr>
                <w:sz w:val="16"/>
                <w:szCs w:val="16"/>
              </w:rPr>
              <w:t>Improvement in inpatient discharge referral rate to in-network skilled nursing facilities for Medical/Surgical inpatients discharged from the public hospital system</w:t>
            </w:r>
          </w:p>
        </w:tc>
        <w:tc>
          <w:tcPr>
            <w:tcW w:w="1170" w:type="dxa"/>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rFonts w:eastAsia="Times New Roman"/>
                <w:sz w:val="16"/>
                <w:szCs w:val="16"/>
              </w:rPr>
            </w:pPr>
            <w:r w:rsidRPr="00CA0AE3">
              <w:rPr>
                <w:rFonts w:eastAsia="Times New Roman"/>
                <w:sz w:val="16"/>
                <w:szCs w:val="16"/>
              </w:rPr>
              <w:t>Numerator: Discharges to In- Network SNFs</w:t>
            </w:r>
          </w:p>
          <w:p w:rsidR="00CA2FE3" w:rsidRPr="00CA0AE3" w:rsidRDefault="00CA2FE3" w:rsidP="00D1633A">
            <w:pPr>
              <w:spacing w:after="0" w:line="240" w:lineRule="auto"/>
              <w:jc w:val="center"/>
              <w:rPr>
                <w:rFonts w:eastAsia="Times New Roman"/>
                <w:sz w:val="16"/>
                <w:szCs w:val="16"/>
              </w:rPr>
            </w:pPr>
            <w:r w:rsidRPr="00CA0AE3">
              <w:rPr>
                <w:rFonts w:eastAsia="Times New Roman"/>
                <w:sz w:val="16"/>
                <w:szCs w:val="16"/>
              </w:rPr>
              <w:t>Denominator: Medical/</w:t>
            </w:r>
          </w:p>
          <w:p w:rsidR="00CA2FE3" w:rsidRPr="00CA0AE3" w:rsidRDefault="00CA2FE3" w:rsidP="00D1633A">
            <w:pPr>
              <w:spacing w:after="0" w:line="240" w:lineRule="auto"/>
              <w:jc w:val="center"/>
              <w:rPr>
                <w:sz w:val="16"/>
                <w:szCs w:val="16"/>
              </w:rPr>
            </w:pPr>
            <w:r w:rsidRPr="00CA0AE3">
              <w:rPr>
                <w:rFonts w:eastAsia="Times New Roman"/>
                <w:sz w:val="16"/>
                <w:szCs w:val="16"/>
              </w:rPr>
              <w:t>Surgical Inpatient Discharges from the Public Hospital System to all SNFs</w:t>
            </w:r>
            <w:r w:rsidRPr="00CA0AE3">
              <w:rPr>
                <w:rStyle w:val="FootnoteReference"/>
                <w:rFonts w:eastAsia="Times New Roman"/>
                <w:sz w:val="16"/>
                <w:szCs w:val="16"/>
              </w:rPr>
              <w:footnoteReference w:id="110"/>
            </w:r>
          </w:p>
        </w:tc>
        <w:tc>
          <w:tcPr>
            <w:tcW w:w="1260" w:type="dxa"/>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sz w:val="16"/>
                <w:szCs w:val="16"/>
              </w:rPr>
            </w:pPr>
            <w:r w:rsidRPr="00CA0AE3">
              <w:rPr>
                <w:sz w:val="16"/>
                <w:szCs w:val="16"/>
              </w:rPr>
              <w:t>No external benchmark;</w:t>
            </w:r>
          </w:p>
          <w:p w:rsidR="00CA2FE3" w:rsidRPr="00CA0AE3" w:rsidRDefault="00CA2FE3" w:rsidP="00D1633A">
            <w:pPr>
              <w:spacing w:after="0" w:line="240" w:lineRule="auto"/>
              <w:jc w:val="center"/>
              <w:rPr>
                <w:sz w:val="16"/>
                <w:szCs w:val="16"/>
              </w:rPr>
            </w:pPr>
            <w:r w:rsidRPr="00CA0AE3">
              <w:rPr>
                <w:sz w:val="16"/>
                <w:szCs w:val="16"/>
              </w:rPr>
              <w:t>hospital specific improvement</w:t>
            </w:r>
          </w:p>
          <w:p w:rsidR="00CA2FE3" w:rsidRPr="00CA0AE3" w:rsidRDefault="00CA2FE3" w:rsidP="00D1633A">
            <w:pPr>
              <w:spacing w:after="0" w:line="240" w:lineRule="auto"/>
              <w:jc w:val="center"/>
              <w:rPr>
                <w:sz w:val="16"/>
                <w:szCs w:val="16"/>
              </w:rPr>
            </w:pPr>
            <w:r w:rsidRPr="00CA0AE3">
              <w:rPr>
                <w:bCs/>
                <w:sz w:val="16"/>
                <w:szCs w:val="16"/>
              </w:rPr>
              <w:t>target= 75%</w:t>
            </w:r>
          </w:p>
        </w:tc>
        <w:tc>
          <w:tcPr>
            <w:tcW w:w="1440" w:type="dxa"/>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bCs/>
                <w:sz w:val="16"/>
                <w:szCs w:val="16"/>
              </w:rPr>
            </w:pPr>
            <w:r w:rsidRPr="00CA0AE3">
              <w:rPr>
                <w:bCs/>
                <w:sz w:val="16"/>
                <w:szCs w:val="16"/>
              </w:rPr>
              <w:t>Gap to Goal (10%) or attainment at target</w:t>
            </w:r>
          </w:p>
          <w:p w:rsidR="00CA2FE3" w:rsidRPr="00CA0AE3" w:rsidRDefault="00CA2FE3" w:rsidP="00D1633A">
            <w:pPr>
              <w:spacing w:after="0" w:line="240" w:lineRule="auto"/>
              <w:jc w:val="center"/>
              <w:rPr>
                <w:bCs/>
                <w:sz w:val="16"/>
                <w:szCs w:val="16"/>
              </w:rPr>
            </w:pPr>
          </w:p>
        </w:tc>
        <w:tc>
          <w:tcPr>
            <w:tcW w:w="1170" w:type="dxa"/>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b/>
                <w:sz w:val="16"/>
                <w:szCs w:val="16"/>
              </w:rPr>
            </w:pPr>
            <w:r w:rsidRPr="00CA0AE3">
              <w:rPr>
                <w:b/>
                <w:sz w:val="16"/>
                <w:szCs w:val="16"/>
              </w:rPr>
              <w:t>B</w:t>
            </w:r>
          </w:p>
        </w:tc>
        <w:tc>
          <w:tcPr>
            <w:tcW w:w="1260" w:type="dxa"/>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b/>
                <w:sz w:val="16"/>
                <w:szCs w:val="16"/>
              </w:rPr>
            </w:pPr>
            <w:r w:rsidRPr="00CA0AE3">
              <w:rPr>
                <w:b/>
                <w:sz w:val="16"/>
                <w:szCs w:val="16"/>
              </w:rPr>
              <w:t>O</w:t>
            </w:r>
          </w:p>
        </w:tc>
        <w:tc>
          <w:tcPr>
            <w:tcW w:w="1260" w:type="dxa"/>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b/>
                <w:sz w:val="16"/>
                <w:szCs w:val="16"/>
              </w:rPr>
            </w:pPr>
            <w:r w:rsidRPr="00CA0AE3">
              <w:rPr>
                <w:b/>
                <w:sz w:val="16"/>
                <w:szCs w:val="16"/>
              </w:rPr>
              <w:t>O</w:t>
            </w:r>
          </w:p>
        </w:tc>
        <w:tc>
          <w:tcPr>
            <w:tcW w:w="1260" w:type="dxa"/>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b/>
                <w:sz w:val="16"/>
                <w:szCs w:val="16"/>
              </w:rPr>
            </w:pPr>
            <w:r w:rsidRPr="00CA0AE3">
              <w:rPr>
                <w:b/>
                <w:sz w:val="16"/>
                <w:szCs w:val="16"/>
              </w:rPr>
              <w:t>O</w:t>
            </w:r>
          </w:p>
        </w:tc>
        <w:tc>
          <w:tcPr>
            <w:tcW w:w="1260" w:type="dxa"/>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b/>
                <w:sz w:val="16"/>
                <w:szCs w:val="16"/>
              </w:rPr>
            </w:pPr>
            <w:r w:rsidRPr="00CA0AE3">
              <w:rPr>
                <w:b/>
                <w:sz w:val="16"/>
                <w:szCs w:val="16"/>
              </w:rPr>
              <w:t>O</w:t>
            </w:r>
          </w:p>
        </w:tc>
        <w:tc>
          <w:tcPr>
            <w:tcW w:w="1266" w:type="dxa"/>
            <w:vAlign w:val="center"/>
          </w:tcPr>
          <w:p w:rsidR="00CA2FE3" w:rsidRPr="00CA0AE3" w:rsidRDefault="00CA2FE3" w:rsidP="00D1633A">
            <w:pPr>
              <w:spacing w:after="0" w:line="240" w:lineRule="auto"/>
              <w:rPr>
                <w:rFonts w:eastAsia="Times New Roman"/>
                <w:sz w:val="16"/>
                <w:szCs w:val="16"/>
              </w:rPr>
            </w:pPr>
            <w:r w:rsidRPr="00CA0AE3">
              <w:rPr>
                <w:rFonts w:eastAsia="Times New Roman"/>
                <w:sz w:val="16"/>
                <w:szCs w:val="16"/>
              </w:rPr>
              <w:t>Appropriate post acute placement of patients based on clinical need</w:t>
            </w:r>
          </w:p>
        </w:tc>
      </w:tr>
      <w:tr w:rsidR="00CA2FE3" w:rsidRPr="00CA0AE3" w:rsidTr="003C48F3">
        <w:trPr>
          <w:cantSplit/>
        </w:trPr>
        <w:tc>
          <w:tcPr>
            <w:tcW w:w="358" w:type="dxa"/>
            <w:vAlign w:val="center"/>
          </w:tcPr>
          <w:p w:rsidR="00CA2FE3" w:rsidRPr="00CA0AE3" w:rsidRDefault="00CA2FE3" w:rsidP="00D1633A">
            <w:pPr>
              <w:spacing w:after="0" w:line="240" w:lineRule="auto"/>
              <w:jc w:val="center"/>
              <w:rPr>
                <w:sz w:val="16"/>
                <w:szCs w:val="16"/>
              </w:rPr>
            </w:pPr>
            <w:r w:rsidRPr="00CA0AE3">
              <w:rPr>
                <w:sz w:val="16"/>
                <w:szCs w:val="16"/>
              </w:rPr>
              <w:lastRenderedPageBreak/>
              <w:t>11</w:t>
            </w:r>
          </w:p>
        </w:tc>
        <w:tc>
          <w:tcPr>
            <w:tcW w:w="1529" w:type="dxa"/>
            <w:shd w:val="clear" w:color="auto" w:fill="auto"/>
            <w:tcMar>
              <w:top w:w="13" w:type="dxa"/>
              <w:left w:w="93" w:type="dxa"/>
              <w:bottom w:w="0" w:type="dxa"/>
              <w:right w:w="93" w:type="dxa"/>
            </w:tcMar>
            <w:vAlign w:val="center"/>
          </w:tcPr>
          <w:p w:rsidR="00CA2FE3" w:rsidRPr="00CA0AE3" w:rsidRDefault="00CA2FE3" w:rsidP="00D1633A">
            <w:pPr>
              <w:spacing w:after="0" w:line="240" w:lineRule="auto"/>
              <w:rPr>
                <w:sz w:val="16"/>
                <w:szCs w:val="16"/>
              </w:rPr>
            </w:pPr>
            <w:r w:rsidRPr="00CA0AE3">
              <w:rPr>
                <w:sz w:val="16"/>
                <w:szCs w:val="16"/>
              </w:rPr>
              <w:t>Improvement in inpatient discharge referral rate to in network Visiting Nurse Association (VNAs) Medical/Surgical inpatients discharged from the public hospital system</w:t>
            </w:r>
          </w:p>
        </w:tc>
        <w:tc>
          <w:tcPr>
            <w:tcW w:w="1170" w:type="dxa"/>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rFonts w:eastAsia="Times New Roman"/>
                <w:sz w:val="16"/>
                <w:szCs w:val="16"/>
              </w:rPr>
            </w:pPr>
            <w:r w:rsidRPr="00CA0AE3">
              <w:rPr>
                <w:rFonts w:eastAsia="Times New Roman"/>
                <w:sz w:val="16"/>
                <w:szCs w:val="16"/>
              </w:rPr>
              <w:t>Numerator: Discharges to In- Network VNAs</w:t>
            </w:r>
          </w:p>
          <w:p w:rsidR="00CA2FE3" w:rsidRPr="00CA0AE3" w:rsidRDefault="00CA2FE3" w:rsidP="00D1633A">
            <w:pPr>
              <w:spacing w:after="0" w:line="240" w:lineRule="auto"/>
              <w:jc w:val="center"/>
              <w:rPr>
                <w:sz w:val="16"/>
                <w:szCs w:val="16"/>
              </w:rPr>
            </w:pPr>
            <w:r w:rsidRPr="00CA0AE3">
              <w:rPr>
                <w:rFonts w:eastAsia="Times New Roman"/>
                <w:sz w:val="16"/>
                <w:szCs w:val="16"/>
              </w:rPr>
              <w:t>Denominator: Medical/ Surgical Inpatient Discharges from the Public Hospital System to all VNAs</w:t>
            </w:r>
            <w:r w:rsidRPr="00CA0AE3">
              <w:rPr>
                <w:rStyle w:val="FootnoteReference"/>
                <w:rFonts w:eastAsia="Times New Roman"/>
                <w:sz w:val="16"/>
                <w:szCs w:val="16"/>
              </w:rPr>
              <w:footnoteReference w:id="111"/>
            </w:r>
          </w:p>
        </w:tc>
        <w:tc>
          <w:tcPr>
            <w:tcW w:w="1260" w:type="dxa"/>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sz w:val="16"/>
                <w:szCs w:val="16"/>
              </w:rPr>
            </w:pPr>
            <w:r w:rsidRPr="00CA0AE3">
              <w:rPr>
                <w:sz w:val="16"/>
                <w:szCs w:val="16"/>
              </w:rPr>
              <w:t>No external benchmark;</w:t>
            </w:r>
          </w:p>
          <w:p w:rsidR="00CA2FE3" w:rsidRPr="00CA0AE3" w:rsidRDefault="00CA2FE3" w:rsidP="00D1633A">
            <w:pPr>
              <w:spacing w:after="0" w:line="240" w:lineRule="auto"/>
              <w:jc w:val="center"/>
              <w:rPr>
                <w:sz w:val="16"/>
                <w:szCs w:val="16"/>
              </w:rPr>
            </w:pPr>
            <w:r w:rsidRPr="00CA0AE3">
              <w:rPr>
                <w:sz w:val="16"/>
                <w:szCs w:val="16"/>
              </w:rPr>
              <w:t>hospital specific improvement</w:t>
            </w:r>
            <w:r w:rsidRPr="00CA0AE3">
              <w:rPr>
                <w:bCs/>
                <w:sz w:val="16"/>
                <w:szCs w:val="16"/>
              </w:rPr>
              <w:t xml:space="preserve"> target = 80%</w:t>
            </w:r>
          </w:p>
        </w:tc>
        <w:tc>
          <w:tcPr>
            <w:tcW w:w="1440" w:type="dxa"/>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bCs/>
                <w:sz w:val="16"/>
                <w:szCs w:val="16"/>
              </w:rPr>
            </w:pPr>
            <w:r w:rsidRPr="00CA0AE3">
              <w:rPr>
                <w:bCs/>
                <w:sz w:val="16"/>
                <w:szCs w:val="16"/>
              </w:rPr>
              <w:t>Gap to Goal (10%) or attainment at target</w:t>
            </w:r>
          </w:p>
          <w:p w:rsidR="00CA2FE3" w:rsidRPr="00CA0AE3" w:rsidRDefault="00CA2FE3" w:rsidP="00D1633A">
            <w:pPr>
              <w:spacing w:after="0" w:line="240" w:lineRule="auto"/>
              <w:jc w:val="center"/>
              <w:rPr>
                <w:bCs/>
                <w:sz w:val="16"/>
                <w:szCs w:val="16"/>
              </w:rPr>
            </w:pPr>
          </w:p>
        </w:tc>
        <w:tc>
          <w:tcPr>
            <w:tcW w:w="1170" w:type="dxa"/>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b/>
                <w:sz w:val="16"/>
                <w:szCs w:val="16"/>
              </w:rPr>
            </w:pPr>
            <w:r w:rsidRPr="00CA0AE3">
              <w:rPr>
                <w:b/>
                <w:sz w:val="16"/>
                <w:szCs w:val="16"/>
              </w:rPr>
              <w:t>B</w:t>
            </w:r>
          </w:p>
        </w:tc>
        <w:tc>
          <w:tcPr>
            <w:tcW w:w="1260" w:type="dxa"/>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b/>
                <w:sz w:val="16"/>
                <w:szCs w:val="16"/>
              </w:rPr>
            </w:pPr>
            <w:r w:rsidRPr="00CA0AE3">
              <w:rPr>
                <w:b/>
                <w:sz w:val="16"/>
                <w:szCs w:val="16"/>
              </w:rPr>
              <w:t>O</w:t>
            </w:r>
          </w:p>
        </w:tc>
        <w:tc>
          <w:tcPr>
            <w:tcW w:w="1260" w:type="dxa"/>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b/>
                <w:sz w:val="16"/>
                <w:szCs w:val="16"/>
              </w:rPr>
            </w:pPr>
            <w:r w:rsidRPr="00CA0AE3">
              <w:rPr>
                <w:b/>
                <w:sz w:val="16"/>
                <w:szCs w:val="16"/>
              </w:rPr>
              <w:t>O</w:t>
            </w:r>
          </w:p>
        </w:tc>
        <w:tc>
          <w:tcPr>
            <w:tcW w:w="1260" w:type="dxa"/>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b/>
                <w:sz w:val="16"/>
                <w:szCs w:val="16"/>
              </w:rPr>
            </w:pPr>
            <w:r w:rsidRPr="00CA0AE3">
              <w:rPr>
                <w:b/>
                <w:sz w:val="16"/>
                <w:szCs w:val="16"/>
              </w:rPr>
              <w:t>O</w:t>
            </w:r>
          </w:p>
        </w:tc>
        <w:tc>
          <w:tcPr>
            <w:tcW w:w="1260" w:type="dxa"/>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b/>
                <w:sz w:val="16"/>
                <w:szCs w:val="16"/>
              </w:rPr>
            </w:pPr>
            <w:r w:rsidRPr="00CA0AE3">
              <w:rPr>
                <w:b/>
                <w:sz w:val="16"/>
                <w:szCs w:val="16"/>
              </w:rPr>
              <w:t>O</w:t>
            </w:r>
          </w:p>
        </w:tc>
        <w:tc>
          <w:tcPr>
            <w:tcW w:w="1266" w:type="dxa"/>
            <w:vAlign w:val="center"/>
          </w:tcPr>
          <w:p w:rsidR="00CA2FE3" w:rsidRPr="00CA0AE3" w:rsidRDefault="00CA2FE3" w:rsidP="00D1633A">
            <w:pPr>
              <w:spacing w:after="0" w:line="240" w:lineRule="auto"/>
              <w:rPr>
                <w:rFonts w:eastAsia="Times New Roman"/>
                <w:sz w:val="16"/>
                <w:szCs w:val="16"/>
              </w:rPr>
            </w:pPr>
            <w:r w:rsidRPr="00CA0AE3">
              <w:rPr>
                <w:rFonts w:eastAsia="Times New Roman"/>
                <w:sz w:val="16"/>
                <w:szCs w:val="16"/>
              </w:rPr>
              <w:t>Appropriate post acute community-based care for patients based on clinical need</w:t>
            </w:r>
          </w:p>
        </w:tc>
      </w:tr>
      <w:tr w:rsidR="00CA2FE3" w:rsidRPr="00CA0AE3" w:rsidTr="003C48F3">
        <w:trPr>
          <w:cantSplit/>
        </w:trPr>
        <w:tc>
          <w:tcPr>
            <w:tcW w:w="358" w:type="dxa"/>
            <w:vAlign w:val="center"/>
          </w:tcPr>
          <w:p w:rsidR="00CA2FE3" w:rsidRPr="00CA0AE3" w:rsidRDefault="00CA2FE3" w:rsidP="00D1633A">
            <w:pPr>
              <w:spacing w:after="0" w:line="240" w:lineRule="auto"/>
              <w:jc w:val="center"/>
              <w:rPr>
                <w:sz w:val="16"/>
                <w:szCs w:val="16"/>
              </w:rPr>
            </w:pPr>
            <w:r w:rsidRPr="00CA0AE3">
              <w:rPr>
                <w:sz w:val="16"/>
                <w:szCs w:val="16"/>
              </w:rPr>
              <w:t>12</w:t>
            </w:r>
          </w:p>
        </w:tc>
        <w:tc>
          <w:tcPr>
            <w:tcW w:w="1529" w:type="dxa"/>
            <w:shd w:val="clear" w:color="auto" w:fill="auto"/>
            <w:tcMar>
              <w:top w:w="13" w:type="dxa"/>
              <w:left w:w="93" w:type="dxa"/>
              <w:bottom w:w="0" w:type="dxa"/>
              <w:right w:w="93" w:type="dxa"/>
            </w:tcMar>
            <w:vAlign w:val="center"/>
          </w:tcPr>
          <w:p w:rsidR="00CA2FE3" w:rsidRPr="00CA0AE3" w:rsidRDefault="00CA2FE3" w:rsidP="00D1633A">
            <w:pPr>
              <w:spacing w:after="0" w:line="240" w:lineRule="auto"/>
              <w:rPr>
                <w:sz w:val="16"/>
                <w:szCs w:val="16"/>
              </w:rPr>
            </w:pPr>
            <w:r w:rsidRPr="00CA0AE3">
              <w:rPr>
                <w:sz w:val="16"/>
                <w:szCs w:val="16"/>
              </w:rPr>
              <w:t>% of patient appointments at which the AVS was printed for the patient at the conclusion of their medical specialty appointment at the public hospital system</w:t>
            </w:r>
          </w:p>
        </w:tc>
        <w:tc>
          <w:tcPr>
            <w:tcW w:w="1170" w:type="dxa"/>
            <w:shd w:val="clear" w:color="auto" w:fill="auto"/>
            <w:tcMar>
              <w:top w:w="13" w:type="dxa"/>
              <w:left w:w="93" w:type="dxa"/>
              <w:bottom w:w="0" w:type="dxa"/>
              <w:right w:w="93" w:type="dxa"/>
            </w:tcMar>
            <w:vAlign w:val="center"/>
          </w:tcPr>
          <w:p w:rsidR="00CA2FE3" w:rsidRPr="00CA0AE3" w:rsidRDefault="00CA2FE3" w:rsidP="00D1633A">
            <w:pPr>
              <w:pStyle w:val="Default"/>
              <w:jc w:val="center"/>
              <w:rPr>
                <w:color w:val="auto"/>
                <w:sz w:val="16"/>
                <w:szCs w:val="16"/>
              </w:rPr>
            </w:pPr>
            <w:r w:rsidRPr="00CA0AE3">
              <w:rPr>
                <w:color w:val="auto"/>
                <w:sz w:val="16"/>
                <w:szCs w:val="16"/>
              </w:rPr>
              <w:t xml:space="preserve">MU </w:t>
            </w:r>
          </w:p>
          <w:p w:rsidR="00CA2FE3" w:rsidRPr="00CA0AE3" w:rsidRDefault="00CA2FE3" w:rsidP="00D1633A">
            <w:pPr>
              <w:spacing w:after="0" w:line="240" w:lineRule="auto"/>
              <w:jc w:val="center"/>
              <w:rPr>
                <w:rFonts w:eastAsia="Times New Roman"/>
                <w:sz w:val="16"/>
                <w:szCs w:val="16"/>
              </w:rPr>
            </w:pPr>
            <w:r w:rsidRPr="00CA0AE3">
              <w:rPr>
                <w:sz w:val="16"/>
                <w:szCs w:val="16"/>
              </w:rPr>
              <w:t xml:space="preserve">P220 </w:t>
            </w:r>
          </w:p>
        </w:tc>
        <w:tc>
          <w:tcPr>
            <w:tcW w:w="1260" w:type="dxa"/>
            <w:shd w:val="clear" w:color="auto" w:fill="auto"/>
            <w:tcMar>
              <w:top w:w="13" w:type="dxa"/>
              <w:left w:w="93" w:type="dxa"/>
              <w:bottom w:w="0" w:type="dxa"/>
              <w:right w:w="93" w:type="dxa"/>
            </w:tcMar>
            <w:vAlign w:val="center"/>
          </w:tcPr>
          <w:p w:rsidR="00CA2FE3" w:rsidRPr="00CA0AE3" w:rsidRDefault="00CA2FE3" w:rsidP="00D1633A">
            <w:pPr>
              <w:pStyle w:val="Default"/>
              <w:jc w:val="center"/>
              <w:rPr>
                <w:color w:val="auto"/>
                <w:sz w:val="16"/>
                <w:szCs w:val="16"/>
              </w:rPr>
            </w:pPr>
            <w:r w:rsidRPr="00CA0AE3">
              <w:rPr>
                <w:color w:val="auto"/>
                <w:sz w:val="16"/>
                <w:szCs w:val="16"/>
              </w:rPr>
              <w:t xml:space="preserve">No external benchmark; </w:t>
            </w:r>
          </w:p>
          <w:p w:rsidR="00CA2FE3" w:rsidRPr="00CA0AE3" w:rsidRDefault="00CA2FE3" w:rsidP="00D1633A">
            <w:pPr>
              <w:spacing w:after="0" w:line="240" w:lineRule="auto"/>
              <w:jc w:val="center"/>
              <w:rPr>
                <w:sz w:val="16"/>
                <w:szCs w:val="16"/>
              </w:rPr>
            </w:pPr>
            <w:r w:rsidRPr="00CA0AE3">
              <w:rPr>
                <w:sz w:val="16"/>
                <w:szCs w:val="16"/>
              </w:rPr>
              <w:t xml:space="preserve">hospital specific improvement </w:t>
            </w:r>
          </w:p>
        </w:tc>
        <w:tc>
          <w:tcPr>
            <w:tcW w:w="1440" w:type="dxa"/>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bCs/>
                <w:sz w:val="16"/>
                <w:szCs w:val="16"/>
              </w:rPr>
            </w:pPr>
            <w:r w:rsidRPr="00CA0AE3">
              <w:rPr>
                <w:bCs/>
                <w:sz w:val="16"/>
                <w:szCs w:val="16"/>
              </w:rPr>
              <w:t>Gap to Goal (10%) or attainment at target:</w:t>
            </w:r>
          </w:p>
          <w:p w:rsidR="00CA2FE3" w:rsidRPr="00CA0AE3" w:rsidRDefault="00CA2FE3" w:rsidP="00D1633A">
            <w:pPr>
              <w:spacing w:after="0" w:line="240" w:lineRule="auto"/>
              <w:jc w:val="center"/>
              <w:rPr>
                <w:bCs/>
                <w:sz w:val="16"/>
                <w:szCs w:val="16"/>
              </w:rPr>
            </w:pPr>
            <w:r w:rsidRPr="00CA0AE3">
              <w:rPr>
                <w:bCs/>
                <w:sz w:val="16"/>
                <w:szCs w:val="16"/>
              </w:rPr>
              <w:t>Target 90%</w:t>
            </w:r>
          </w:p>
        </w:tc>
        <w:tc>
          <w:tcPr>
            <w:tcW w:w="1170" w:type="dxa"/>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b/>
                <w:sz w:val="16"/>
                <w:szCs w:val="16"/>
              </w:rPr>
            </w:pPr>
            <w:r w:rsidRPr="00CA0AE3">
              <w:rPr>
                <w:b/>
                <w:sz w:val="16"/>
                <w:szCs w:val="16"/>
              </w:rPr>
              <w:t>B</w:t>
            </w:r>
          </w:p>
          <w:p w:rsidR="00CA2FE3" w:rsidRPr="00CA0AE3" w:rsidRDefault="00CA2FE3" w:rsidP="00D1633A">
            <w:pPr>
              <w:spacing w:after="0" w:line="240" w:lineRule="auto"/>
              <w:jc w:val="center"/>
              <w:rPr>
                <w:sz w:val="16"/>
                <w:szCs w:val="16"/>
              </w:rPr>
            </w:pPr>
            <w:r w:rsidRPr="00CA0AE3">
              <w:rPr>
                <w:sz w:val="16"/>
                <w:szCs w:val="16"/>
              </w:rPr>
              <w:t>(4/1/17 -3/31/18)</w:t>
            </w:r>
          </w:p>
        </w:tc>
        <w:tc>
          <w:tcPr>
            <w:tcW w:w="1260" w:type="dxa"/>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b/>
                <w:sz w:val="16"/>
                <w:szCs w:val="16"/>
              </w:rPr>
            </w:pPr>
            <w:r w:rsidRPr="00CA0AE3">
              <w:rPr>
                <w:b/>
                <w:sz w:val="16"/>
                <w:szCs w:val="16"/>
              </w:rPr>
              <w:t>O</w:t>
            </w:r>
          </w:p>
          <w:p w:rsidR="00CA2FE3" w:rsidRPr="00CA0AE3" w:rsidRDefault="00CA2FE3" w:rsidP="00D1633A">
            <w:pPr>
              <w:spacing w:after="0" w:line="240" w:lineRule="auto"/>
              <w:jc w:val="center"/>
              <w:rPr>
                <w:sz w:val="16"/>
                <w:szCs w:val="16"/>
              </w:rPr>
            </w:pPr>
            <w:r w:rsidRPr="00CA0AE3">
              <w:rPr>
                <w:sz w:val="16"/>
                <w:szCs w:val="16"/>
              </w:rPr>
              <w:t>(4/1/18 -3/31/19)</w:t>
            </w:r>
          </w:p>
        </w:tc>
        <w:tc>
          <w:tcPr>
            <w:tcW w:w="1260" w:type="dxa"/>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b/>
                <w:sz w:val="16"/>
                <w:szCs w:val="16"/>
              </w:rPr>
            </w:pPr>
            <w:r w:rsidRPr="00CA0AE3">
              <w:rPr>
                <w:b/>
                <w:sz w:val="16"/>
                <w:szCs w:val="16"/>
              </w:rPr>
              <w:t>O</w:t>
            </w:r>
          </w:p>
          <w:p w:rsidR="00CA2FE3" w:rsidRPr="00CA0AE3" w:rsidRDefault="00CA2FE3" w:rsidP="00D1633A">
            <w:pPr>
              <w:spacing w:after="0" w:line="240" w:lineRule="auto"/>
              <w:jc w:val="center"/>
              <w:rPr>
                <w:sz w:val="16"/>
                <w:szCs w:val="16"/>
              </w:rPr>
            </w:pPr>
            <w:r w:rsidRPr="00CA0AE3">
              <w:rPr>
                <w:sz w:val="16"/>
                <w:szCs w:val="16"/>
              </w:rPr>
              <w:t>(4/1/19 -3/31/20)</w:t>
            </w:r>
          </w:p>
        </w:tc>
        <w:tc>
          <w:tcPr>
            <w:tcW w:w="1260" w:type="dxa"/>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b/>
                <w:sz w:val="16"/>
                <w:szCs w:val="16"/>
              </w:rPr>
            </w:pPr>
            <w:r w:rsidRPr="00CA0AE3">
              <w:rPr>
                <w:b/>
                <w:sz w:val="16"/>
                <w:szCs w:val="16"/>
              </w:rPr>
              <w:t>O</w:t>
            </w:r>
          </w:p>
          <w:p w:rsidR="00CA2FE3" w:rsidRPr="00CA0AE3" w:rsidRDefault="00CA2FE3" w:rsidP="00D1633A">
            <w:pPr>
              <w:spacing w:after="0" w:line="240" w:lineRule="auto"/>
              <w:jc w:val="center"/>
              <w:rPr>
                <w:sz w:val="16"/>
                <w:szCs w:val="16"/>
              </w:rPr>
            </w:pPr>
            <w:r w:rsidRPr="00CA0AE3">
              <w:rPr>
                <w:sz w:val="16"/>
                <w:szCs w:val="16"/>
              </w:rPr>
              <w:t>(4/1/20 -3/31/21)</w:t>
            </w:r>
          </w:p>
        </w:tc>
        <w:tc>
          <w:tcPr>
            <w:tcW w:w="1260" w:type="dxa"/>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b/>
                <w:sz w:val="16"/>
                <w:szCs w:val="16"/>
              </w:rPr>
            </w:pPr>
            <w:r w:rsidRPr="00CA0AE3">
              <w:rPr>
                <w:b/>
                <w:sz w:val="16"/>
                <w:szCs w:val="16"/>
              </w:rPr>
              <w:t>O</w:t>
            </w:r>
          </w:p>
          <w:p w:rsidR="00CA2FE3" w:rsidRPr="00CA0AE3" w:rsidRDefault="00CA2FE3" w:rsidP="00D1633A">
            <w:pPr>
              <w:spacing w:after="0" w:line="240" w:lineRule="auto"/>
              <w:jc w:val="center"/>
              <w:rPr>
                <w:sz w:val="16"/>
                <w:szCs w:val="16"/>
              </w:rPr>
            </w:pPr>
            <w:r w:rsidRPr="00CA0AE3">
              <w:rPr>
                <w:sz w:val="16"/>
                <w:szCs w:val="16"/>
              </w:rPr>
              <w:t>(4/1/21 - 3/31/22)</w:t>
            </w:r>
          </w:p>
        </w:tc>
        <w:tc>
          <w:tcPr>
            <w:tcW w:w="1266" w:type="dxa"/>
            <w:vAlign w:val="center"/>
          </w:tcPr>
          <w:p w:rsidR="00CA2FE3" w:rsidRPr="00CA0AE3" w:rsidRDefault="00CA2FE3" w:rsidP="00D1633A">
            <w:pPr>
              <w:spacing w:after="0" w:line="240" w:lineRule="auto"/>
              <w:rPr>
                <w:rFonts w:eastAsia="Times New Roman"/>
                <w:sz w:val="16"/>
                <w:szCs w:val="16"/>
              </w:rPr>
            </w:pPr>
            <w:r w:rsidRPr="00CA0AE3">
              <w:rPr>
                <w:rFonts w:eastAsia="Times New Roman"/>
                <w:sz w:val="16"/>
                <w:szCs w:val="16"/>
              </w:rPr>
              <w:t>Target of 90% established based on clinical operations standards, taking into account the spectrum of patient routine and urgent visit types</w:t>
            </w:r>
          </w:p>
        </w:tc>
      </w:tr>
      <w:tr w:rsidR="00CA2FE3" w:rsidRPr="00CA0AE3" w:rsidTr="003C48F3">
        <w:trPr>
          <w:cantSplit/>
        </w:trPr>
        <w:tc>
          <w:tcPr>
            <w:tcW w:w="358" w:type="dxa"/>
            <w:vAlign w:val="center"/>
          </w:tcPr>
          <w:p w:rsidR="00CA2FE3" w:rsidRPr="00CA0AE3" w:rsidRDefault="00CA2FE3" w:rsidP="00D1633A">
            <w:pPr>
              <w:spacing w:after="0" w:line="240" w:lineRule="auto"/>
              <w:jc w:val="center"/>
              <w:rPr>
                <w:sz w:val="16"/>
                <w:szCs w:val="16"/>
              </w:rPr>
            </w:pPr>
            <w:r w:rsidRPr="00CA0AE3">
              <w:rPr>
                <w:sz w:val="16"/>
                <w:szCs w:val="16"/>
              </w:rPr>
              <w:t>13</w:t>
            </w:r>
          </w:p>
        </w:tc>
        <w:tc>
          <w:tcPr>
            <w:tcW w:w="1529" w:type="dxa"/>
            <w:shd w:val="clear" w:color="auto" w:fill="auto"/>
            <w:tcMar>
              <w:top w:w="13" w:type="dxa"/>
              <w:left w:w="93" w:type="dxa"/>
              <w:bottom w:w="0" w:type="dxa"/>
              <w:right w:w="93" w:type="dxa"/>
            </w:tcMar>
            <w:vAlign w:val="center"/>
          </w:tcPr>
          <w:p w:rsidR="00CA2FE3" w:rsidRPr="00CA0AE3" w:rsidRDefault="00CA2FE3" w:rsidP="00D1633A">
            <w:pPr>
              <w:spacing w:after="0" w:line="240" w:lineRule="auto"/>
              <w:rPr>
                <w:sz w:val="16"/>
                <w:szCs w:val="16"/>
              </w:rPr>
            </w:pPr>
            <w:r w:rsidRPr="00CA0AE3">
              <w:rPr>
                <w:sz w:val="16"/>
                <w:szCs w:val="16"/>
              </w:rPr>
              <w:t>% of patient appointments at which the AVS was printed for the patient at the conclusion of their surgical  appointment at the public hospital system</w:t>
            </w:r>
          </w:p>
        </w:tc>
        <w:tc>
          <w:tcPr>
            <w:tcW w:w="1170" w:type="dxa"/>
            <w:shd w:val="clear" w:color="auto" w:fill="auto"/>
            <w:tcMar>
              <w:top w:w="13" w:type="dxa"/>
              <w:left w:w="93" w:type="dxa"/>
              <w:bottom w:w="0" w:type="dxa"/>
              <w:right w:w="93" w:type="dxa"/>
            </w:tcMar>
            <w:vAlign w:val="center"/>
          </w:tcPr>
          <w:p w:rsidR="00CA2FE3" w:rsidRPr="00CA0AE3" w:rsidRDefault="00CA2FE3" w:rsidP="00D1633A">
            <w:pPr>
              <w:pStyle w:val="Default"/>
              <w:jc w:val="center"/>
              <w:rPr>
                <w:color w:val="auto"/>
                <w:sz w:val="16"/>
                <w:szCs w:val="16"/>
              </w:rPr>
            </w:pPr>
            <w:r w:rsidRPr="00CA0AE3">
              <w:rPr>
                <w:color w:val="auto"/>
                <w:sz w:val="16"/>
                <w:szCs w:val="16"/>
              </w:rPr>
              <w:t xml:space="preserve">MU </w:t>
            </w:r>
          </w:p>
          <w:p w:rsidR="00CA2FE3" w:rsidRPr="00CA0AE3" w:rsidRDefault="00CA2FE3" w:rsidP="00D1633A">
            <w:pPr>
              <w:spacing w:after="0" w:line="240" w:lineRule="auto"/>
              <w:jc w:val="center"/>
              <w:rPr>
                <w:rFonts w:eastAsia="Times New Roman"/>
                <w:sz w:val="16"/>
                <w:szCs w:val="16"/>
              </w:rPr>
            </w:pPr>
            <w:r w:rsidRPr="00CA0AE3">
              <w:rPr>
                <w:sz w:val="16"/>
                <w:szCs w:val="16"/>
              </w:rPr>
              <w:t>P220</w:t>
            </w:r>
          </w:p>
        </w:tc>
        <w:tc>
          <w:tcPr>
            <w:tcW w:w="1260" w:type="dxa"/>
            <w:shd w:val="clear" w:color="auto" w:fill="auto"/>
            <w:tcMar>
              <w:top w:w="13" w:type="dxa"/>
              <w:left w:w="93" w:type="dxa"/>
              <w:bottom w:w="0" w:type="dxa"/>
              <w:right w:w="93" w:type="dxa"/>
            </w:tcMar>
            <w:vAlign w:val="center"/>
          </w:tcPr>
          <w:p w:rsidR="00CA2FE3" w:rsidRPr="00CA0AE3" w:rsidRDefault="00CA2FE3" w:rsidP="00D1633A">
            <w:pPr>
              <w:pStyle w:val="Default"/>
              <w:jc w:val="center"/>
              <w:rPr>
                <w:color w:val="auto"/>
                <w:sz w:val="16"/>
                <w:szCs w:val="16"/>
              </w:rPr>
            </w:pPr>
            <w:r w:rsidRPr="00CA0AE3">
              <w:rPr>
                <w:color w:val="auto"/>
                <w:sz w:val="16"/>
                <w:szCs w:val="16"/>
              </w:rPr>
              <w:t xml:space="preserve">No external benchmark; </w:t>
            </w:r>
          </w:p>
          <w:p w:rsidR="00CA2FE3" w:rsidRPr="00CA0AE3" w:rsidRDefault="00CA2FE3" w:rsidP="00D1633A">
            <w:pPr>
              <w:spacing w:after="0" w:line="240" w:lineRule="auto"/>
              <w:jc w:val="center"/>
              <w:rPr>
                <w:sz w:val="16"/>
                <w:szCs w:val="16"/>
              </w:rPr>
            </w:pPr>
            <w:r w:rsidRPr="00CA0AE3">
              <w:rPr>
                <w:sz w:val="16"/>
                <w:szCs w:val="16"/>
              </w:rPr>
              <w:t>hospital specific improvement</w:t>
            </w:r>
          </w:p>
        </w:tc>
        <w:tc>
          <w:tcPr>
            <w:tcW w:w="1440" w:type="dxa"/>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bCs/>
                <w:sz w:val="16"/>
                <w:szCs w:val="16"/>
              </w:rPr>
            </w:pPr>
            <w:r w:rsidRPr="00CA0AE3">
              <w:rPr>
                <w:bCs/>
                <w:sz w:val="16"/>
                <w:szCs w:val="16"/>
              </w:rPr>
              <w:t>Gap to Goal (10%) or attainment at target:</w:t>
            </w:r>
          </w:p>
          <w:p w:rsidR="00CA2FE3" w:rsidRPr="00CA0AE3" w:rsidRDefault="00CA2FE3" w:rsidP="00D1633A">
            <w:pPr>
              <w:spacing w:after="0" w:line="240" w:lineRule="auto"/>
              <w:jc w:val="center"/>
              <w:rPr>
                <w:bCs/>
                <w:sz w:val="16"/>
                <w:szCs w:val="16"/>
              </w:rPr>
            </w:pPr>
            <w:r w:rsidRPr="00CA0AE3">
              <w:rPr>
                <w:bCs/>
                <w:sz w:val="16"/>
                <w:szCs w:val="16"/>
              </w:rPr>
              <w:t>Target 90%</w:t>
            </w:r>
          </w:p>
        </w:tc>
        <w:tc>
          <w:tcPr>
            <w:tcW w:w="1170" w:type="dxa"/>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b/>
                <w:sz w:val="16"/>
                <w:szCs w:val="16"/>
              </w:rPr>
            </w:pPr>
            <w:r w:rsidRPr="00CA0AE3">
              <w:rPr>
                <w:b/>
                <w:sz w:val="16"/>
                <w:szCs w:val="16"/>
              </w:rPr>
              <w:t>B</w:t>
            </w:r>
          </w:p>
          <w:p w:rsidR="00CA2FE3" w:rsidRPr="00CA0AE3" w:rsidRDefault="00CA2FE3" w:rsidP="00D1633A">
            <w:pPr>
              <w:spacing w:after="0" w:line="240" w:lineRule="auto"/>
              <w:jc w:val="center"/>
              <w:rPr>
                <w:sz w:val="16"/>
                <w:szCs w:val="16"/>
              </w:rPr>
            </w:pPr>
            <w:r w:rsidRPr="00CA0AE3">
              <w:rPr>
                <w:sz w:val="16"/>
                <w:szCs w:val="16"/>
              </w:rPr>
              <w:t>(4/1/17 -3/31/18)</w:t>
            </w:r>
          </w:p>
        </w:tc>
        <w:tc>
          <w:tcPr>
            <w:tcW w:w="1260" w:type="dxa"/>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b/>
                <w:sz w:val="16"/>
                <w:szCs w:val="16"/>
              </w:rPr>
            </w:pPr>
            <w:r w:rsidRPr="00CA0AE3">
              <w:rPr>
                <w:b/>
                <w:sz w:val="16"/>
                <w:szCs w:val="16"/>
              </w:rPr>
              <w:t>O</w:t>
            </w:r>
          </w:p>
          <w:p w:rsidR="00CA2FE3" w:rsidRPr="00CA0AE3" w:rsidRDefault="00CA2FE3" w:rsidP="00D1633A">
            <w:pPr>
              <w:spacing w:after="0" w:line="240" w:lineRule="auto"/>
              <w:jc w:val="center"/>
              <w:rPr>
                <w:sz w:val="16"/>
                <w:szCs w:val="16"/>
              </w:rPr>
            </w:pPr>
            <w:r w:rsidRPr="00CA0AE3">
              <w:rPr>
                <w:sz w:val="16"/>
                <w:szCs w:val="16"/>
              </w:rPr>
              <w:t>(4/1/18 -3/31/19)</w:t>
            </w:r>
          </w:p>
        </w:tc>
        <w:tc>
          <w:tcPr>
            <w:tcW w:w="1260" w:type="dxa"/>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b/>
                <w:sz w:val="16"/>
                <w:szCs w:val="16"/>
              </w:rPr>
            </w:pPr>
            <w:r w:rsidRPr="00CA0AE3">
              <w:rPr>
                <w:b/>
                <w:sz w:val="16"/>
                <w:szCs w:val="16"/>
              </w:rPr>
              <w:t>O</w:t>
            </w:r>
          </w:p>
          <w:p w:rsidR="00CA2FE3" w:rsidRPr="00CA0AE3" w:rsidRDefault="00CA2FE3" w:rsidP="00D1633A">
            <w:pPr>
              <w:spacing w:after="0" w:line="240" w:lineRule="auto"/>
              <w:jc w:val="center"/>
              <w:rPr>
                <w:sz w:val="16"/>
                <w:szCs w:val="16"/>
              </w:rPr>
            </w:pPr>
            <w:r w:rsidRPr="00CA0AE3">
              <w:rPr>
                <w:sz w:val="16"/>
                <w:szCs w:val="16"/>
              </w:rPr>
              <w:t>(4/1/19 -3/31/20)</w:t>
            </w:r>
          </w:p>
        </w:tc>
        <w:tc>
          <w:tcPr>
            <w:tcW w:w="1260" w:type="dxa"/>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b/>
                <w:sz w:val="16"/>
                <w:szCs w:val="16"/>
              </w:rPr>
            </w:pPr>
            <w:r w:rsidRPr="00CA0AE3">
              <w:rPr>
                <w:b/>
                <w:sz w:val="16"/>
                <w:szCs w:val="16"/>
              </w:rPr>
              <w:t>O</w:t>
            </w:r>
          </w:p>
          <w:p w:rsidR="00CA2FE3" w:rsidRPr="00CA0AE3" w:rsidRDefault="00CA2FE3" w:rsidP="00D1633A">
            <w:pPr>
              <w:spacing w:after="0" w:line="240" w:lineRule="auto"/>
              <w:jc w:val="center"/>
              <w:rPr>
                <w:sz w:val="16"/>
                <w:szCs w:val="16"/>
              </w:rPr>
            </w:pPr>
            <w:r w:rsidRPr="00CA0AE3">
              <w:rPr>
                <w:sz w:val="16"/>
                <w:szCs w:val="16"/>
              </w:rPr>
              <w:t>(4/1/20 -3/31/21)</w:t>
            </w:r>
          </w:p>
        </w:tc>
        <w:tc>
          <w:tcPr>
            <w:tcW w:w="1260" w:type="dxa"/>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b/>
                <w:sz w:val="16"/>
                <w:szCs w:val="16"/>
              </w:rPr>
            </w:pPr>
            <w:r w:rsidRPr="00CA0AE3">
              <w:rPr>
                <w:b/>
                <w:sz w:val="16"/>
                <w:szCs w:val="16"/>
              </w:rPr>
              <w:t>O</w:t>
            </w:r>
          </w:p>
          <w:p w:rsidR="00CA2FE3" w:rsidRPr="00CA0AE3" w:rsidRDefault="00CA2FE3" w:rsidP="00D1633A">
            <w:pPr>
              <w:spacing w:after="0" w:line="240" w:lineRule="auto"/>
              <w:jc w:val="center"/>
              <w:rPr>
                <w:sz w:val="16"/>
                <w:szCs w:val="16"/>
              </w:rPr>
            </w:pPr>
            <w:r w:rsidRPr="00CA0AE3">
              <w:rPr>
                <w:sz w:val="16"/>
                <w:szCs w:val="16"/>
              </w:rPr>
              <w:t>(4/1/21 - 3/31/22)</w:t>
            </w:r>
          </w:p>
        </w:tc>
        <w:tc>
          <w:tcPr>
            <w:tcW w:w="1266" w:type="dxa"/>
            <w:vAlign w:val="center"/>
          </w:tcPr>
          <w:p w:rsidR="00CA2FE3" w:rsidRPr="00CA0AE3" w:rsidRDefault="00CA2FE3" w:rsidP="00D1633A">
            <w:pPr>
              <w:spacing w:after="0" w:line="240" w:lineRule="auto"/>
              <w:rPr>
                <w:rFonts w:eastAsia="Times New Roman"/>
                <w:sz w:val="16"/>
                <w:szCs w:val="16"/>
              </w:rPr>
            </w:pPr>
            <w:r w:rsidRPr="00CA0AE3">
              <w:rPr>
                <w:rFonts w:eastAsia="Times New Roman"/>
                <w:sz w:val="16"/>
                <w:szCs w:val="16"/>
              </w:rPr>
              <w:t>Target of 90% established based on clinical operations standards, taking into account the spectrum of patient routine and urgent visit types</w:t>
            </w:r>
          </w:p>
        </w:tc>
      </w:tr>
    </w:tbl>
    <w:p w:rsidR="00CA2FE3" w:rsidRDefault="00CA2FE3">
      <w:pPr>
        <w:pStyle w:val="ListParagraph"/>
        <w:autoSpaceDE w:val="0"/>
        <w:autoSpaceDN w:val="0"/>
        <w:adjustRightInd w:val="0"/>
        <w:spacing w:after="0" w:line="240" w:lineRule="auto"/>
        <w:ind w:left="1080"/>
        <w:contextualSpacing w:val="0"/>
        <w:jc w:val="both"/>
      </w:pPr>
    </w:p>
    <w:tbl>
      <w:tblPr>
        <w:tblW w:w="5000" w:type="pct"/>
        <w:tblCellMar>
          <w:left w:w="0" w:type="dxa"/>
          <w:right w:w="0" w:type="dxa"/>
        </w:tblCellMar>
        <w:tblLook w:val="0480" w:firstRow="0" w:lastRow="0" w:firstColumn="1" w:lastColumn="0" w:noHBand="0" w:noVBand="1"/>
      </w:tblPr>
      <w:tblGrid>
        <w:gridCol w:w="281"/>
        <w:gridCol w:w="1870"/>
        <w:gridCol w:w="1115"/>
        <w:gridCol w:w="1198"/>
        <w:gridCol w:w="1449"/>
        <w:gridCol w:w="1030"/>
        <w:gridCol w:w="1198"/>
        <w:gridCol w:w="1102"/>
        <w:gridCol w:w="1115"/>
        <w:gridCol w:w="1115"/>
        <w:gridCol w:w="1467"/>
      </w:tblGrid>
      <w:tr w:rsidR="00CA2FE3" w:rsidRPr="00CA0AE3" w:rsidTr="003C48F3">
        <w:trPr>
          <w:cantSplit/>
        </w:trPr>
        <w:tc>
          <w:tcPr>
            <w:tcW w:w="5000" w:type="pct"/>
            <w:gridSpan w:val="11"/>
            <w:tcBorders>
              <w:top w:val="single" w:sz="8" w:space="0" w:color="000000"/>
              <w:left w:val="single" w:sz="8" w:space="0" w:color="000000"/>
              <w:bottom w:val="single" w:sz="8" w:space="0" w:color="000000"/>
              <w:right w:val="single" w:sz="8" w:space="0" w:color="000000"/>
            </w:tcBorders>
            <w:shd w:val="clear" w:color="auto" w:fill="C6D9F1" w:themeFill="text2" w:themeFillTint="33"/>
            <w:vAlign w:val="center"/>
          </w:tcPr>
          <w:p w:rsidR="00CA2FE3" w:rsidRPr="00CA0AE3" w:rsidRDefault="00CA2FE3" w:rsidP="00D1633A">
            <w:pPr>
              <w:spacing w:after="0" w:line="240" w:lineRule="auto"/>
              <w:rPr>
                <w:rFonts w:eastAsia="Times New Roman"/>
                <w:b/>
                <w:bCs/>
                <w:kern w:val="24"/>
                <w:sz w:val="20"/>
              </w:rPr>
            </w:pPr>
            <w:r w:rsidRPr="00CA0AE3">
              <w:rPr>
                <w:rFonts w:eastAsia="Times New Roman"/>
                <w:b/>
                <w:bCs/>
                <w:kern w:val="24"/>
                <w:sz w:val="20"/>
              </w:rPr>
              <w:t>Required Measure Slate:  Improvement and Outcomes Measures</w:t>
            </w:r>
          </w:p>
          <w:p w:rsidR="00CA2FE3" w:rsidRPr="00CA0AE3" w:rsidRDefault="00CA2FE3" w:rsidP="00D1633A">
            <w:pPr>
              <w:spacing w:after="0" w:line="240" w:lineRule="auto"/>
              <w:rPr>
                <w:rFonts w:eastAsia="Times New Roman"/>
                <w:b/>
                <w:bCs/>
                <w:kern w:val="24"/>
                <w:sz w:val="20"/>
              </w:rPr>
            </w:pPr>
            <w:r w:rsidRPr="00CA0AE3">
              <w:rPr>
                <w:b/>
                <w:i/>
                <w:sz w:val="20"/>
              </w:rPr>
              <w:t xml:space="preserve">(Achieve 2 of 3 Outcome Measures in Year 1, 4 out of 13 in Year 2, 7 out of 13 in Year 3, 8 out of 13 in Year 4, 8 out of 13 in Year 5). </w:t>
            </w:r>
          </w:p>
        </w:tc>
      </w:tr>
      <w:tr w:rsidR="00CA2FE3" w:rsidRPr="00CA0AE3" w:rsidTr="003C48F3">
        <w:trPr>
          <w:cantSplit/>
        </w:trPr>
        <w:tc>
          <w:tcPr>
            <w:tcW w:w="830" w:type="pct"/>
            <w:gridSpan w:val="2"/>
            <w:tcBorders>
              <w:top w:val="single" w:sz="8" w:space="0" w:color="000000"/>
              <w:left w:val="single" w:sz="8" w:space="0" w:color="000000"/>
              <w:bottom w:val="single" w:sz="8" w:space="0" w:color="000000"/>
              <w:right w:val="single" w:sz="8" w:space="0" w:color="000000"/>
            </w:tcBorders>
            <w:shd w:val="clear" w:color="auto" w:fill="C6D9F1" w:themeFill="text2" w:themeFillTint="33"/>
            <w:vAlign w:val="center"/>
          </w:tcPr>
          <w:p w:rsidR="00CA2FE3" w:rsidRPr="00CA0AE3" w:rsidRDefault="00CA2FE3" w:rsidP="00D1633A">
            <w:pPr>
              <w:spacing w:after="0" w:line="240" w:lineRule="auto"/>
              <w:jc w:val="center"/>
              <w:rPr>
                <w:rFonts w:eastAsia="Times New Roman"/>
                <w:b/>
                <w:bCs/>
                <w:kern w:val="24"/>
                <w:sz w:val="20"/>
              </w:rPr>
            </w:pPr>
            <w:r w:rsidRPr="00CA0AE3">
              <w:rPr>
                <w:rFonts w:eastAsia="Times New Roman"/>
                <w:b/>
                <w:bCs/>
                <w:kern w:val="24"/>
                <w:sz w:val="20"/>
              </w:rPr>
              <w:t>Measure Slate 4</w:t>
            </w:r>
          </w:p>
        </w:tc>
        <w:tc>
          <w:tcPr>
            <w:tcW w:w="1454" w:type="pct"/>
            <w:gridSpan w:val="3"/>
            <w:tcBorders>
              <w:top w:val="single" w:sz="8" w:space="0" w:color="000000"/>
              <w:left w:val="single" w:sz="8" w:space="0" w:color="000000"/>
              <w:bottom w:val="single" w:sz="8" w:space="0" w:color="000000"/>
              <w:right w:val="single" w:sz="8" w:space="0" w:color="000000"/>
            </w:tcBorders>
            <w:shd w:val="clear" w:color="auto" w:fill="C6D9F1" w:themeFill="text2" w:themeFillTint="33"/>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Times New Roman"/>
                <w:b/>
                <w:bCs/>
                <w:kern w:val="24"/>
                <w:sz w:val="20"/>
              </w:rPr>
            </w:pPr>
            <w:r w:rsidRPr="00CA0AE3">
              <w:rPr>
                <w:rFonts w:eastAsia="Times New Roman"/>
                <w:b/>
                <w:bCs/>
                <w:kern w:val="24"/>
                <w:sz w:val="20"/>
              </w:rPr>
              <w:t xml:space="preserve">4: </w:t>
            </w:r>
            <w:r w:rsidRPr="00CA0AE3">
              <w:rPr>
                <w:b/>
                <w:sz w:val="20"/>
              </w:rPr>
              <w:t>Evidence-Based Practices for Medical Management of Chronic Conditions</w:t>
            </w:r>
          </w:p>
        </w:tc>
        <w:tc>
          <w:tcPr>
            <w:tcW w:w="398" w:type="pct"/>
            <w:tcBorders>
              <w:top w:val="single" w:sz="8" w:space="0" w:color="000000"/>
              <w:left w:val="single" w:sz="8" w:space="0" w:color="000000"/>
              <w:bottom w:val="single" w:sz="8" w:space="0" w:color="000000"/>
              <w:right w:val="single" w:sz="8" w:space="0" w:color="000000"/>
            </w:tcBorders>
            <w:shd w:val="clear" w:color="auto" w:fill="C6D9F1" w:themeFill="text2" w:themeFillTint="33"/>
            <w:vAlign w:val="center"/>
          </w:tcPr>
          <w:p w:rsidR="00CA2FE3" w:rsidRPr="00CA0AE3" w:rsidRDefault="00CA2FE3" w:rsidP="00D1633A">
            <w:pPr>
              <w:spacing w:after="0" w:line="240" w:lineRule="auto"/>
              <w:jc w:val="center"/>
              <w:rPr>
                <w:rFonts w:eastAsia="Times New Roman"/>
                <w:b/>
                <w:bCs/>
                <w:kern w:val="24"/>
                <w:sz w:val="20"/>
              </w:rPr>
            </w:pPr>
            <w:r w:rsidRPr="00CA0AE3">
              <w:rPr>
                <w:rFonts w:eastAsia="Times New Roman"/>
                <w:b/>
                <w:bCs/>
                <w:kern w:val="24"/>
                <w:sz w:val="20"/>
              </w:rPr>
              <w:t>Achieve 2 of 3 Measures</w:t>
            </w:r>
          </w:p>
        </w:tc>
        <w:tc>
          <w:tcPr>
            <w:tcW w:w="463" w:type="pct"/>
            <w:tcBorders>
              <w:top w:val="single" w:sz="8" w:space="0" w:color="000000"/>
              <w:left w:val="single" w:sz="8" w:space="0" w:color="000000"/>
              <w:bottom w:val="single" w:sz="8" w:space="0" w:color="000000"/>
              <w:right w:val="single" w:sz="8" w:space="0" w:color="000000"/>
            </w:tcBorders>
            <w:shd w:val="clear" w:color="auto" w:fill="C6D9F1" w:themeFill="text2" w:themeFillTint="33"/>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Times New Roman"/>
                <w:b/>
                <w:bCs/>
                <w:kern w:val="24"/>
                <w:sz w:val="20"/>
              </w:rPr>
            </w:pPr>
            <w:r w:rsidRPr="00CA0AE3">
              <w:rPr>
                <w:rFonts w:eastAsia="Times New Roman"/>
                <w:b/>
                <w:bCs/>
                <w:kern w:val="24"/>
                <w:sz w:val="20"/>
              </w:rPr>
              <w:t>Achieve 4 of 13 Measures</w:t>
            </w:r>
          </w:p>
        </w:tc>
        <w:tc>
          <w:tcPr>
            <w:tcW w:w="426" w:type="pct"/>
            <w:tcBorders>
              <w:top w:val="single" w:sz="8" w:space="0" w:color="000000"/>
              <w:left w:val="single" w:sz="8" w:space="0" w:color="000000"/>
              <w:bottom w:val="single" w:sz="8" w:space="0" w:color="000000"/>
              <w:right w:val="single" w:sz="8" w:space="0" w:color="000000"/>
            </w:tcBorders>
            <w:shd w:val="clear" w:color="auto" w:fill="C6D9F1" w:themeFill="text2" w:themeFillTint="33"/>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Times New Roman"/>
                <w:b/>
                <w:bCs/>
                <w:kern w:val="24"/>
                <w:sz w:val="20"/>
              </w:rPr>
            </w:pPr>
            <w:r w:rsidRPr="00CA0AE3">
              <w:rPr>
                <w:rFonts w:eastAsia="Times New Roman"/>
                <w:b/>
                <w:bCs/>
                <w:kern w:val="24"/>
                <w:sz w:val="20"/>
              </w:rPr>
              <w:t>Achieve 7 of 13 Measures</w:t>
            </w:r>
          </w:p>
        </w:tc>
        <w:tc>
          <w:tcPr>
            <w:tcW w:w="431" w:type="pct"/>
            <w:tcBorders>
              <w:top w:val="single" w:sz="8" w:space="0" w:color="000000"/>
              <w:left w:val="single" w:sz="8" w:space="0" w:color="000000"/>
              <w:bottom w:val="single" w:sz="8" w:space="0" w:color="000000"/>
              <w:right w:val="single" w:sz="8" w:space="0" w:color="000000"/>
            </w:tcBorders>
            <w:shd w:val="clear" w:color="auto" w:fill="C6D9F1" w:themeFill="text2" w:themeFillTint="33"/>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Times New Roman"/>
                <w:b/>
                <w:bCs/>
                <w:kern w:val="24"/>
                <w:sz w:val="20"/>
              </w:rPr>
            </w:pPr>
            <w:r w:rsidRPr="00CA0AE3">
              <w:rPr>
                <w:rFonts w:eastAsia="Times New Roman"/>
                <w:b/>
                <w:bCs/>
                <w:kern w:val="24"/>
                <w:sz w:val="20"/>
              </w:rPr>
              <w:t>Achieve 8 of 13 Measures</w:t>
            </w:r>
          </w:p>
        </w:tc>
        <w:tc>
          <w:tcPr>
            <w:tcW w:w="431" w:type="pct"/>
            <w:tcBorders>
              <w:top w:val="single" w:sz="8" w:space="0" w:color="000000"/>
              <w:left w:val="single" w:sz="8" w:space="0" w:color="000000"/>
              <w:bottom w:val="single" w:sz="8" w:space="0" w:color="000000"/>
              <w:right w:val="single" w:sz="8" w:space="0" w:color="000000"/>
            </w:tcBorders>
            <w:shd w:val="clear" w:color="auto" w:fill="C6D9F1" w:themeFill="text2" w:themeFillTint="33"/>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Times New Roman"/>
                <w:b/>
                <w:bCs/>
                <w:kern w:val="24"/>
                <w:sz w:val="20"/>
              </w:rPr>
            </w:pPr>
            <w:r w:rsidRPr="00CA0AE3">
              <w:rPr>
                <w:rFonts w:eastAsia="Times New Roman"/>
                <w:b/>
                <w:bCs/>
                <w:kern w:val="24"/>
                <w:sz w:val="20"/>
              </w:rPr>
              <w:t>Achieve 8 of 13 Measures</w:t>
            </w:r>
          </w:p>
        </w:tc>
        <w:tc>
          <w:tcPr>
            <w:tcW w:w="567" w:type="pct"/>
            <w:tcBorders>
              <w:top w:val="single" w:sz="8" w:space="0" w:color="000000"/>
              <w:left w:val="single" w:sz="8" w:space="0" w:color="000000"/>
              <w:bottom w:val="single" w:sz="8" w:space="0" w:color="000000"/>
              <w:right w:val="single" w:sz="8" w:space="0" w:color="000000"/>
            </w:tcBorders>
            <w:shd w:val="clear" w:color="auto" w:fill="C6D9F1" w:themeFill="text2" w:themeFillTint="33"/>
            <w:vAlign w:val="center"/>
          </w:tcPr>
          <w:p w:rsidR="00CA2FE3" w:rsidRDefault="00CA2FE3" w:rsidP="00CA2FE3">
            <w:pPr>
              <w:spacing w:after="0" w:line="240" w:lineRule="auto"/>
              <w:rPr>
                <w:rFonts w:eastAsia="Times New Roman"/>
                <w:b/>
                <w:bCs/>
                <w:kern w:val="24"/>
                <w:sz w:val="20"/>
                <w:szCs w:val="20"/>
              </w:rPr>
            </w:pPr>
            <w:r>
              <w:rPr>
                <w:rFonts w:eastAsia="Times New Roman"/>
                <w:b/>
                <w:bCs/>
                <w:kern w:val="24"/>
                <w:sz w:val="20"/>
                <w:szCs w:val="20"/>
              </w:rPr>
              <w:t>Baseline (B)</w:t>
            </w:r>
          </w:p>
          <w:p w:rsidR="00CA2FE3" w:rsidRDefault="00CA2FE3" w:rsidP="00CA2FE3">
            <w:pPr>
              <w:spacing w:after="0" w:line="240" w:lineRule="auto"/>
              <w:rPr>
                <w:rFonts w:eastAsia="Times New Roman"/>
                <w:b/>
                <w:bCs/>
                <w:kern w:val="24"/>
                <w:sz w:val="20"/>
                <w:szCs w:val="20"/>
              </w:rPr>
            </w:pPr>
            <w:r>
              <w:rPr>
                <w:rFonts w:eastAsia="Times New Roman"/>
                <w:b/>
                <w:bCs/>
                <w:kern w:val="24"/>
                <w:sz w:val="20"/>
                <w:szCs w:val="20"/>
              </w:rPr>
              <w:t>Outcome (O)</w:t>
            </w:r>
          </w:p>
          <w:p w:rsidR="00CA2FE3" w:rsidRPr="00CA0AE3" w:rsidRDefault="00CA2FE3" w:rsidP="00CA2FE3">
            <w:pPr>
              <w:spacing w:after="0" w:line="240" w:lineRule="auto"/>
              <w:rPr>
                <w:rFonts w:eastAsia="Times New Roman"/>
                <w:b/>
                <w:bCs/>
                <w:kern w:val="24"/>
                <w:sz w:val="20"/>
              </w:rPr>
            </w:pPr>
            <w:r>
              <w:rPr>
                <w:rFonts w:eastAsia="Times New Roman"/>
                <w:b/>
                <w:bCs/>
                <w:kern w:val="24"/>
                <w:sz w:val="20"/>
                <w:szCs w:val="20"/>
              </w:rPr>
              <w:t>Reporting (R)</w:t>
            </w:r>
          </w:p>
        </w:tc>
      </w:tr>
      <w:tr w:rsidR="00CA2FE3" w:rsidRPr="00CA0AE3" w:rsidTr="003C48F3">
        <w:trPr>
          <w:cantSplit/>
        </w:trPr>
        <w:tc>
          <w:tcPr>
            <w:tcW w:w="108" w:type="pct"/>
            <w:tcBorders>
              <w:top w:val="single" w:sz="8" w:space="0" w:color="000000"/>
              <w:left w:val="single" w:sz="8" w:space="0" w:color="000000"/>
              <w:bottom w:val="single" w:sz="8" w:space="0" w:color="000000"/>
              <w:right w:val="single" w:sz="8" w:space="0" w:color="000000"/>
            </w:tcBorders>
            <w:shd w:val="clear" w:color="auto" w:fill="C6D9F1" w:themeFill="text2" w:themeFillTint="33"/>
            <w:vAlign w:val="center"/>
          </w:tcPr>
          <w:p w:rsidR="00CA2FE3" w:rsidRPr="00CA0AE3" w:rsidRDefault="00CA2FE3" w:rsidP="00D1633A">
            <w:pPr>
              <w:spacing w:after="0" w:line="240" w:lineRule="auto"/>
              <w:jc w:val="center"/>
              <w:rPr>
                <w:rFonts w:eastAsia="Times New Roman"/>
                <w:b/>
                <w:bCs/>
                <w:kern w:val="24"/>
                <w:sz w:val="20"/>
              </w:rPr>
            </w:pPr>
            <w:r w:rsidRPr="00CA0AE3">
              <w:rPr>
                <w:rFonts w:eastAsia="Times New Roman"/>
                <w:b/>
                <w:bCs/>
                <w:kern w:val="24"/>
                <w:sz w:val="20"/>
              </w:rPr>
              <w:lastRenderedPageBreak/>
              <w:t>#</w:t>
            </w:r>
          </w:p>
        </w:tc>
        <w:tc>
          <w:tcPr>
            <w:tcW w:w="722" w:type="pct"/>
            <w:tcBorders>
              <w:top w:val="single" w:sz="8" w:space="0" w:color="000000"/>
              <w:left w:val="single" w:sz="8" w:space="0" w:color="000000"/>
              <w:bottom w:val="single" w:sz="8" w:space="0" w:color="000000"/>
              <w:right w:val="single" w:sz="8" w:space="0" w:color="000000"/>
            </w:tcBorders>
            <w:shd w:val="clear" w:color="auto" w:fill="C6D9F1" w:themeFill="text2" w:themeFillTint="33"/>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Times New Roman"/>
                <w:sz w:val="20"/>
              </w:rPr>
            </w:pPr>
            <w:r w:rsidRPr="00CA0AE3">
              <w:rPr>
                <w:rFonts w:eastAsia="Times New Roman"/>
                <w:b/>
                <w:bCs/>
                <w:kern w:val="24"/>
                <w:sz w:val="20"/>
              </w:rPr>
              <w:t>Measure Description</w:t>
            </w:r>
          </w:p>
        </w:tc>
        <w:tc>
          <w:tcPr>
            <w:tcW w:w="431" w:type="pct"/>
            <w:tcBorders>
              <w:top w:val="single" w:sz="8" w:space="0" w:color="000000"/>
              <w:left w:val="single" w:sz="8" w:space="0" w:color="000000"/>
              <w:bottom w:val="single" w:sz="8" w:space="0" w:color="000000"/>
              <w:right w:val="single" w:sz="8" w:space="0" w:color="000000"/>
            </w:tcBorders>
            <w:shd w:val="clear" w:color="auto" w:fill="C6D9F1" w:themeFill="text2" w:themeFillTint="33"/>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Times New Roman"/>
                <w:kern w:val="24"/>
                <w:sz w:val="20"/>
              </w:rPr>
            </w:pPr>
            <w:r w:rsidRPr="00CA0AE3">
              <w:rPr>
                <w:rFonts w:eastAsia="Times New Roman"/>
                <w:b/>
                <w:bCs/>
                <w:kern w:val="24"/>
                <w:sz w:val="20"/>
              </w:rPr>
              <w:t>Measure Steward</w:t>
            </w:r>
          </w:p>
          <w:p w:rsidR="00CA2FE3" w:rsidRPr="00CA0AE3" w:rsidRDefault="00CA2FE3" w:rsidP="00D1633A">
            <w:pPr>
              <w:spacing w:after="0" w:line="240" w:lineRule="auto"/>
              <w:jc w:val="center"/>
              <w:rPr>
                <w:rFonts w:eastAsia="Times New Roman"/>
                <w:b/>
                <w:sz w:val="20"/>
              </w:rPr>
            </w:pPr>
            <w:r w:rsidRPr="00CA0AE3">
              <w:rPr>
                <w:rFonts w:eastAsia="Times New Roman"/>
                <w:b/>
                <w:kern w:val="24"/>
                <w:sz w:val="20"/>
              </w:rPr>
              <w:t>NQF#</w:t>
            </w:r>
          </w:p>
        </w:tc>
        <w:tc>
          <w:tcPr>
            <w:tcW w:w="463" w:type="pct"/>
            <w:tcBorders>
              <w:top w:val="single" w:sz="8" w:space="0" w:color="000000"/>
              <w:left w:val="single" w:sz="8" w:space="0" w:color="000000"/>
              <w:bottom w:val="single" w:sz="8" w:space="0" w:color="000000"/>
              <w:right w:val="single" w:sz="8" w:space="0" w:color="000000"/>
            </w:tcBorders>
            <w:shd w:val="clear" w:color="auto" w:fill="C6D9F1" w:themeFill="text2" w:themeFillTint="33"/>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Times New Roman"/>
                <w:sz w:val="20"/>
              </w:rPr>
            </w:pPr>
            <w:r w:rsidRPr="00CA0AE3">
              <w:rPr>
                <w:rFonts w:eastAsia="Times New Roman"/>
                <w:b/>
                <w:bCs/>
                <w:kern w:val="24"/>
                <w:sz w:val="20"/>
              </w:rPr>
              <w:t>Benchmark</w:t>
            </w:r>
          </w:p>
        </w:tc>
        <w:tc>
          <w:tcPr>
            <w:tcW w:w="560" w:type="pct"/>
            <w:tcBorders>
              <w:top w:val="single" w:sz="8" w:space="0" w:color="000000"/>
              <w:left w:val="single" w:sz="8" w:space="0" w:color="000000"/>
              <w:bottom w:val="single" w:sz="8" w:space="0" w:color="000000"/>
              <w:right w:val="single" w:sz="8" w:space="0" w:color="000000"/>
            </w:tcBorders>
            <w:shd w:val="clear" w:color="auto" w:fill="C6D9F1" w:themeFill="text2" w:themeFillTint="33"/>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Times New Roman"/>
                <w:sz w:val="20"/>
              </w:rPr>
            </w:pPr>
            <w:r w:rsidRPr="00CA0AE3">
              <w:rPr>
                <w:rFonts w:eastAsia="Times New Roman"/>
                <w:b/>
                <w:bCs/>
                <w:kern w:val="24"/>
                <w:sz w:val="20"/>
              </w:rPr>
              <w:t>Improvement Methodology</w:t>
            </w:r>
          </w:p>
        </w:tc>
        <w:tc>
          <w:tcPr>
            <w:tcW w:w="398" w:type="pct"/>
            <w:tcBorders>
              <w:top w:val="single" w:sz="8" w:space="0" w:color="000000"/>
              <w:left w:val="single" w:sz="8" w:space="0" w:color="000000"/>
              <w:bottom w:val="single" w:sz="8" w:space="0" w:color="000000"/>
              <w:right w:val="single" w:sz="8" w:space="0" w:color="000000"/>
            </w:tcBorders>
            <w:shd w:val="clear" w:color="auto" w:fill="C6D9F1" w:themeFill="text2" w:themeFillTint="33"/>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Times New Roman"/>
                <w:kern w:val="24"/>
                <w:sz w:val="20"/>
              </w:rPr>
            </w:pPr>
            <w:r w:rsidRPr="00CA0AE3">
              <w:rPr>
                <w:rFonts w:eastAsia="Times New Roman"/>
                <w:b/>
                <w:bCs/>
                <w:kern w:val="24"/>
                <w:sz w:val="20"/>
              </w:rPr>
              <w:t>Year 1</w:t>
            </w:r>
          </w:p>
          <w:p w:rsidR="00CA2FE3" w:rsidRPr="00CA0AE3" w:rsidRDefault="00CA2FE3" w:rsidP="00D1633A">
            <w:pPr>
              <w:spacing w:after="0" w:line="240" w:lineRule="auto"/>
              <w:jc w:val="center"/>
              <w:rPr>
                <w:rFonts w:eastAsia="Times New Roman"/>
                <w:kern w:val="24"/>
                <w:sz w:val="20"/>
              </w:rPr>
            </w:pPr>
            <w:r w:rsidRPr="00CA0AE3">
              <w:rPr>
                <w:rFonts w:eastAsia="Times New Roman"/>
                <w:kern w:val="24"/>
                <w:sz w:val="20"/>
              </w:rPr>
              <w:t xml:space="preserve">SFY </w:t>
            </w:r>
          </w:p>
          <w:p w:rsidR="00CA2FE3" w:rsidRPr="00CA0AE3" w:rsidRDefault="00CA2FE3" w:rsidP="00D1633A">
            <w:pPr>
              <w:spacing w:after="0" w:line="240" w:lineRule="auto"/>
              <w:jc w:val="center"/>
              <w:rPr>
                <w:rFonts w:eastAsia="Times New Roman"/>
                <w:sz w:val="20"/>
              </w:rPr>
            </w:pPr>
            <w:r w:rsidRPr="00CA0AE3">
              <w:rPr>
                <w:rFonts w:eastAsia="Times New Roman"/>
                <w:kern w:val="24"/>
                <w:sz w:val="20"/>
              </w:rPr>
              <w:t>2018</w:t>
            </w:r>
          </w:p>
        </w:tc>
        <w:tc>
          <w:tcPr>
            <w:tcW w:w="463" w:type="pct"/>
            <w:tcBorders>
              <w:top w:val="single" w:sz="8" w:space="0" w:color="000000"/>
              <w:left w:val="single" w:sz="8" w:space="0" w:color="000000"/>
              <w:bottom w:val="single" w:sz="8" w:space="0" w:color="000000"/>
              <w:right w:val="single" w:sz="8" w:space="0" w:color="000000"/>
            </w:tcBorders>
            <w:shd w:val="clear" w:color="auto" w:fill="C6D9F1" w:themeFill="text2" w:themeFillTint="33"/>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Times New Roman"/>
                <w:kern w:val="24"/>
                <w:sz w:val="20"/>
              </w:rPr>
            </w:pPr>
            <w:r w:rsidRPr="00CA0AE3">
              <w:rPr>
                <w:rFonts w:eastAsia="Times New Roman"/>
                <w:b/>
                <w:bCs/>
                <w:kern w:val="24"/>
                <w:sz w:val="20"/>
              </w:rPr>
              <w:t>Year 2</w:t>
            </w:r>
          </w:p>
          <w:p w:rsidR="00CA2FE3" w:rsidRPr="00CA0AE3" w:rsidRDefault="00CA2FE3" w:rsidP="00D1633A">
            <w:pPr>
              <w:spacing w:after="0" w:line="240" w:lineRule="auto"/>
              <w:jc w:val="center"/>
              <w:rPr>
                <w:rFonts w:eastAsia="Times New Roman"/>
                <w:kern w:val="24"/>
                <w:sz w:val="20"/>
              </w:rPr>
            </w:pPr>
            <w:r w:rsidRPr="00CA0AE3">
              <w:rPr>
                <w:rFonts w:eastAsia="Times New Roman"/>
                <w:kern w:val="24"/>
                <w:sz w:val="20"/>
              </w:rPr>
              <w:t xml:space="preserve">SFY </w:t>
            </w:r>
          </w:p>
          <w:p w:rsidR="00CA2FE3" w:rsidRPr="00CA0AE3" w:rsidRDefault="00CA2FE3" w:rsidP="00D1633A">
            <w:pPr>
              <w:spacing w:after="0" w:line="240" w:lineRule="auto"/>
              <w:jc w:val="center"/>
              <w:rPr>
                <w:rFonts w:eastAsia="Times New Roman"/>
                <w:sz w:val="20"/>
              </w:rPr>
            </w:pPr>
            <w:r w:rsidRPr="00CA0AE3">
              <w:rPr>
                <w:rFonts w:eastAsia="Times New Roman"/>
                <w:kern w:val="24"/>
                <w:sz w:val="20"/>
              </w:rPr>
              <w:t>2019</w:t>
            </w:r>
          </w:p>
        </w:tc>
        <w:tc>
          <w:tcPr>
            <w:tcW w:w="426" w:type="pct"/>
            <w:tcBorders>
              <w:top w:val="single" w:sz="8" w:space="0" w:color="000000"/>
              <w:left w:val="single" w:sz="8" w:space="0" w:color="000000"/>
              <w:bottom w:val="single" w:sz="8" w:space="0" w:color="000000"/>
              <w:right w:val="single" w:sz="8" w:space="0" w:color="000000"/>
            </w:tcBorders>
            <w:shd w:val="clear" w:color="auto" w:fill="C6D9F1" w:themeFill="text2" w:themeFillTint="33"/>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Times New Roman"/>
                <w:kern w:val="24"/>
                <w:sz w:val="20"/>
              </w:rPr>
            </w:pPr>
            <w:r w:rsidRPr="00CA0AE3">
              <w:rPr>
                <w:rFonts w:eastAsia="Times New Roman"/>
                <w:b/>
                <w:bCs/>
                <w:kern w:val="24"/>
                <w:sz w:val="20"/>
              </w:rPr>
              <w:t>Year 3</w:t>
            </w:r>
          </w:p>
          <w:p w:rsidR="00CA2FE3" w:rsidRPr="00CA0AE3" w:rsidRDefault="00CA2FE3" w:rsidP="00D1633A">
            <w:pPr>
              <w:spacing w:after="0" w:line="240" w:lineRule="auto"/>
              <w:jc w:val="center"/>
              <w:rPr>
                <w:rFonts w:eastAsia="Times New Roman"/>
                <w:kern w:val="24"/>
                <w:sz w:val="20"/>
              </w:rPr>
            </w:pPr>
            <w:r w:rsidRPr="00CA0AE3">
              <w:rPr>
                <w:rFonts w:eastAsia="Times New Roman"/>
                <w:kern w:val="24"/>
                <w:sz w:val="20"/>
              </w:rPr>
              <w:t xml:space="preserve">SFY </w:t>
            </w:r>
          </w:p>
          <w:p w:rsidR="00CA2FE3" w:rsidRPr="00CA0AE3" w:rsidRDefault="00CA2FE3" w:rsidP="00D1633A">
            <w:pPr>
              <w:spacing w:after="0" w:line="240" w:lineRule="auto"/>
              <w:jc w:val="center"/>
              <w:rPr>
                <w:rFonts w:eastAsia="Times New Roman"/>
                <w:sz w:val="20"/>
              </w:rPr>
            </w:pPr>
            <w:r w:rsidRPr="00CA0AE3">
              <w:rPr>
                <w:rFonts w:eastAsia="Times New Roman"/>
                <w:kern w:val="24"/>
                <w:sz w:val="20"/>
              </w:rPr>
              <w:t>2020</w:t>
            </w:r>
          </w:p>
        </w:tc>
        <w:tc>
          <w:tcPr>
            <w:tcW w:w="431" w:type="pct"/>
            <w:tcBorders>
              <w:top w:val="single" w:sz="8" w:space="0" w:color="000000"/>
              <w:left w:val="single" w:sz="8" w:space="0" w:color="000000"/>
              <w:bottom w:val="single" w:sz="8" w:space="0" w:color="000000"/>
              <w:right w:val="single" w:sz="8" w:space="0" w:color="000000"/>
            </w:tcBorders>
            <w:shd w:val="clear" w:color="auto" w:fill="C6D9F1" w:themeFill="text2" w:themeFillTint="33"/>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Times New Roman"/>
                <w:kern w:val="24"/>
                <w:sz w:val="20"/>
              </w:rPr>
            </w:pPr>
            <w:r w:rsidRPr="00CA0AE3">
              <w:rPr>
                <w:rFonts w:eastAsia="Times New Roman"/>
                <w:b/>
                <w:bCs/>
                <w:kern w:val="24"/>
                <w:sz w:val="20"/>
              </w:rPr>
              <w:t>Year 4</w:t>
            </w:r>
          </w:p>
          <w:p w:rsidR="00CA2FE3" w:rsidRPr="00CA0AE3" w:rsidRDefault="00CA2FE3" w:rsidP="00D1633A">
            <w:pPr>
              <w:spacing w:after="0" w:line="240" w:lineRule="auto"/>
              <w:jc w:val="center"/>
              <w:rPr>
                <w:rFonts w:eastAsia="Times New Roman"/>
                <w:kern w:val="24"/>
                <w:sz w:val="20"/>
              </w:rPr>
            </w:pPr>
            <w:r w:rsidRPr="00CA0AE3">
              <w:rPr>
                <w:rFonts w:eastAsia="Times New Roman"/>
                <w:kern w:val="24"/>
                <w:sz w:val="20"/>
              </w:rPr>
              <w:t xml:space="preserve">SFY </w:t>
            </w:r>
          </w:p>
          <w:p w:rsidR="00CA2FE3" w:rsidRPr="00CA0AE3" w:rsidRDefault="00CA2FE3" w:rsidP="00D1633A">
            <w:pPr>
              <w:spacing w:after="0" w:line="240" w:lineRule="auto"/>
              <w:jc w:val="center"/>
              <w:rPr>
                <w:rFonts w:eastAsia="Times New Roman"/>
                <w:sz w:val="20"/>
              </w:rPr>
            </w:pPr>
            <w:r w:rsidRPr="00CA0AE3">
              <w:rPr>
                <w:rFonts w:eastAsia="Times New Roman"/>
                <w:kern w:val="24"/>
                <w:sz w:val="20"/>
              </w:rPr>
              <w:t>2021</w:t>
            </w:r>
          </w:p>
        </w:tc>
        <w:tc>
          <w:tcPr>
            <w:tcW w:w="431" w:type="pct"/>
            <w:tcBorders>
              <w:top w:val="single" w:sz="8" w:space="0" w:color="000000"/>
              <w:left w:val="single" w:sz="8" w:space="0" w:color="000000"/>
              <w:bottom w:val="single" w:sz="8" w:space="0" w:color="000000"/>
              <w:right w:val="single" w:sz="8" w:space="0" w:color="000000"/>
            </w:tcBorders>
            <w:shd w:val="clear" w:color="auto" w:fill="C6D9F1" w:themeFill="text2" w:themeFillTint="33"/>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Times New Roman"/>
                <w:kern w:val="24"/>
                <w:sz w:val="20"/>
              </w:rPr>
            </w:pPr>
            <w:r w:rsidRPr="00CA0AE3">
              <w:rPr>
                <w:rFonts w:eastAsia="Times New Roman"/>
                <w:b/>
                <w:bCs/>
                <w:kern w:val="24"/>
                <w:sz w:val="20"/>
              </w:rPr>
              <w:t>Year 5</w:t>
            </w:r>
          </w:p>
          <w:p w:rsidR="00CA2FE3" w:rsidRPr="00CA0AE3" w:rsidRDefault="00CA2FE3" w:rsidP="00D1633A">
            <w:pPr>
              <w:spacing w:after="0" w:line="240" w:lineRule="auto"/>
              <w:jc w:val="center"/>
              <w:rPr>
                <w:rFonts w:eastAsia="Times New Roman"/>
                <w:kern w:val="24"/>
                <w:sz w:val="20"/>
              </w:rPr>
            </w:pPr>
            <w:r w:rsidRPr="00CA0AE3">
              <w:rPr>
                <w:rFonts w:eastAsia="Times New Roman"/>
                <w:kern w:val="24"/>
                <w:sz w:val="20"/>
              </w:rPr>
              <w:t xml:space="preserve">SFY </w:t>
            </w:r>
          </w:p>
          <w:p w:rsidR="00CA2FE3" w:rsidRPr="00CA0AE3" w:rsidRDefault="00CA2FE3" w:rsidP="00D1633A">
            <w:pPr>
              <w:spacing w:after="0" w:line="240" w:lineRule="auto"/>
              <w:jc w:val="center"/>
              <w:rPr>
                <w:rFonts w:eastAsia="Times New Roman"/>
                <w:sz w:val="20"/>
              </w:rPr>
            </w:pPr>
            <w:r w:rsidRPr="00CA0AE3">
              <w:rPr>
                <w:rFonts w:eastAsia="Times New Roman"/>
                <w:kern w:val="24"/>
                <w:sz w:val="20"/>
              </w:rPr>
              <w:t>2022</w:t>
            </w:r>
          </w:p>
        </w:tc>
        <w:tc>
          <w:tcPr>
            <w:tcW w:w="567" w:type="pct"/>
            <w:tcBorders>
              <w:top w:val="single" w:sz="8" w:space="0" w:color="000000"/>
              <w:left w:val="single" w:sz="8" w:space="0" w:color="000000"/>
              <w:bottom w:val="single" w:sz="8" w:space="0" w:color="000000"/>
              <w:right w:val="single" w:sz="8" w:space="0" w:color="000000"/>
            </w:tcBorders>
            <w:shd w:val="clear" w:color="auto" w:fill="C6D9F1" w:themeFill="text2" w:themeFillTint="33"/>
            <w:vAlign w:val="center"/>
          </w:tcPr>
          <w:p w:rsidR="00CA2FE3" w:rsidRPr="00CA0AE3" w:rsidRDefault="00CA2FE3" w:rsidP="00D1633A">
            <w:pPr>
              <w:spacing w:after="0" w:line="240" w:lineRule="auto"/>
              <w:jc w:val="center"/>
              <w:rPr>
                <w:rFonts w:eastAsia="Times New Roman"/>
                <w:b/>
                <w:bCs/>
                <w:kern w:val="24"/>
                <w:sz w:val="20"/>
              </w:rPr>
            </w:pPr>
            <w:r w:rsidRPr="00CA0AE3">
              <w:rPr>
                <w:rFonts w:eastAsia="Times New Roman"/>
                <w:b/>
                <w:bCs/>
                <w:kern w:val="24"/>
                <w:sz w:val="20"/>
              </w:rPr>
              <w:t>Rationale for Improvement Target</w:t>
            </w:r>
          </w:p>
        </w:tc>
      </w:tr>
      <w:tr w:rsidR="00CA2FE3" w:rsidRPr="00CA0AE3" w:rsidTr="003C48F3">
        <w:trPr>
          <w:cantSplit/>
        </w:trPr>
        <w:tc>
          <w:tcPr>
            <w:tcW w:w="108" w:type="pct"/>
            <w:tcBorders>
              <w:top w:val="single" w:sz="8" w:space="0" w:color="000000"/>
              <w:left w:val="single" w:sz="8" w:space="0" w:color="000000"/>
              <w:bottom w:val="single" w:sz="8" w:space="0" w:color="000000"/>
              <w:right w:val="single" w:sz="8" w:space="0" w:color="000000"/>
            </w:tcBorders>
            <w:vAlign w:val="center"/>
          </w:tcPr>
          <w:p w:rsidR="00CA2FE3" w:rsidRPr="00CA0AE3" w:rsidRDefault="00CA2FE3" w:rsidP="00D1633A">
            <w:pPr>
              <w:spacing w:after="0" w:line="240" w:lineRule="auto"/>
              <w:rPr>
                <w:rFonts w:eastAsia="Times New Roman"/>
                <w:b/>
                <w:sz w:val="16"/>
                <w:szCs w:val="16"/>
              </w:rPr>
            </w:pPr>
          </w:p>
        </w:tc>
        <w:tc>
          <w:tcPr>
            <w:tcW w:w="722" w:type="pct"/>
            <w:tcBorders>
              <w:top w:val="single" w:sz="8" w:space="0" w:color="000000"/>
              <w:left w:val="single" w:sz="8" w:space="0" w:color="000000"/>
              <w:bottom w:val="single" w:sz="8" w:space="0" w:color="000000"/>
              <w:right w:val="single" w:sz="8" w:space="0" w:color="000000"/>
            </w:tcBorders>
            <w:vAlign w:val="center"/>
          </w:tcPr>
          <w:p w:rsidR="00CA2FE3" w:rsidRPr="00CA0AE3" w:rsidRDefault="00CA2FE3" w:rsidP="00D1633A">
            <w:pPr>
              <w:spacing w:after="0" w:line="240" w:lineRule="auto"/>
              <w:rPr>
                <w:rFonts w:eastAsia="Times New Roman"/>
                <w:b/>
                <w:sz w:val="16"/>
                <w:szCs w:val="16"/>
              </w:rPr>
            </w:pPr>
            <w:r w:rsidRPr="00CA0AE3">
              <w:rPr>
                <w:rFonts w:eastAsia="Times New Roman"/>
                <w:b/>
                <w:sz w:val="16"/>
                <w:szCs w:val="16"/>
              </w:rPr>
              <w:t>Chronic Obstructive Pulmonary Disease (COPD)</w:t>
            </w:r>
          </w:p>
        </w:tc>
        <w:tc>
          <w:tcPr>
            <w:tcW w:w="431" w:type="pct"/>
            <w:tcBorders>
              <w:top w:val="single" w:sz="8" w:space="0" w:color="000000"/>
              <w:left w:val="single" w:sz="8" w:space="0" w:color="000000"/>
              <w:bottom w:val="single" w:sz="8" w:space="0" w:color="000000"/>
              <w:right w:val="single" w:sz="8" w:space="0" w:color="000000"/>
            </w:tcBorders>
            <w:vAlign w:val="center"/>
          </w:tcPr>
          <w:p w:rsidR="00CA2FE3" w:rsidRPr="00CA0AE3" w:rsidRDefault="00CA2FE3" w:rsidP="00D1633A">
            <w:pPr>
              <w:spacing w:after="0" w:line="240" w:lineRule="auto"/>
              <w:rPr>
                <w:rFonts w:eastAsia="Times New Roman"/>
                <w:b/>
                <w:sz w:val="16"/>
                <w:szCs w:val="16"/>
              </w:rPr>
            </w:pPr>
          </w:p>
        </w:tc>
        <w:tc>
          <w:tcPr>
            <w:tcW w:w="463" w:type="pct"/>
            <w:tcBorders>
              <w:top w:val="single" w:sz="8" w:space="0" w:color="000000"/>
              <w:left w:val="single" w:sz="8" w:space="0" w:color="000000"/>
              <w:bottom w:val="single" w:sz="8" w:space="0" w:color="000000"/>
              <w:right w:val="single" w:sz="8" w:space="0" w:color="000000"/>
            </w:tcBorders>
            <w:vAlign w:val="center"/>
          </w:tcPr>
          <w:p w:rsidR="00CA2FE3" w:rsidRPr="00CA0AE3" w:rsidRDefault="00CA2FE3" w:rsidP="00D1633A">
            <w:pPr>
              <w:spacing w:after="0" w:line="240" w:lineRule="auto"/>
              <w:rPr>
                <w:rFonts w:eastAsia="Times New Roman"/>
                <w:b/>
                <w:sz w:val="16"/>
                <w:szCs w:val="16"/>
              </w:rPr>
            </w:pPr>
          </w:p>
        </w:tc>
        <w:tc>
          <w:tcPr>
            <w:tcW w:w="560" w:type="pct"/>
            <w:tcBorders>
              <w:top w:val="single" w:sz="8" w:space="0" w:color="000000"/>
              <w:left w:val="single" w:sz="8" w:space="0" w:color="000000"/>
              <w:bottom w:val="single" w:sz="8" w:space="0" w:color="000000"/>
              <w:right w:val="single" w:sz="8" w:space="0" w:color="000000"/>
            </w:tcBorders>
            <w:vAlign w:val="center"/>
          </w:tcPr>
          <w:p w:rsidR="00CA2FE3" w:rsidRPr="00CA0AE3" w:rsidRDefault="00CA2FE3" w:rsidP="00D1633A">
            <w:pPr>
              <w:spacing w:after="0" w:line="240" w:lineRule="auto"/>
              <w:rPr>
                <w:rFonts w:eastAsia="Times New Roman"/>
                <w:b/>
                <w:sz w:val="16"/>
                <w:szCs w:val="16"/>
              </w:rPr>
            </w:pPr>
          </w:p>
        </w:tc>
        <w:tc>
          <w:tcPr>
            <w:tcW w:w="398" w:type="pct"/>
            <w:tcBorders>
              <w:top w:val="single" w:sz="8" w:space="0" w:color="000000"/>
              <w:left w:val="single" w:sz="8" w:space="0" w:color="000000"/>
              <w:bottom w:val="single" w:sz="8" w:space="0" w:color="000000"/>
              <w:right w:val="single" w:sz="8" w:space="0" w:color="000000"/>
            </w:tcBorders>
            <w:vAlign w:val="center"/>
          </w:tcPr>
          <w:p w:rsidR="00CA2FE3" w:rsidRPr="00CA0AE3" w:rsidRDefault="00CA2FE3" w:rsidP="00D1633A">
            <w:pPr>
              <w:spacing w:after="0" w:line="240" w:lineRule="auto"/>
              <w:rPr>
                <w:rFonts w:eastAsia="Times New Roman"/>
                <w:b/>
                <w:sz w:val="16"/>
                <w:szCs w:val="16"/>
              </w:rPr>
            </w:pPr>
          </w:p>
        </w:tc>
        <w:tc>
          <w:tcPr>
            <w:tcW w:w="463" w:type="pct"/>
            <w:tcBorders>
              <w:top w:val="single" w:sz="8" w:space="0" w:color="000000"/>
              <w:left w:val="single" w:sz="8" w:space="0" w:color="000000"/>
              <w:bottom w:val="single" w:sz="8" w:space="0" w:color="000000"/>
              <w:right w:val="single" w:sz="8" w:space="0" w:color="000000"/>
            </w:tcBorders>
            <w:vAlign w:val="center"/>
          </w:tcPr>
          <w:p w:rsidR="00CA2FE3" w:rsidRPr="00CA0AE3" w:rsidRDefault="00CA2FE3" w:rsidP="00D1633A">
            <w:pPr>
              <w:spacing w:after="0" w:line="240" w:lineRule="auto"/>
              <w:rPr>
                <w:rFonts w:eastAsia="Times New Roman"/>
                <w:b/>
                <w:sz w:val="16"/>
                <w:szCs w:val="16"/>
              </w:rPr>
            </w:pPr>
          </w:p>
        </w:tc>
        <w:tc>
          <w:tcPr>
            <w:tcW w:w="426" w:type="pct"/>
            <w:tcBorders>
              <w:top w:val="single" w:sz="8" w:space="0" w:color="000000"/>
              <w:left w:val="single" w:sz="8" w:space="0" w:color="000000"/>
              <w:bottom w:val="single" w:sz="8" w:space="0" w:color="000000"/>
              <w:right w:val="single" w:sz="8" w:space="0" w:color="000000"/>
            </w:tcBorders>
            <w:vAlign w:val="center"/>
          </w:tcPr>
          <w:p w:rsidR="00CA2FE3" w:rsidRPr="00CA0AE3" w:rsidRDefault="00CA2FE3" w:rsidP="00D1633A">
            <w:pPr>
              <w:spacing w:after="0" w:line="240" w:lineRule="auto"/>
              <w:rPr>
                <w:rFonts w:eastAsia="Times New Roman"/>
                <w:b/>
                <w:sz w:val="16"/>
                <w:szCs w:val="16"/>
              </w:rPr>
            </w:pPr>
          </w:p>
        </w:tc>
        <w:tc>
          <w:tcPr>
            <w:tcW w:w="431" w:type="pct"/>
            <w:tcBorders>
              <w:top w:val="single" w:sz="8" w:space="0" w:color="000000"/>
              <w:left w:val="single" w:sz="8" w:space="0" w:color="000000"/>
              <w:bottom w:val="single" w:sz="8" w:space="0" w:color="000000"/>
              <w:right w:val="single" w:sz="8" w:space="0" w:color="000000"/>
            </w:tcBorders>
            <w:vAlign w:val="center"/>
          </w:tcPr>
          <w:p w:rsidR="00CA2FE3" w:rsidRPr="00CA0AE3" w:rsidRDefault="00CA2FE3" w:rsidP="00D1633A">
            <w:pPr>
              <w:spacing w:after="0" w:line="240" w:lineRule="auto"/>
              <w:rPr>
                <w:rFonts w:eastAsia="Times New Roman"/>
                <w:b/>
                <w:sz w:val="16"/>
                <w:szCs w:val="16"/>
              </w:rPr>
            </w:pPr>
          </w:p>
        </w:tc>
        <w:tc>
          <w:tcPr>
            <w:tcW w:w="431" w:type="pct"/>
            <w:tcBorders>
              <w:top w:val="single" w:sz="8" w:space="0" w:color="000000"/>
              <w:left w:val="single" w:sz="8" w:space="0" w:color="000000"/>
              <w:bottom w:val="single" w:sz="8" w:space="0" w:color="000000"/>
              <w:right w:val="single" w:sz="8" w:space="0" w:color="000000"/>
            </w:tcBorders>
            <w:vAlign w:val="center"/>
          </w:tcPr>
          <w:p w:rsidR="00CA2FE3" w:rsidRPr="00CA0AE3" w:rsidRDefault="00CA2FE3" w:rsidP="00D1633A">
            <w:pPr>
              <w:spacing w:after="0" w:line="240" w:lineRule="auto"/>
              <w:rPr>
                <w:rFonts w:eastAsia="Times New Roman"/>
                <w:b/>
                <w:sz w:val="16"/>
                <w:szCs w:val="16"/>
              </w:rPr>
            </w:pPr>
          </w:p>
        </w:tc>
        <w:tc>
          <w:tcPr>
            <w:tcW w:w="567" w:type="pct"/>
            <w:tcBorders>
              <w:top w:val="single" w:sz="8" w:space="0" w:color="000000"/>
              <w:left w:val="single" w:sz="8" w:space="0" w:color="000000"/>
              <w:bottom w:val="single" w:sz="8" w:space="0" w:color="000000"/>
              <w:right w:val="single" w:sz="8" w:space="0" w:color="000000"/>
            </w:tcBorders>
            <w:vAlign w:val="center"/>
          </w:tcPr>
          <w:p w:rsidR="00CA2FE3" w:rsidRPr="00CA0AE3" w:rsidRDefault="00CA2FE3" w:rsidP="00D1633A">
            <w:pPr>
              <w:spacing w:after="0" w:line="240" w:lineRule="auto"/>
              <w:rPr>
                <w:rFonts w:eastAsia="Times New Roman"/>
                <w:b/>
                <w:sz w:val="16"/>
                <w:szCs w:val="16"/>
              </w:rPr>
            </w:pPr>
          </w:p>
        </w:tc>
      </w:tr>
      <w:tr w:rsidR="00CA2FE3" w:rsidRPr="00CA0AE3" w:rsidTr="003C48F3">
        <w:trPr>
          <w:cantSplit/>
        </w:trPr>
        <w:tc>
          <w:tcPr>
            <w:tcW w:w="108" w:type="pct"/>
            <w:tcBorders>
              <w:top w:val="single" w:sz="8" w:space="0" w:color="000000"/>
              <w:left w:val="single" w:sz="8" w:space="0" w:color="000000"/>
              <w:bottom w:val="single" w:sz="8" w:space="0" w:color="000000"/>
              <w:right w:val="single" w:sz="8" w:space="0" w:color="000000"/>
            </w:tcBorders>
            <w:vAlign w:val="center"/>
          </w:tcPr>
          <w:p w:rsidR="00CA2FE3" w:rsidRPr="00CA0AE3" w:rsidRDefault="00CA2FE3" w:rsidP="00D1633A">
            <w:pPr>
              <w:spacing w:after="0" w:line="240" w:lineRule="auto"/>
              <w:jc w:val="center"/>
              <w:rPr>
                <w:sz w:val="16"/>
                <w:szCs w:val="16"/>
              </w:rPr>
            </w:pPr>
            <w:r w:rsidRPr="00CA0AE3">
              <w:rPr>
                <w:sz w:val="16"/>
                <w:szCs w:val="16"/>
              </w:rPr>
              <w:t>1</w:t>
            </w:r>
          </w:p>
        </w:tc>
        <w:tc>
          <w:tcPr>
            <w:tcW w:w="722"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hideMark/>
          </w:tcPr>
          <w:p w:rsidR="00CA2FE3" w:rsidRPr="00CA0AE3" w:rsidRDefault="00CA2FE3" w:rsidP="00D1633A">
            <w:pPr>
              <w:spacing w:after="0" w:line="240" w:lineRule="auto"/>
              <w:rPr>
                <w:sz w:val="16"/>
                <w:szCs w:val="16"/>
              </w:rPr>
            </w:pPr>
            <w:r w:rsidRPr="00CA0AE3">
              <w:rPr>
                <w:sz w:val="16"/>
                <w:szCs w:val="16"/>
              </w:rPr>
              <w:t>The percentage of active primary care patients 40 years of age and older with a new diagnosis of COPD or newly active COPD, who received appropriate spirometry testing to confirm the diagnosis.</w:t>
            </w:r>
          </w:p>
        </w:tc>
        <w:tc>
          <w:tcPr>
            <w:tcW w:w="431"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sz w:val="16"/>
                <w:szCs w:val="16"/>
              </w:rPr>
            </w:pPr>
            <w:r w:rsidRPr="00CA0AE3">
              <w:rPr>
                <w:sz w:val="16"/>
                <w:szCs w:val="16"/>
              </w:rPr>
              <w:t>NQF 0577</w:t>
            </w:r>
          </w:p>
        </w:tc>
        <w:tc>
          <w:tcPr>
            <w:tcW w:w="463"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sz w:val="16"/>
                <w:szCs w:val="16"/>
              </w:rPr>
            </w:pPr>
            <w:r w:rsidRPr="00CA0AE3">
              <w:rPr>
                <w:sz w:val="16"/>
                <w:szCs w:val="16"/>
              </w:rPr>
              <w:t>2015 90</w:t>
            </w:r>
            <w:r w:rsidRPr="00CA0AE3">
              <w:rPr>
                <w:sz w:val="16"/>
                <w:szCs w:val="16"/>
                <w:vertAlign w:val="superscript"/>
              </w:rPr>
              <w:t>th</w:t>
            </w:r>
            <w:r w:rsidRPr="00CA0AE3">
              <w:rPr>
                <w:sz w:val="16"/>
                <w:szCs w:val="16"/>
              </w:rPr>
              <w:t xml:space="preserve"> percentile National Medicaid = 47.0%</w:t>
            </w:r>
          </w:p>
        </w:tc>
        <w:tc>
          <w:tcPr>
            <w:tcW w:w="560"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pStyle w:val="Default"/>
              <w:jc w:val="center"/>
              <w:rPr>
                <w:color w:val="auto"/>
                <w:sz w:val="16"/>
                <w:szCs w:val="16"/>
              </w:rPr>
            </w:pPr>
            <w:r w:rsidRPr="00CA0AE3">
              <w:rPr>
                <w:color w:val="auto"/>
                <w:sz w:val="16"/>
                <w:szCs w:val="16"/>
              </w:rPr>
              <w:t>Gap to Goal (10%) or attainment at target</w:t>
            </w:r>
          </w:p>
        </w:tc>
        <w:tc>
          <w:tcPr>
            <w:tcW w:w="398"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b/>
                <w:sz w:val="16"/>
                <w:szCs w:val="16"/>
              </w:rPr>
            </w:pPr>
            <w:r w:rsidRPr="00CA0AE3">
              <w:rPr>
                <w:b/>
                <w:sz w:val="16"/>
                <w:szCs w:val="16"/>
              </w:rPr>
              <w:t>B</w:t>
            </w:r>
          </w:p>
        </w:tc>
        <w:tc>
          <w:tcPr>
            <w:tcW w:w="463"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b/>
                <w:sz w:val="16"/>
                <w:szCs w:val="16"/>
              </w:rPr>
            </w:pPr>
            <w:r w:rsidRPr="00CA0AE3">
              <w:rPr>
                <w:b/>
                <w:sz w:val="16"/>
                <w:szCs w:val="16"/>
              </w:rPr>
              <w:t>O</w:t>
            </w:r>
          </w:p>
        </w:tc>
        <w:tc>
          <w:tcPr>
            <w:tcW w:w="426"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b/>
                <w:sz w:val="16"/>
                <w:szCs w:val="16"/>
              </w:rPr>
            </w:pPr>
            <w:r w:rsidRPr="00CA0AE3">
              <w:rPr>
                <w:b/>
                <w:sz w:val="16"/>
                <w:szCs w:val="16"/>
              </w:rPr>
              <w:t>O</w:t>
            </w:r>
          </w:p>
        </w:tc>
        <w:tc>
          <w:tcPr>
            <w:tcW w:w="431"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b/>
                <w:sz w:val="16"/>
                <w:szCs w:val="16"/>
              </w:rPr>
            </w:pPr>
            <w:r w:rsidRPr="00CA0AE3">
              <w:rPr>
                <w:b/>
                <w:sz w:val="16"/>
                <w:szCs w:val="16"/>
              </w:rPr>
              <w:t>O</w:t>
            </w:r>
          </w:p>
        </w:tc>
        <w:tc>
          <w:tcPr>
            <w:tcW w:w="431"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b/>
                <w:sz w:val="16"/>
                <w:szCs w:val="16"/>
              </w:rPr>
            </w:pPr>
            <w:r w:rsidRPr="00CA0AE3">
              <w:rPr>
                <w:b/>
                <w:sz w:val="16"/>
                <w:szCs w:val="16"/>
              </w:rPr>
              <w:t>O</w:t>
            </w:r>
          </w:p>
        </w:tc>
        <w:tc>
          <w:tcPr>
            <w:tcW w:w="567" w:type="pct"/>
            <w:tcBorders>
              <w:top w:val="single" w:sz="8" w:space="0" w:color="000000"/>
              <w:left w:val="single" w:sz="8" w:space="0" w:color="000000"/>
              <w:bottom w:val="single" w:sz="8" w:space="0" w:color="000000"/>
              <w:right w:val="single" w:sz="8" w:space="0" w:color="000000"/>
            </w:tcBorders>
            <w:vAlign w:val="center"/>
          </w:tcPr>
          <w:p w:rsidR="00CA2FE3" w:rsidRPr="00CA0AE3" w:rsidRDefault="00CA2FE3" w:rsidP="00D1633A">
            <w:pPr>
              <w:spacing w:after="0" w:line="240" w:lineRule="auto"/>
              <w:rPr>
                <w:rFonts w:eastAsia="Times New Roman"/>
                <w:sz w:val="16"/>
                <w:szCs w:val="16"/>
              </w:rPr>
            </w:pPr>
            <w:r w:rsidRPr="00CA0AE3">
              <w:rPr>
                <w:rFonts w:eastAsia="Times New Roman"/>
                <w:sz w:val="16"/>
                <w:szCs w:val="16"/>
              </w:rPr>
              <w:t>Target reflects the 2015</w:t>
            </w:r>
            <w:r w:rsidRPr="00CA0AE3">
              <w:rPr>
                <w:rFonts w:eastAsia="Times New Roman"/>
                <w:sz w:val="16"/>
                <w:szCs w:val="16"/>
                <w:vertAlign w:val="superscript"/>
              </w:rPr>
              <w:t>th</w:t>
            </w:r>
            <w:r w:rsidRPr="00CA0AE3">
              <w:rPr>
                <w:rFonts w:eastAsia="Times New Roman"/>
                <w:sz w:val="16"/>
                <w:szCs w:val="16"/>
              </w:rPr>
              <w:t xml:space="preserve"> 90</w:t>
            </w:r>
            <w:r w:rsidRPr="00CA0AE3">
              <w:rPr>
                <w:rFonts w:eastAsia="Times New Roman"/>
                <w:sz w:val="16"/>
                <w:szCs w:val="16"/>
                <w:vertAlign w:val="superscript"/>
              </w:rPr>
              <w:t>th</w:t>
            </w:r>
            <w:r w:rsidRPr="00CA0AE3">
              <w:rPr>
                <w:rFonts w:eastAsia="Times New Roman"/>
                <w:sz w:val="16"/>
                <w:szCs w:val="16"/>
              </w:rPr>
              <w:t xml:space="preserve"> Percentile National Medicaid.</w:t>
            </w:r>
          </w:p>
        </w:tc>
      </w:tr>
      <w:tr w:rsidR="00CA2FE3" w:rsidRPr="00CA0AE3" w:rsidTr="003C48F3">
        <w:trPr>
          <w:cantSplit/>
        </w:trPr>
        <w:tc>
          <w:tcPr>
            <w:tcW w:w="108" w:type="pct"/>
            <w:tcBorders>
              <w:top w:val="single" w:sz="8" w:space="0" w:color="000000"/>
              <w:left w:val="single" w:sz="8" w:space="0" w:color="000000"/>
              <w:bottom w:val="single" w:sz="8" w:space="0" w:color="000000"/>
              <w:right w:val="single" w:sz="8" w:space="0" w:color="000000"/>
            </w:tcBorders>
            <w:vAlign w:val="center"/>
          </w:tcPr>
          <w:p w:rsidR="00CA2FE3" w:rsidRPr="00CA0AE3" w:rsidRDefault="00CA2FE3" w:rsidP="00D1633A">
            <w:pPr>
              <w:spacing w:after="0" w:line="240" w:lineRule="auto"/>
              <w:jc w:val="center"/>
              <w:rPr>
                <w:sz w:val="16"/>
                <w:szCs w:val="16"/>
              </w:rPr>
            </w:pPr>
            <w:r w:rsidRPr="00CA0AE3">
              <w:rPr>
                <w:sz w:val="16"/>
                <w:szCs w:val="16"/>
              </w:rPr>
              <w:t>2</w:t>
            </w:r>
          </w:p>
        </w:tc>
        <w:tc>
          <w:tcPr>
            <w:tcW w:w="722"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hideMark/>
          </w:tcPr>
          <w:p w:rsidR="00CA2FE3" w:rsidRPr="00CA0AE3" w:rsidRDefault="00CA2FE3" w:rsidP="00D1633A">
            <w:pPr>
              <w:spacing w:after="0" w:line="240" w:lineRule="auto"/>
              <w:rPr>
                <w:sz w:val="16"/>
                <w:szCs w:val="16"/>
              </w:rPr>
            </w:pPr>
            <w:r w:rsidRPr="00CA0AE3">
              <w:rPr>
                <w:sz w:val="16"/>
                <w:szCs w:val="16"/>
              </w:rPr>
              <w:t>Percentage of active primary care patients aged 18 years and older with a diagnosis of COPD and who have an FEV1/FVC &lt; 60% and have symptoms who were prescribed an inhaled bronchodilator.</w:t>
            </w:r>
          </w:p>
        </w:tc>
        <w:tc>
          <w:tcPr>
            <w:tcW w:w="431"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sz w:val="16"/>
                <w:szCs w:val="16"/>
              </w:rPr>
            </w:pPr>
            <w:r w:rsidRPr="00CA0AE3">
              <w:rPr>
                <w:sz w:val="16"/>
                <w:szCs w:val="16"/>
              </w:rPr>
              <w:t>NQF 102</w:t>
            </w:r>
          </w:p>
        </w:tc>
        <w:tc>
          <w:tcPr>
            <w:tcW w:w="463"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sz w:val="16"/>
                <w:szCs w:val="16"/>
              </w:rPr>
            </w:pPr>
            <w:r w:rsidRPr="00CA0AE3">
              <w:rPr>
                <w:bCs/>
                <w:sz w:val="16"/>
                <w:szCs w:val="16"/>
              </w:rPr>
              <w:t>2015 90</w:t>
            </w:r>
            <w:r w:rsidRPr="00CA0AE3">
              <w:rPr>
                <w:bCs/>
                <w:sz w:val="16"/>
                <w:szCs w:val="16"/>
                <w:vertAlign w:val="superscript"/>
              </w:rPr>
              <w:t>th</w:t>
            </w:r>
            <w:r w:rsidRPr="00CA0AE3">
              <w:rPr>
                <w:bCs/>
                <w:sz w:val="16"/>
                <w:szCs w:val="16"/>
              </w:rPr>
              <w:t xml:space="preserve"> percentile National Medicaid= 90.0%</w:t>
            </w:r>
          </w:p>
          <w:p w:rsidR="00CA2FE3" w:rsidRPr="00CA0AE3" w:rsidRDefault="00CA2FE3" w:rsidP="00D1633A">
            <w:pPr>
              <w:pStyle w:val="Default"/>
              <w:jc w:val="center"/>
              <w:rPr>
                <w:color w:val="auto"/>
                <w:sz w:val="16"/>
                <w:szCs w:val="16"/>
              </w:rPr>
            </w:pPr>
          </w:p>
          <w:p w:rsidR="00CA2FE3" w:rsidRPr="00CA0AE3" w:rsidRDefault="00CA2FE3" w:rsidP="00D1633A">
            <w:pPr>
              <w:spacing w:after="0" w:line="240" w:lineRule="auto"/>
              <w:jc w:val="center"/>
              <w:rPr>
                <w:sz w:val="16"/>
                <w:szCs w:val="16"/>
              </w:rPr>
            </w:pPr>
          </w:p>
        </w:tc>
        <w:tc>
          <w:tcPr>
            <w:tcW w:w="560"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pStyle w:val="Default"/>
              <w:jc w:val="center"/>
              <w:rPr>
                <w:color w:val="auto"/>
                <w:sz w:val="16"/>
                <w:szCs w:val="16"/>
              </w:rPr>
            </w:pPr>
            <w:r w:rsidRPr="00CA0AE3">
              <w:rPr>
                <w:color w:val="auto"/>
                <w:sz w:val="16"/>
                <w:szCs w:val="16"/>
              </w:rPr>
              <w:t>Gap to Goal (10%) or attainment at target</w:t>
            </w:r>
          </w:p>
        </w:tc>
        <w:tc>
          <w:tcPr>
            <w:tcW w:w="398"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b/>
                <w:sz w:val="16"/>
                <w:szCs w:val="16"/>
              </w:rPr>
            </w:pPr>
            <w:r w:rsidRPr="00CA0AE3">
              <w:rPr>
                <w:b/>
                <w:sz w:val="16"/>
                <w:szCs w:val="16"/>
              </w:rPr>
              <w:t>B</w:t>
            </w:r>
          </w:p>
        </w:tc>
        <w:tc>
          <w:tcPr>
            <w:tcW w:w="463"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b/>
                <w:sz w:val="16"/>
                <w:szCs w:val="16"/>
              </w:rPr>
            </w:pPr>
            <w:r w:rsidRPr="00CA0AE3">
              <w:rPr>
                <w:b/>
                <w:sz w:val="16"/>
                <w:szCs w:val="16"/>
              </w:rPr>
              <w:t>O</w:t>
            </w:r>
          </w:p>
        </w:tc>
        <w:tc>
          <w:tcPr>
            <w:tcW w:w="426"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b/>
                <w:sz w:val="16"/>
                <w:szCs w:val="16"/>
              </w:rPr>
            </w:pPr>
            <w:r w:rsidRPr="00CA0AE3">
              <w:rPr>
                <w:b/>
                <w:sz w:val="16"/>
                <w:szCs w:val="16"/>
              </w:rPr>
              <w:t>O</w:t>
            </w:r>
          </w:p>
        </w:tc>
        <w:tc>
          <w:tcPr>
            <w:tcW w:w="431"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b/>
                <w:sz w:val="16"/>
                <w:szCs w:val="16"/>
              </w:rPr>
            </w:pPr>
            <w:r w:rsidRPr="00CA0AE3">
              <w:rPr>
                <w:b/>
                <w:sz w:val="16"/>
                <w:szCs w:val="16"/>
              </w:rPr>
              <w:t>O</w:t>
            </w:r>
          </w:p>
        </w:tc>
        <w:tc>
          <w:tcPr>
            <w:tcW w:w="431"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b/>
                <w:sz w:val="16"/>
                <w:szCs w:val="16"/>
              </w:rPr>
            </w:pPr>
            <w:r w:rsidRPr="00CA0AE3">
              <w:rPr>
                <w:b/>
                <w:sz w:val="16"/>
                <w:szCs w:val="16"/>
              </w:rPr>
              <w:t>O</w:t>
            </w:r>
          </w:p>
        </w:tc>
        <w:tc>
          <w:tcPr>
            <w:tcW w:w="567" w:type="pct"/>
            <w:tcBorders>
              <w:top w:val="single" w:sz="8" w:space="0" w:color="000000"/>
              <w:left w:val="single" w:sz="8" w:space="0" w:color="000000"/>
              <w:bottom w:val="single" w:sz="8" w:space="0" w:color="000000"/>
              <w:right w:val="single" w:sz="8" w:space="0" w:color="000000"/>
            </w:tcBorders>
            <w:vAlign w:val="center"/>
          </w:tcPr>
          <w:p w:rsidR="00CA2FE3" w:rsidRPr="00CA0AE3" w:rsidRDefault="00CA2FE3" w:rsidP="00D1633A">
            <w:pPr>
              <w:spacing w:after="0" w:line="240" w:lineRule="auto"/>
              <w:rPr>
                <w:rFonts w:eastAsia="Times New Roman"/>
                <w:sz w:val="16"/>
                <w:szCs w:val="16"/>
              </w:rPr>
            </w:pPr>
            <w:r w:rsidRPr="00CA0AE3">
              <w:rPr>
                <w:rFonts w:eastAsia="Times New Roman"/>
                <w:sz w:val="16"/>
                <w:szCs w:val="16"/>
              </w:rPr>
              <w:t>Target reflects the 2015</w:t>
            </w:r>
            <w:r w:rsidRPr="00CA0AE3">
              <w:rPr>
                <w:rFonts w:eastAsia="Times New Roman"/>
                <w:sz w:val="16"/>
                <w:szCs w:val="16"/>
                <w:vertAlign w:val="superscript"/>
              </w:rPr>
              <w:t>th</w:t>
            </w:r>
            <w:r w:rsidRPr="00CA0AE3">
              <w:rPr>
                <w:rFonts w:eastAsia="Times New Roman"/>
                <w:sz w:val="16"/>
                <w:szCs w:val="16"/>
              </w:rPr>
              <w:t xml:space="preserve"> 90</w:t>
            </w:r>
            <w:r w:rsidRPr="00CA0AE3">
              <w:rPr>
                <w:rFonts w:eastAsia="Times New Roman"/>
                <w:sz w:val="16"/>
                <w:szCs w:val="16"/>
                <w:vertAlign w:val="superscript"/>
              </w:rPr>
              <w:t>th</w:t>
            </w:r>
            <w:r w:rsidRPr="00CA0AE3">
              <w:rPr>
                <w:rFonts w:eastAsia="Times New Roman"/>
                <w:sz w:val="16"/>
                <w:szCs w:val="16"/>
              </w:rPr>
              <w:t xml:space="preserve"> Percentile National Medicaid.</w:t>
            </w:r>
          </w:p>
        </w:tc>
      </w:tr>
      <w:tr w:rsidR="00CA2FE3" w:rsidRPr="00CA0AE3" w:rsidTr="003C48F3">
        <w:trPr>
          <w:cantSplit/>
        </w:trPr>
        <w:tc>
          <w:tcPr>
            <w:tcW w:w="108" w:type="pct"/>
            <w:tcBorders>
              <w:top w:val="single" w:sz="8" w:space="0" w:color="000000"/>
              <w:left w:val="single" w:sz="8" w:space="0" w:color="000000"/>
              <w:bottom w:val="single" w:sz="8" w:space="0" w:color="000000"/>
              <w:right w:val="single" w:sz="8" w:space="0" w:color="000000"/>
            </w:tcBorders>
            <w:vAlign w:val="center"/>
          </w:tcPr>
          <w:p w:rsidR="00CA2FE3" w:rsidRPr="00CA0AE3" w:rsidRDefault="00CA2FE3" w:rsidP="00D1633A">
            <w:pPr>
              <w:spacing w:after="0" w:line="240" w:lineRule="auto"/>
              <w:jc w:val="center"/>
              <w:rPr>
                <w:sz w:val="16"/>
                <w:szCs w:val="16"/>
              </w:rPr>
            </w:pPr>
            <w:r w:rsidRPr="00CA0AE3">
              <w:rPr>
                <w:sz w:val="16"/>
                <w:szCs w:val="16"/>
              </w:rPr>
              <w:t>3</w:t>
            </w:r>
          </w:p>
        </w:tc>
        <w:tc>
          <w:tcPr>
            <w:tcW w:w="722"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hideMark/>
          </w:tcPr>
          <w:p w:rsidR="00CA2FE3" w:rsidRPr="00CA0AE3" w:rsidRDefault="00CA2FE3" w:rsidP="00D1633A">
            <w:pPr>
              <w:spacing w:after="0" w:line="240" w:lineRule="auto"/>
              <w:rPr>
                <w:sz w:val="16"/>
                <w:szCs w:val="16"/>
              </w:rPr>
            </w:pPr>
            <w:r w:rsidRPr="00CA0AE3">
              <w:rPr>
                <w:sz w:val="16"/>
                <w:szCs w:val="16"/>
              </w:rPr>
              <w:t>Improve the percentage of patients with COPD who received patient education for COPD by a member of their inpatient care team prior to discharge (across public hospital’s inpatient hospital campuses)</w:t>
            </w:r>
          </w:p>
        </w:tc>
        <w:tc>
          <w:tcPr>
            <w:tcW w:w="431"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sz w:val="16"/>
                <w:szCs w:val="16"/>
              </w:rPr>
            </w:pPr>
            <w:r w:rsidRPr="00CA0AE3">
              <w:rPr>
                <w:sz w:val="16"/>
                <w:szCs w:val="16"/>
              </w:rPr>
              <w:t>Customized Measure</w:t>
            </w:r>
          </w:p>
        </w:tc>
        <w:tc>
          <w:tcPr>
            <w:tcW w:w="463"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sz w:val="16"/>
                <w:szCs w:val="16"/>
              </w:rPr>
            </w:pPr>
            <w:r w:rsidRPr="00CA0AE3">
              <w:rPr>
                <w:sz w:val="16"/>
                <w:szCs w:val="16"/>
              </w:rPr>
              <w:t>No external benchmark;</w:t>
            </w:r>
          </w:p>
          <w:p w:rsidR="00CA2FE3" w:rsidRPr="00CA0AE3" w:rsidRDefault="00CA2FE3" w:rsidP="00D1633A">
            <w:pPr>
              <w:spacing w:after="0" w:line="240" w:lineRule="auto"/>
              <w:jc w:val="center"/>
              <w:rPr>
                <w:sz w:val="16"/>
                <w:szCs w:val="16"/>
              </w:rPr>
            </w:pPr>
            <w:r w:rsidRPr="00CA0AE3">
              <w:rPr>
                <w:sz w:val="16"/>
                <w:szCs w:val="16"/>
              </w:rPr>
              <w:t>hospital specific improvement</w:t>
            </w:r>
          </w:p>
          <w:p w:rsidR="00CA2FE3" w:rsidRPr="00CA0AE3" w:rsidRDefault="00CA2FE3" w:rsidP="00D1633A">
            <w:pPr>
              <w:spacing w:after="0" w:line="240" w:lineRule="auto"/>
              <w:jc w:val="center"/>
              <w:rPr>
                <w:sz w:val="16"/>
                <w:szCs w:val="16"/>
              </w:rPr>
            </w:pPr>
            <w:r w:rsidRPr="00CA0AE3">
              <w:rPr>
                <w:sz w:val="16"/>
                <w:szCs w:val="16"/>
              </w:rPr>
              <w:t>target = 85%</w:t>
            </w:r>
          </w:p>
        </w:tc>
        <w:tc>
          <w:tcPr>
            <w:tcW w:w="560"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pStyle w:val="Default"/>
              <w:jc w:val="center"/>
              <w:rPr>
                <w:color w:val="auto"/>
                <w:sz w:val="16"/>
                <w:szCs w:val="16"/>
              </w:rPr>
            </w:pPr>
            <w:r w:rsidRPr="00CA0AE3">
              <w:rPr>
                <w:color w:val="auto"/>
                <w:sz w:val="16"/>
                <w:szCs w:val="16"/>
              </w:rPr>
              <w:t>Gap to Goal (10%) or attainment at target</w:t>
            </w:r>
          </w:p>
        </w:tc>
        <w:tc>
          <w:tcPr>
            <w:tcW w:w="398"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b/>
                <w:sz w:val="16"/>
                <w:szCs w:val="16"/>
              </w:rPr>
            </w:pPr>
            <w:r w:rsidRPr="00CA0AE3">
              <w:rPr>
                <w:b/>
                <w:sz w:val="16"/>
                <w:szCs w:val="16"/>
              </w:rPr>
              <w:t>O</w:t>
            </w:r>
          </w:p>
        </w:tc>
        <w:tc>
          <w:tcPr>
            <w:tcW w:w="463"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b/>
                <w:sz w:val="16"/>
                <w:szCs w:val="16"/>
              </w:rPr>
            </w:pPr>
            <w:r w:rsidRPr="00CA0AE3">
              <w:rPr>
                <w:b/>
                <w:sz w:val="16"/>
                <w:szCs w:val="16"/>
              </w:rPr>
              <w:t>O</w:t>
            </w:r>
          </w:p>
        </w:tc>
        <w:tc>
          <w:tcPr>
            <w:tcW w:w="426"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b/>
                <w:sz w:val="16"/>
                <w:szCs w:val="16"/>
              </w:rPr>
            </w:pPr>
            <w:r w:rsidRPr="00CA0AE3">
              <w:rPr>
                <w:b/>
                <w:sz w:val="16"/>
                <w:szCs w:val="16"/>
              </w:rPr>
              <w:t>O</w:t>
            </w:r>
          </w:p>
        </w:tc>
        <w:tc>
          <w:tcPr>
            <w:tcW w:w="431"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b/>
                <w:sz w:val="16"/>
                <w:szCs w:val="16"/>
              </w:rPr>
            </w:pPr>
            <w:r w:rsidRPr="00CA0AE3">
              <w:rPr>
                <w:b/>
                <w:sz w:val="16"/>
                <w:szCs w:val="16"/>
              </w:rPr>
              <w:t>O</w:t>
            </w:r>
          </w:p>
        </w:tc>
        <w:tc>
          <w:tcPr>
            <w:tcW w:w="431"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b/>
                <w:sz w:val="16"/>
                <w:szCs w:val="16"/>
              </w:rPr>
            </w:pPr>
            <w:r w:rsidRPr="00CA0AE3">
              <w:rPr>
                <w:b/>
                <w:sz w:val="16"/>
                <w:szCs w:val="16"/>
              </w:rPr>
              <w:t>O</w:t>
            </w:r>
          </w:p>
        </w:tc>
        <w:tc>
          <w:tcPr>
            <w:tcW w:w="567" w:type="pct"/>
            <w:tcBorders>
              <w:top w:val="single" w:sz="8" w:space="0" w:color="000000"/>
              <w:left w:val="single" w:sz="8" w:space="0" w:color="000000"/>
              <w:bottom w:val="single" w:sz="8" w:space="0" w:color="000000"/>
              <w:right w:val="single" w:sz="8" w:space="0" w:color="000000"/>
            </w:tcBorders>
            <w:vAlign w:val="center"/>
          </w:tcPr>
          <w:p w:rsidR="00CA2FE3" w:rsidRPr="00CA0AE3" w:rsidRDefault="00CA2FE3" w:rsidP="00D1633A">
            <w:pPr>
              <w:spacing w:after="0" w:line="240" w:lineRule="auto"/>
              <w:rPr>
                <w:rFonts w:eastAsia="Times New Roman"/>
                <w:sz w:val="16"/>
                <w:szCs w:val="16"/>
              </w:rPr>
            </w:pPr>
            <w:r w:rsidRPr="00CA0AE3">
              <w:rPr>
                <w:rFonts w:eastAsia="Times New Roman"/>
                <w:sz w:val="16"/>
                <w:szCs w:val="16"/>
              </w:rPr>
              <w:t>Target of 85% reflects best practice adoption</w:t>
            </w:r>
            <w:r w:rsidRPr="00CA0AE3">
              <w:rPr>
                <w:sz w:val="16"/>
                <w:szCs w:val="16"/>
              </w:rPr>
              <w:t xml:space="preserve"> of the required workflows.</w:t>
            </w:r>
          </w:p>
        </w:tc>
      </w:tr>
      <w:tr w:rsidR="00CA2FE3" w:rsidRPr="00CA0AE3" w:rsidTr="003C48F3">
        <w:trPr>
          <w:cantSplit/>
        </w:trPr>
        <w:tc>
          <w:tcPr>
            <w:tcW w:w="108" w:type="pct"/>
            <w:tcBorders>
              <w:top w:val="single" w:sz="8" w:space="0" w:color="000000"/>
              <w:left w:val="single" w:sz="8" w:space="0" w:color="000000"/>
              <w:bottom w:val="single" w:sz="8" w:space="0" w:color="000000"/>
              <w:right w:val="single" w:sz="8" w:space="0" w:color="000000"/>
            </w:tcBorders>
            <w:vAlign w:val="center"/>
          </w:tcPr>
          <w:p w:rsidR="00CA2FE3" w:rsidRPr="00CA0AE3" w:rsidRDefault="00CA2FE3" w:rsidP="00D1633A">
            <w:pPr>
              <w:spacing w:after="0" w:line="240" w:lineRule="auto"/>
              <w:rPr>
                <w:rFonts w:eastAsia="Times New Roman"/>
                <w:sz w:val="16"/>
                <w:szCs w:val="16"/>
              </w:rPr>
            </w:pPr>
          </w:p>
        </w:tc>
        <w:tc>
          <w:tcPr>
            <w:tcW w:w="722" w:type="pct"/>
            <w:tcBorders>
              <w:top w:val="single" w:sz="8" w:space="0" w:color="000000"/>
              <w:left w:val="single" w:sz="8" w:space="0" w:color="000000"/>
              <w:bottom w:val="single" w:sz="8" w:space="0" w:color="000000"/>
              <w:right w:val="single" w:sz="8" w:space="0" w:color="000000"/>
            </w:tcBorders>
            <w:vAlign w:val="center"/>
          </w:tcPr>
          <w:p w:rsidR="00CA2FE3" w:rsidRPr="00CA0AE3" w:rsidRDefault="00CA2FE3" w:rsidP="00D1633A">
            <w:pPr>
              <w:spacing w:after="0" w:line="240" w:lineRule="auto"/>
              <w:rPr>
                <w:rFonts w:eastAsia="Times New Roman"/>
                <w:b/>
                <w:sz w:val="16"/>
                <w:szCs w:val="16"/>
              </w:rPr>
            </w:pPr>
            <w:r w:rsidRPr="00CA0AE3">
              <w:rPr>
                <w:b/>
                <w:sz w:val="16"/>
                <w:szCs w:val="16"/>
              </w:rPr>
              <w:t>Congestive Heart Failure (CHF)</w:t>
            </w:r>
          </w:p>
        </w:tc>
        <w:tc>
          <w:tcPr>
            <w:tcW w:w="431" w:type="pct"/>
            <w:tcBorders>
              <w:top w:val="single" w:sz="8" w:space="0" w:color="000000"/>
              <w:left w:val="single" w:sz="8" w:space="0" w:color="000000"/>
              <w:bottom w:val="single" w:sz="8" w:space="0" w:color="000000"/>
              <w:right w:val="single" w:sz="8" w:space="0" w:color="000000"/>
            </w:tcBorders>
            <w:vAlign w:val="center"/>
          </w:tcPr>
          <w:p w:rsidR="00CA2FE3" w:rsidRPr="00CA0AE3" w:rsidRDefault="00CA2FE3" w:rsidP="00D1633A">
            <w:pPr>
              <w:spacing w:after="0" w:line="240" w:lineRule="auto"/>
              <w:rPr>
                <w:rFonts w:eastAsia="Times New Roman"/>
                <w:b/>
                <w:sz w:val="16"/>
                <w:szCs w:val="16"/>
              </w:rPr>
            </w:pPr>
          </w:p>
        </w:tc>
        <w:tc>
          <w:tcPr>
            <w:tcW w:w="463" w:type="pct"/>
            <w:tcBorders>
              <w:top w:val="single" w:sz="8" w:space="0" w:color="000000"/>
              <w:left w:val="single" w:sz="8" w:space="0" w:color="000000"/>
              <w:bottom w:val="single" w:sz="8" w:space="0" w:color="000000"/>
              <w:right w:val="single" w:sz="8" w:space="0" w:color="000000"/>
            </w:tcBorders>
            <w:vAlign w:val="center"/>
          </w:tcPr>
          <w:p w:rsidR="00CA2FE3" w:rsidRPr="00CA0AE3" w:rsidRDefault="00CA2FE3" w:rsidP="00D1633A">
            <w:pPr>
              <w:spacing w:after="0" w:line="240" w:lineRule="auto"/>
              <w:rPr>
                <w:rFonts w:eastAsia="Times New Roman"/>
                <w:b/>
                <w:sz w:val="16"/>
                <w:szCs w:val="16"/>
              </w:rPr>
            </w:pPr>
          </w:p>
        </w:tc>
        <w:tc>
          <w:tcPr>
            <w:tcW w:w="560" w:type="pct"/>
            <w:tcBorders>
              <w:top w:val="single" w:sz="8" w:space="0" w:color="000000"/>
              <w:left w:val="single" w:sz="8" w:space="0" w:color="000000"/>
              <w:bottom w:val="single" w:sz="8" w:space="0" w:color="000000"/>
              <w:right w:val="single" w:sz="8" w:space="0" w:color="000000"/>
            </w:tcBorders>
            <w:vAlign w:val="center"/>
          </w:tcPr>
          <w:p w:rsidR="00CA2FE3" w:rsidRPr="00CA0AE3" w:rsidRDefault="00CA2FE3" w:rsidP="00D1633A">
            <w:pPr>
              <w:spacing w:after="0" w:line="240" w:lineRule="auto"/>
              <w:rPr>
                <w:rFonts w:eastAsia="Times New Roman"/>
                <w:b/>
                <w:sz w:val="16"/>
                <w:szCs w:val="16"/>
              </w:rPr>
            </w:pPr>
          </w:p>
        </w:tc>
        <w:tc>
          <w:tcPr>
            <w:tcW w:w="398" w:type="pct"/>
            <w:tcBorders>
              <w:top w:val="single" w:sz="8" w:space="0" w:color="000000"/>
              <w:left w:val="single" w:sz="8" w:space="0" w:color="000000"/>
              <w:bottom w:val="single" w:sz="8" w:space="0" w:color="000000"/>
              <w:right w:val="single" w:sz="8" w:space="0" w:color="000000"/>
            </w:tcBorders>
            <w:vAlign w:val="center"/>
          </w:tcPr>
          <w:p w:rsidR="00CA2FE3" w:rsidRPr="00CA0AE3" w:rsidRDefault="00CA2FE3" w:rsidP="00D1633A">
            <w:pPr>
              <w:spacing w:after="0" w:line="240" w:lineRule="auto"/>
              <w:rPr>
                <w:rFonts w:eastAsia="Times New Roman"/>
                <w:b/>
                <w:sz w:val="16"/>
                <w:szCs w:val="16"/>
              </w:rPr>
            </w:pPr>
          </w:p>
        </w:tc>
        <w:tc>
          <w:tcPr>
            <w:tcW w:w="463" w:type="pct"/>
            <w:tcBorders>
              <w:top w:val="single" w:sz="8" w:space="0" w:color="000000"/>
              <w:left w:val="single" w:sz="8" w:space="0" w:color="000000"/>
              <w:bottom w:val="single" w:sz="8" w:space="0" w:color="000000"/>
              <w:right w:val="single" w:sz="8" w:space="0" w:color="000000"/>
            </w:tcBorders>
            <w:vAlign w:val="center"/>
          </w:tcPr>
          <w:p w:rsidR="00CA2FE3" w:rsidRPr="00CA0AE3" w:rsidRDefault="00CA2FE3" w:rsidP="00D1633A">
            <w:pPr>
              <w:spacing w:after="0" w:line="240" w:lineRule="auto"/>
              <w:rPr>
                <w:rFonts w:eastAsia="Times New Roman"/>
                <w:b/>
                <w:sz w:val="16"/>
                <w:szCs w:val="16"/>
              </w:rPr>
            </w:pPr>
          </w:p>
        </w:tc>
        <w:tc>
          <w:tcPr>
            <w:tcW w:w="426" w:type="pct"/>
            <w:tcBorders>
              <w:top w:val="single" w:sz="8" w:space="0" w:color="000000"/>
              <w:left w:val="single" w:sz="8" w:space="0" w:color="000000"/>
              <w:bottom w:val="single" w:sz="8" w:space="0" w:color="000000"/>
              <w:right w:val="single" w:sz="8" w:space="0" w:color="000000"/>
            </w:tcBorders>
            <w:vAlign w:val="center"/>
          </w:tcPr>
          <w:p w:rsidR="00CA2FE3" w:rsidRPr="00CA0AE3" w:rsidRDefault="00CA2FE3" w:rsidP="00D1633A">
            <w:pPr>
              <w:spacing w:after="0" w:line="240" w:lineRule="auto"/>
              <w:rPr>
                <w:rFonts w:eastAsia="Times New Roman"/>
                <w:b/>
                <w:sz w:val="16"/>
                <w:szCs w:val="16"/>
              </w:rPr>
            </w:pPr>
          </w:p>
        </w:tc>
        <w:tc>
          <w:tcPr>
            <w:tcW w:w="431" w:type="pct"/>
            <w:tcBorders>
              <w:top w:val="single" w:sz="8" w:space="0" w:color="000000"/>
              <w:left w:val="single" w:sz="8" w:space="0" w:color="000000"/>
              <w:bottom w:val="single" w:sz="8" w:space="0" w:color="000000"/>
              <w:right w:val="single" w:sz="8" w:space="0" w:color="000000"/>
            </w:tcBorders>
            <w:vAlign w:val="center"/>
          </w:tcPr>
          <w:p w:rsidR="00CA2FE3" w:rsidRPr="00CA0AE3" w:rsidRDefault="00CA2FE3" w:rsidP="00D1633A">
            <w:pPr>
              <w:spacing w:after="0" w:line="240" w:lineRule="auto"/>
              <w:rPr>
                <w:rFonts w:eastAsia="Times New Roman"/>
                <w:b/>
                <w:sz w:val="16"/>
                <w:szCs w:val="16"/>
              </w:rPr>
            </w:pPr>
          </w:p>
        </w:tc>
        <w:tc>
          <w:tcPr>
            <w:tcW w:w="431" w:type="pct"/>
            <w:tcBorders>
              <w:top w:val="single" w:sz="8" w:space="0" w:color="000000"/>
              <w:left w:val="single" w:sz="8" w:space="0" w:color="000000"/>
              <w:bottom w:val="single" w:sz="8" w:space="0" w:color="000000"/>
              <w:right w:val="single" w:sz="8" w:space="0" w:color="000000"/>
            </w:tcBorders>
            <w:vAlign w:val="center"/>
          </w:tcPr>
          <w:p w:rsidR="00CA2FE3" w:rsidRPr="00CA0AE3" w:rsidRDefault="00CA2FE3" w:rsidP="00D1633A">
            <w:pPr>
              <w:spacing w:after="0" w:line="240" w:lineRule="auto"/>
              <w:rPr>
                <w:rFonts w:eastAsia="Times New Roman"/>
                <w:b/>
                <w:sz w:val="16"/>
                <w:szCs w:val="16"/>
              </w:rPr>
            </w:pPr>
          </w:p>
        </w:tc>
        <w:tc>
          <w:tcPr>
            <w:tcW w:w="567" w:type="pct"/>
            <w:tcBorders>
              <w:top w:val="single" w:sz="8" w:space="0" w:color="000000"/>
              <w:left w:val="single" w:sz="8" w:space="0" w:color="000000"/>
              <w:bottom w:val="single" w:sz="8" w:space="0" w:color="000000"/>
              <w:right w:val="single" w:sz="8" w:space="0" w:color="000000"/>
            </w:tcBorders>
            <w:vAlign w:val="center"/>
          </w:tcPr>
          <w:p w:rsidR="00CA2FE3" w:rsidRPr="00CA0AE3" w:rsidRDefault="00CA2FE3" w:rsidP="00D1633A">
            <w:pPr>
              <w:spacing w:after="0" w:line="240" w:lineRule="auto"/>
              <w:rPr>
                <w:rFonts w:eastAsia="Times New Roman"/>
                <w:b/>
                <w:sz w:val="16"/>
                <w:szCs w:val="16"/>
              </w:rPr>
            </w:pPr>
          </w:p>
        </w:tc>
      </w:tr>
      <w:tr w:rsidR="00CA2FE3" w:rsidRPr="00CA0AE3" w:rsidTr="003C48F3">
        <w:trPr>
          <w:cantSplit/>
        </w:trPr>
        <w:tc>
          <w:tcPr>
            <w:tcW w:w="108" w:type="pct"/>
            <w:tcBorders>
              <w:top w:val="single" w:sz="8" w:space="0" w:color="000000"/>
              <w:left w:val="single" w:sz="8" w:space="0" w:color="000000"/>
              <w:bottom w:val="single" w:sz="8" w:space="0" w:color="000000"/>
              <w:right w:val="single" w:sz="8" w:space="0" w:color="000000"/>
            </w:tcBorders>
            <w:vAlign w:val="center"/>
          </w:tcPr>
          <w:p w:rsidR="00CA2FE3" w:rsidRPr="00CA0AE3" w:rsidRDefault="00CA2FE3" w:rsidP="00D1633A">
            <w:pPr>
              <w:spacing w:after="0" w:line="240" w:lineRule="auto"/>
              <w:jc w:val="center"/>
              <w:rPr>
                <w:sz w:val="16"/>
                <w:szCs w:val="16"/>
              </w:rPr>
            </w:pPr>
            <w:r w:rsidRPr="00CA0AE3">
              <w:rPr>
                <w:sz w:val="16"/>
                <w:szCs w:val="16"/>
              </w:rPr>
              <w:t>4</w:t>
            </w:r>
          </w:p>
        </w:tc>
        <w:tc>
          <w:tcPr>
            <w:tcW w:w="722"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tcPr>
          <w:p w:rsidR="00CA2FE3" w:rsidRPr="00CA0AE3" w:rsidRDefault="00CA2FE3" w:rsidP="00D1633A">
            <w:pPr>
              <w:spacing w:after="0" w:line="240" w:lineRule="auto"/>
              <w:rPr>
                <w:sz w:val="16"/>
                <w:szCs w:val="16"/>
              </w:rPr>
            </w:pPr>
            <w:r w:rsidRPr="00CA0AE3">
              <w:rPr>
                <w:sz w:val="16"/>
                <w:szCs w:val="16"/>
              </w:rPr>
              <w:t>Improve the percentage of patients with CHF who received patient education for CHF by a member of their inpatient care team prior to discharge (across public hospital’s inpatient hospital campuses)</w:t>
            </w:r>
          </w:p>
        </w:tc>
        <w:tc>
          <w:tcPr>
            <w:tcW w:w="431"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sz w:val="16"/>
                <w:szCs w:val="16"/>
              </w:rPr>
            </w:pPr>
            <w:r w:rsidRPr="00CA0AE3">
              <w:rPr>
                <w:sz w:val="16"/>
                <w:szCs w:val="16"/>
              </w:rPr>
              <w:t>Customized Measure</w:t>
            </w:r>
          </w:p>
        </w:tc>
        <w:tc>
          <w:tcPr>
            <w:tcW w:w="463"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sz w:val="16"/>
                <w:szCs w:val="16"/>
              </w:rPr>
            </w:pPr>
            <w:r w:rsidRPr="00CA0AE3">
              <w:rPr>
                <w:sz w:val="16"/>
                <w:szCs w:val="16"/>
              </w:rPr>
              <w:t>No external benchmark;</w:t>
            </w:r>
          </w:p>
          <w:p w:rsidR="00CA2FE3" w:rsidRPr="00CA0AE3" w:rsidRDefault="00CA2FE3" w:rsidP="00D1633A">
            <w:pPr>
              <w:spacing w:after="0" w:line="240" w:lineRule="auto"/>
              <w:jc w:val="center"/>
              <w:rPr>
                <w:sz w:val="16"/>
                <w:szCs w:val="16"/>
              </w:rPr>
            </w:pPr>
            <w:r w:rsidRPr="00CA0AE3">
              <w:rPr>
                <w:sz w:val="16"/>
                <w:szCs w:val="16"/>
              </w:rPr>
              <w:t>hospital specific improvement</w:t>
            </w:r>
          </w:p>
          <w:p w:rsidR="00CA2FE3" w:rsidRPr="00CA0AE3" w:rsidRDefault="00CA2FE3" w:rsidP="00D1633A">
            <w:pPr>
              <w:spacing w:after="0" w:line="240" w:lineRule="auto"/>
              <w:jc w:val="center"/>
              <w:rPr>
                <w:sz w:val="16"/>
                <w:szCs w:val="16"/>
              </w:rPr>
            </w:pPr>
            <w:r w:rsidRPr="00CA0AE3">
              <w:rPr>
                <w:sz w:val="16"/>
                <w:szCs w:val="16"/>
              </w:rPr>
              <w:t>target = 85%</w:t>
            </w:r>
          </w:p>
        </w:tc>
        <w:tc>
          <w:tcPr>
            <w:tcW w:w="560"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A2FE3" w:rsidRPr="00CA0AE3" w:rsidRDefault="00CA2FE3" w:rsidP="00D1633A">
            <w:pPr>
              <w:pStyle w:val="Default"/>
              <w:jc w:val="center"/>
              <w:rPr>
                <w:color w:val="auto"/>
                <w:sz w:val="16"/>
                <w:szCs w:val="16"/>
              </w:rPr>
            </w:pPr>
            <w:r w:rsidRPr="00CA0AE3">
              <w:rPr>
                <w:color w:val="auto"/>
                <w:sz w:val="16"/>
                <w:szCs w:val="16"/>
              </w:rPr>
              <w:t>Gap to Goal (10%) or attainment at target</w:t>
            </w:r>
          </w:p>
          <w:p w:rsidR="00CA2FE3" w:rsidRPr="00CA0AE3" w:rsidRDefault="00CA2FE3" w:rsidP="00D1633A">
            <w:pPr>
              <w:spacing w:after="0" w:line="240" w:lineRule="auto"/>
              <w:jc w:val="center"/>
              <w:rPr>
                <w:sz w:val="16"/>
                <w:szCs w:val="16"/>
              </w:rPr>
            </w:pPr>
          </w:p>
          <w:p w:rsidR="00CA2FE3" w:rsidRPr="00CA0AE3" w:rsidRDefault="00CA2FE3" w:rsidP="00D1633A">
            <w:pPr>
              <w:spacing w:after="0" w:line="240" w:lineRule="auto"/>
              <w:jc w:val="center"/>
              <w:rPr>
                <w:sz w:val="16"/>
                <w:szCs w:val="16"/>
              </w:rPr>
            </w:pPr>
          </w:p>
        </w:tc>
        <w:tc>
          <w:tcPr>
            <w:tcW w:w="398"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b/>
                <w:sz w:val="16"/>
                <w:szCs w:val="16"/>
              </w:rPr>
            </w:pPr>
            <w:r w:rsidRPr="00CA0AE3">
              <w:rPr>
                <w:b/>
                <w:sz w:val="16"/>
                <w:szCs w:val="16"/>
              </w:rPr>
              <w:t>O</w:t>
            </w:r>
          </w:p>
        </w:tc>
        <w:tc>
          <w:tcPr>
            <w:tcW w:w="463"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b/>
                <w:sz w:val="16"/>
                <w:szCs w:val="16"/>
              </w:rPr>
            </w:pPr>
            <w:r w:rsidRPr="00CA0AE3">
              <w:rPr>
                <w:b/>
                <w:sz w:val="16"/>
                <w:szCs w:val="16"/>
              </w:rPr>
              <w:t>O</w:t>
            </w:r>
          </w:p>
        </w:tc>
        <w:tc>
          <w:tcPr>
            <w:tcW w:w="426"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b/>
                <w:sz w:val="16"/>
                <w:szCs w:val="16"/>
              </w:rPr>
            </w:pPr>
            <w:r w:rsidRPr="00CA0AE3">
              <w:rPr>
                <w:b/>
                <w:sz w:val="16"/>
                <w:szCs w:val="16"/>
              </w:rPr>
              <w:t>O</w:t>
            </w:r>
          </w:p>
        </w:tc>
        <w:tc>
          <w:tcPr>
            <w:tcW w:w="431"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b/>
                <w:sz w:val="16"/>
                <w:szCs w:val="16"/>
              </w:rPr>
            </w:pPr>
            <w:r w:rsidRPr="00CA0AE3">
              <w:rPr>
                <w:b/>
                <w:sz w:val="16"/>
                <w:szCs w:val="16"/>
              </w:rPr>
              <w:t>O</w:t>
            </w:r>
          </w:p>
        </w:tc>
        <w:tc>
          <w:tcPr>
            <w:tcW w:w="431"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b/>
                <w:sz w:val="16"/>
                <w:szCs w:val="16"/>
              </w:rPr>
            </w:pPr>
            <w:r w:rsidRPr="00CA0AE3">
              <w:rPr>
                <w:b/>
                <w:sz w:val="16"/>
                <w:szCs w:val="16"/>
              </w:rPr>
              <w:t>O</w:t>
            </w:r>
          </w:p>
        </w:tc>
        <w:tc>
          <w:tcPr>
            <w:tcW w:w="567" w:type="pct"/>
            <w:tcBorders>
              <w:top w:val="single" w:sz="8" w:space="0" w:color="000000"/>
              <w:left w:val="single" w:sz="8" w:space="0" w:color="000000"/>
              <w:bottom w:val="single" w:sz="8" w:space="0" w:color="000000"/>
              <w:right w:val="single" w:sz="8" w:space="0" w:color="000000"/>
            </w:tcBorders>
            <w:vAlign w:val="center"/>
          </w:tcPr>
          <w:p w:rsidR="00CA2FE3" w:rsidRPr="00CA0AE3" w:rsidRDefault="00CA2FE3" w:rsidP="00D1633A">
            <w:pPr>
              <w:spacing w:after="0" w:line="240" w:lineRule="auto"/>
              <w:rPr>
                <w:rFonts w:eastAsia="Times New Roman"/>
                <w:sz w:val="16"/>
                <w:szCs w:val="16"/>
              </w:rPr>
            </w:pPr>
            <w:r w:rsidRPr="00CA0AE3">
              <w:rPr>
                <w:rFonts w:eastAsia="Times New Roman"/>
                <w:sz w:val="16"/>
                <w:szCs w:val="16"/>
              </w:rPr>
              <w:t xml:space="preserve">Target of 85% reflects best practice </w:t>
            </w:r>
            <w:r w:rsidRPr="00CA0AE3">
              <w:rPr>
                <w:sz w:val="16"/>
                <w:szCs w:val="16"/>
              </w:rPr>
              <w:t>adoption of the required workflows.</w:t>
            </w:r>
          </w:p>
        </w:tc>
      </w:tr>
      <w:tr w:rsidR="00CA2FE3" w:rsidRPr="00CA0AE3" w:rsidTr="003C48F3">
        <w:trPr>
          <w:cantSplit/>
        </w:trPr>
        <w:tc>
          <w:tcPr>
            <w:tcW w:w="108" w:type="pct"/>
            <w:tcBorders>
              <w:top w:val="single" w:sz="8" w:space="0" w:color="000000"/>
              <w:left w:val="single" w:sz="8" w:space="0" w:color="000000"/>
              <w:bottom w:val="single" w:sz="8" w:space="0" w:color="000000"/>
              <w:right w:val="single" w:sz="8" w:space="0" w:color="000000"/>
            </w:tcBorders>
            <w:vAlign w:val="center"/>
          </w:tcPr>
          <w:p w:rsidR="00CA2FE3" w:rsidRPr="00CA0AE3" w:rsidRDefault="00CA2FE3" w:rsidP="00D1633A">
            <w:pPr>
              <w:spacing w:after="0" w:line="240" w:lineRule="auto"/>
              <w:rPr>
                <w:rFonts w:eastAsia="Times New Roman"/>
                <w:sz w:val="16"/>
                <w:szCs w:val="16"/>
              </w:rPr>
            </w:pPr>
          </w:p>
        </w:tc>
        <w:tc>
          <w:tcPr>
            <w:tcW w:w="722" w:type="pct"/>
            <w:tcBorders>
              <w:top w:val="single" w:sz="8" w:space="0" w:color="000000"/>
              <w:left w:val="single" w:sz="8" w:space="0" w:color="000000"/>
              <w:bottom w:val="single" w:sz="8" w:space="0" w:color="000000"/>
              <w:right w:val="single" w:sz="8" w:space="0" w:color="000000"/>
            </w:tcBorders>
            <w:vAlign w:val="center"/>
          </w:tcPr>
          <w:p w:rsidR="00CA2FE3" w:rsidRPr="00CA0AE3" w:rsidRDefault="00CA2FE3" w:rsidP="00D1633A">
            <w:pPr>
              <w:spacing w:after="0" w:line="240" w:lineRule="auto"/>
              <w:rPr>
                <w:rFonts w:eastAsia="Times New Roman"/>
                <w:b/>
                <w:sz w:val="16"/>
                <w:szCs w:val="16"/>
              </w:rPr>
            </w:pPr>
            <w:r w:rsidRPr="00CA0AE3">
              <w:rPr>
                <w:rFonts w:eastAsia="Cambria"/>
                <w:b/>
                <w:sz w:val="16"/>
                <w:szCs w:val="16"/>
              </w:rPr>
              <w:t>Diabetes</w:t>
            </w:r>
          </w:p>
        </w:tc>
        <w:tc>
          <w:tcPr>
            <w:tcW w:w="431" w:type="pct"/>
            <w:tcBorders>
              <w:top w:val="single" w:sz="8" w:space="0" w:color="000000"/>
              <w:left w:val="single" w:sz="8" w:space="0" w:color="000000"/>
              <w:bottom w:val="single" w:sz="8" w:space="0" w:color="000000"/>
              <w:right w:val="single" w:sz="8" w:space="0" w:color="000000"/>
            </w:tcBorders>
            <w:vAlign w:val="center"/>
          </w:tcPr>
          <w:p w:rsidR="00CA2FE3" w:rsidRPr="00CA0AE3" w:rsidRDefault="00CA2FE3" w:rsidP="00D1633A">
            <w:pPr>
              <w:spacing w:after="0" w:line="240" w:lineRule="auto"/>
              <w:rPr>
                <w:rFonts w:eastAsia="Times New Roman"/>
                <w:b/>
                <w:sz w:val="16"/>
                <w:szCs w:val="16"/>
              </w:rPr>
            </w:pPr>
          </w:p>
        </w:tc>
        <w:tc>
          <w:tcPr>
            <w:tcW w:w="463" w:type="pct"/>
            <w:tcBorders>
              <w:top w:val="single" w:sz="8" w:space="0" w:color="000000"/>
              <w:left w:val="single" w:sz="8" w:space="0" w:color="000000"/>
              <w:bottom w:val="single" w:sz="8" w:space="0" w:color="000000"/>
              <w:right w:val="single" w:sz="8" w:space="0" w:color="000000"/>
            </w:tcBorders>
            <w:vAlign w:val="center"/>
          </w:tcPr>
          <w:p w:rsidR="00CA2FE3" w:rsidRPr="00CA0AE3" w:rsidRDefault="00CA2FE3" w:rsidP="00D1633A">
            <w:pPr>
              <w:spacing w:after="0" w:line="240" w:lineRule="auto"/>
              <w:rPr>
                <w:rFonts w:eastAsia="Times New Roman"/>
                <w:b/>
                <w:sz w:val="16"/>
                <w:szCs w:val="16"/>
              </w:rPr>
            </w:pPr>
          </w:p>
        </w:tc>
        <w:tc>
          <w:tcPr>
            <w:tcW w:w="560" w:type="pct"/>
            <w:tcBorders>
              <w:top w:val="single" w:sz="8" w:space="0" w:color="000000"/>
              <w:left w:val="single" w:sz="8" w:space="0" w:color="000000"/>
              <w:bottom w:val="single" w:sz="8" w:space="0" w:color="000000"/>
              <w:right w:val="single" w:sz="8" w:space="0" w:color="000000"/>
            </w:tcBorders>
            <w:vAlign w:val="center"/>
          </w:tcPr>
          <w:p w:rsidR="00CA2FE3" w:rsidRPr="00CA0AE3" w:rsidRDefault="00CA2FE3" w:rsidP="00D1633A">
            <w:pPr>
              <w:spacing w:after="0" w:line="240" w:lineRule="auto"/>
              <w:rPr>
                <w:rFonts w:eastAsia="Times New Roman"/>
                <w:b/>
                <w:sz w:val="16"/>
                <w:szCs w:val="16"/>
              </w:rPr>
            </w:pPr>
          </w:p>
        </w:tc>
        <w:tc>
          <w:tcPr>
            <w:tcW w:w="398" w:type="pct"/>
            <w:tcBorders>
              <w:top w:val="single" w:sz="8" w:space="0" w:color="000000"/>
              <w:left w:val="single" w:sz="8" w:space="0" w:color="000000"/>
              <w:bottom w:val="single" w:sz="8" w:space="0" w:color="000000"/>
              <w:right w:val="single" w:sz="8" w:space="0" w:color="000000"/>
            </w:tcBorders>
            <w:vAlign w:val="center"/>
          </w:tcPr>
          <w:p w:rsidR="00CA2FE3" w:rsidRPr="00CA0AE3" w:rsidRDefault="00CA2FE3" w:rsidP="00D1633A">
            <w:pPr>
              <w:spacing w:after="0" w:line="240" w:lineRule="auto"/>
              <w:rPr>
                <w:rFonts w:eastAsia="Times New Roman"/>
                <w:b/>
                <w:sz w:val="16"/>
                <w:szCs w:val="16"/>
              </w:rPr>
            </w:pPr>
          </w:p>
        </w:tc>
        <w:tc>
          <w:tcPr>
            <w:tcW w:w="463" w:type="pct"/>
            <w:tcBorders>
              <w:top w:val="single" w:sz="8" w:space="0" w:color="000000"/>
              <w:left w:val="single" w:sz="8" w:space="0" w:color="000000"/>
              <w:bottom w:val="single" w:sz="8" w:space="0" w:color="000000"/>
              <w:right w:val="single" w:sz="8" w:space="0" w:color="000000"/>
            </w:tcBorders>
            <w:vAlign w:val="center"/>
          </w:tcPr>
          <w:p w:rsidR="00CA2FE3" w:rsidRPr="00CA0AE3" w:rsidRDefault="00CA2FE3" w:rsidP="00D1633A">
            <w:pPr>
              <w:spacing w:after="0" w:line="240" w:lineRule="auto"/>
              <w:rPr>
                <w:rFonts w:eastAsia="Times New Roman"/>
                <w:b/>
                <w:sz w:val="16"/>
                <w:szCs w:val="16"/>
              </w:rPr>
            </w:pPr>
          </w:p>
        </w:tc>
        <w:tc>
          <w:tcPr>
            <w:tcW w:w="426" w:type="pct"/>
            <w:tcBorders>
              <w:top w:val="single" w:sz="8" w:space="0" w:color="000000"/>
              <w:left w:val="single" w:sz="8" w:space="0" w:color="000000"/>
              <w:bottom w:val="single" w:sz="8" w:space="0" w:color="000000"/>
              <w:right w:val="single" w:sz="8" w:space="0" w:color="000000"/>
            </w:tcBorders>
            <w:vAlign w:val="center"/>
          </w:tcPr>
          <w:p w:rsidR="00CA2FE3" w:rsidRPr="00CA0AE3" w:rsidRDefault="00CA2FE3" w:rsidP="00D1633A">
            <w:pPr>
              <w:spacing w:after="0" w:line="240" w:lineRule="auto"/>
              <w:rPr>
                <w:rFonts w:eastAsia="Times New Roman"/>
                <w:b/>
                <w:sz w:val="16"/>
                <w:szCs w:val="16"/>
              </w:rPr>
            </w:pPr>
          </w:p>
        </w:tc>
        <w:tc>
          <w:tcPr>
            <w:tcW w:w="431" w:type="pct"/>
            <w:tcBorders>
              <w:top w:val="single" w:sz="8" w:space="0" w:color="000000"/>
              <w:left w:val="single" w:sz="8" w:space="0" w:color="000000"/>
              <w:bottom w:val="single" w:sz="8" w:space="0" w:color="000000"/>
              <w:right w:val="single" w:sz="8" w:space="0" w:color="000000"/>
            </w:tcBorders>
            <w:vAlign w:val="center"/>
          </w:tcPr>
          <w:p w:rsidR="00CA2FE3" w:rsidRPr="00CA0AE3" w:rsidRDefault="00CA2FE3" w:rsidP="00D1633A">
            <w:pPr>
              <w:spacing w:after="0" w:line="240" w:lineRule="auto"/>
              <w:rPr>
                <w:rFonts w:eastAsia="Times New Roman"/>
                <w:b/>
                <w:sz w:val="16"/>
                <w:szCs w:val="16"/>
              </w:rPr>
            </w:pPr>
          </w:p>
        </w:tc>
        <w:tc>
          <w:tcPr>
            <w:tcW w:w="431" w:type="pct"/>
            <w:tcBorders>
              <w:top w:val="single" w:sz="8" w:space="0" w:color="000000"/>
              <w:left w:val="single" w:sz="8" w:space="0" w:color="000000"/>
              <w:bottom w:val="single" w:sz="8" w:space="0" w:color="000000"/>
              <w:right w:val="single" w:sz="8" w:space="0" w:color="000000"/>
            </w:tcBorders>
            <w:vAlign w:val="center"/>
          </w:tcPr>
          <w:p w:rsidR="00CA2FE3" w:rsidRPr="00CA0AE3" w:rsidRDefault="00CA2FE3" w:rsidP="00D1633A">
            <w:pPr>
              <w:spacing w:after="0" w:line="240" w:lineRule="auto"/>
              <w:rPr>
                <w:rFonts w:eastAsia="Times New Roman"/>
                <w:b/>
                <w:sz w:val="16"/>
                <w:szCs w:val="16"/>
              </w:rPr>
            </w:pPr>
          </w:p>
        </w:tc>
        <w:tc>
          <w:tcPr>
            <w:tcW w:w="567" w:type="pct"/>
            <w:tcBorders>
              <w:top w:val="single" w:sz="8" w:space="0" w:color="000000"/>
              <w:left w:val="single" w:sz="8" w:space="0" w:color="000000"/>
              <w:bottom w:val="single" w:sz="8" w:space="0" w:color="000000"/>
              <w:right w:val="single" w:sz="8" w:space="0" w:color="000000"/>
            </w:tcBorders>
            <w:vAlign w:val="center"/>
          </w:tcPr>
          <w:p w:rsidR="00CA2FE3" w:rsidRPr="00CA0AE3" w:rsidRDefault="00CA2FE3" w:rsidP="00D1633A">
            <w:pPr>
              <w:spacing w:after="0" w:line="240" w:lineRule="auto"/>
              <w:rPr>
                <w:rFonts w:eastAsia="Times New Roman"/>
                <w:b/>
                <w:sz w:val="16"/>
                <w:szCs w:val="16"/>
              </w:rPr>
            </w:pPr>
          </w:p>
        </w:tc>
      </w:tr>
      <w:tr w:rsidR="00CA2FE3" w:rsidRPr="00CA0AE3" w:rsidTr="003C48F3">
        <w:trPr>
          <w:cantSplit/>
        </w:trPr>
        <w:tc>
          <w:tcPr>
            <w:tcW w:w="108" w:type="pct"/>
            <w:tcBorders>
              <w:top w:val="single" w:sz="8" w:space="0" w:color="000000"/>
              <w:left w:val="single" w:sz="8" w:space="0" w:color="000000"/>
              <w:bottom w:val="single" w:sz="8" w:space="0" w:color="000000"/>
              <w:right w:val="single" w:sz="8" w:space="0" w:color="000000"/>
            </w:tcBorders>
            <w:vAlign w:val="center"/>
          </w:tcPr>
          <w:p w:rsidR="00CA2FE3" w:rsidRPr="00CA0AE3" w:rsidRDefault="00CA2FE3" w:rsidP="00D1633A">
            <w:pPr>
              <w:pStyle w:val="Default"/>
              <w:jc w:val="center"/>
              <w:rPr>
                <w:color w:val="auto"/>
                <w:sz w:val="16"/>
                <w:szCs w:val="16"/>
              </w:rPr>
            </w:pPr>
            <w:r w:rsidRPr="00CA0AE3">
              <w:rPr>
                <w:color w:val="auto"/>
                <w:sz w:val="16"/>
                <w:szCs w:val="16"/>
              </w:rPr>
              <w:lastRenderedPageBreak/>
              <w:t>5</w:t>
            </w:r>
          </w:p>
        </w:tc>
        <w:tc>
          <w:tcPr>
            <w:tcW w:w="722"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tcPr>
          <w:p w:rsidR="00CA2FE3" w:rsidRPr="00CA0AE3" w:rsidRDefault="00CA2FE3" w:rsidP="00D1633A">
            <w:pPr>
              <w:pStyle w:val="Default"/>
              <w:rPr>
                <w:color w:val="auto"/>
                <w:sz w:val="16"/>
                <w:szCs w:val="16"/>
              </w:rPr>
            </w:pPr>
            <w:r w:rsidRPr="00CA0AE3">
              <w:rPr>
                <w:rFonts w:eastAsia="Cambria"/>
                <w:color w:val="auto"/>
                <w:sz w:val="16"/>
                <w:szCs w:val="16"/>
              </w:rPr>
              <w:t>Diabetes: HbA1c Control- % of active primary care patients ages 18 to 75 with diabetes whose most recent HbA1c control  is &lt;8.0%</w:t>
            </w:r>
          </w:p>
        </w:tc>
        <w:tc>
          <w:tcPr>
            <w:tcW w:w="431"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sz w:val="16"/>
                <w:szCs w:val="16"/>
              </w:rPr>
            </w:pPr>
            <w:r w:rsidRPr="00CA0AE3">
              <w:rPr>
                <w:sz w:val="16"/>
                <w:szCs w:val="16"/>
              </w:rPr>
              <w:t>NQF</w:t>
            </w:r>
            <w:r w:rsidRPr="00CA0AE3">
              <w:rPr>
                <w:rFonts w:eastAsia="Cambria"/>
                <w:bCs/>
                <w:sz w:val="16"/>
                <w:szCs w:val="16"/>
              </w:rPr>
              <w:t xml:space="preserve"> 0575</w:t>
            </w:r>
          </w:p>
        </w:tc>
        <w:tc>
          <w:tcPr>
            <w:tcW w:w="463"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bCs/>
                <w:sz w:val="16"/>
                <w:szCs w:val="16"/>
              </w:rPr>
            </w:pPr>
            <w:r w:rsidRPr="00CA0AE3">
              <w:rPr>
                <w:bCs/>
                <w:sz w:val="16"/>
                <w:szCs w:val="16"/>
              </w:rPr>
              <w:t>2015 90</w:t>
            </w:r>
            <w:r w:rsidRPr="00CA0AE3">
              <w:rPr>
                <w:bCs/>
                <w:sz w:val="16"/>
                <w:szCs w:val="16"/>
                <w:vertAlign w:val="superscript"/>
              </w:rPr>
              <w:t>th</w:t>
            </w:r>
            <w:r w:rsidRPr="00CA0AE3">
              <w:rPr>
                <w:bCs/>
                <w:sz w:val="16"/>
                <w:szCs w:val="16"/>
              </w:rPr>
              <w:t xml:space="preserve"> percentile National Medicaid: 59.0%</w:t>
            </w:r>
          </w:p>
          <w:p w:rsidR="00CA2FE3" w:rsidRPr="00CA0AE3" w:rsidRDefault="00CA2FE3" w:rsidP="00D1633A">
            <w:pPr>
              <w:spacing w:after="0" w:line="240" w:lineRule="auto"/>
              <w:jc w:val="center"/>
              <w:rPr>
                <w:bCs/>
                <w:sz w:val="16"/>
                <w:szCs w:val="16"/>
              </w:rPr>
            </w:pPr>
          </w:p>
        </w:tc>
        <w:tc>
          <w:tcPr>
            <w:tcW w:w="560"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A2FE3" w:rsidRPr="00CA0AE3" w:rsidRDefault="00CA2FE3" w:rsidP="00D1633A">
            <w:pPr>
              <w:pStyle w:val="Default"/>
              <w:jc w:val="center"/>
              <w:rPr>
                <w:color w:val="auto"/>
                <w:sz w:val="16"/>
                <w:szCs w:val="16"/>
              </w:rPr>
            </w:pPr>
            <w:r w:rsidRPr="00CA0AE3">
              <w:rPr>
                <w:color w:val="auto"/>
                <w:sz w:val="16"/>
                <w:szCs w:val="16"/>
              </w:rPr>
              <w:t>Gap to Goal (10%) or attainment at target</w:t>
            </w:r>
          </w:p>
        </w:tc>
        <w:tc>
          <w:tcPr>
            <w:tcW w:w="398"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b/>
                <w:sz w:val="16"/>
                <w:szCs w:val="16"/>
              </w:rPr>
            </w:pPr>
            <w:r w:rsidRPr="00CA0AE3">
              <w:rPr>
                <w:b/>
                <w:sz w:val="16"/>
                <w:szCs w:val="16"/>
              </w:rPr>
              <w:t>B</w:t>
            </w:r>
          </w:p>
        </w:tc>
        <w:tc>
          <w:tcPr>
            <w:tcW w:w="463"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b/>
                <w:sz w:val="16"/>
                <w:szCs w:val="16"/>
              </w:rPr>
            </w:pPr>
            <w:r w:rsidRPr="00CA0AE3">
              <w:rPr>
                <w:b/>
                <w:sz w:val="16"/>
                <w:szCs w:val="16"/>
              </w:rPr>
              <w:t>O</w:t>
            </w:r>
          </w:p>
        </w:tc>
        <w:tc>
          <w:tcPr>
            <w:tcW w:w="426"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b/>
                <w:sz w:val="16"/>
                <w:szCs w:val="16"/>
              </w:rPr>
            </w:pPr>
            <w:r w:rsidRPr="00CA0AE3">
              <w:rPr>
                <w:b/>
                <w:sz w:val="16"/>
                <w:szCs w:val="16"/>
              </w:rPr>
              <w:t>O</w:t>
            </w:r>
          </w:p>
        </w:tc>
        <w:tc>
          <w:tcPr>
            <w:tcW w:w="431"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b/>
                <w:sz w:val="16"/>
                <w:szCs w:val="16"/>
              </w:rPr>
            </w:pPr>
            <w:r w:rsidRPr="00CA0AE3">
              <w:rPr>
                <w:b/>
                <w:sz w:val="16"/>
                <w:szCs w:val="16"/>
              </w:rPr>
              <w:t>O</w:t>
            </w:r>
          </w:p>
        </w:tc>
        <w:tc>
          <w:tcPr>
            <w:tcW w:w="431"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b/>
                <w:sz w:val="16"/>
                <w:szCs w:val="16"/>
              </w:rPr>
            </w:pPr>
            <w:r w:rsidRPr="00CA0AE3">
              <w:rPr>
                <w:b/>
                <w:sz w:val="16"/>
                <w:szCs w:val="16"/>
              </w:rPr>
              <w:t>O</w:t>
            </w:r>
          </w:p>
        </w:tc>
        <w:tc>
          <w:tcPr>
            <w:tcW w:w="567" w:type="pct"/>
            <w:tcBorders>
              <w:top w:val="single" w:sz="8" w:space="0" w:color="000000"/>
              <w:left w:val="single" w:sz="8" w:space="0" w:color="000000"/>
              <w:bottom w:val="single" w:sz="8" w:space="0" w:color="000000"/>
              <w:right w:val="single" w:sz="8" w:space="0" w:color="000000"/>
            </w:tcBorders>
            <w:vAlign w:val="center"/>
          </w:tcPr>
          <w:p w:rsidR="00CA2FE3" w:rsidRPr="00CA0AE3" w:rsidRDefault="00CA2FE3" w:rsidP="00D1633A">
            <w:pPr>
              <w:spacing w:after="0" w:line="240" w:lineRule="auto"/>
              <w:rPr>
                <w:rFonts w:eastAsia="Times New Roman"/>
                <w:sz w:val="16"/>
                <w:szCs w:val="16"/>
              </w:rPr>
            </w:pPr>
            <w:r w:rsidRPr="00CA0AE3">
              <w:rPr>
                <w:rFonts w:eastAsia="Times New Roman"/>
                <w:sz w:val="16"/>
                <w:szCs w:val="16"/>
              </w:rPr>
              <w:t>Target reflects the 2015</w:t>
            </w:r>
            <w:r w:rsidRPr="00CA0AE3">
              <w:rPr>
                <w:rFonts w:eastAsia="Times New Roman"/>
                <w:sz w:val="16"/>
                <w:szCs w:val="16"/>
                <w:vertAlign w:val="superscript"/>
              </w:rPr>
              <w:t>th</w:t>
            </w:r>
            <w:r w:rsidRPr="00CA0AE3">
              <w:rPr>
                <w:rFonts w:eastAsia="Times New Roman"/>
                <w:sz w:val="16"/>
                <w:szCs w:val="16"/>
              </w:rPr>
              <w:t xml:space="preserve"> 90</w:t>
            </w:r>
            <w:r w:rsidRPr="00CA0AE3">
              <w:rPr>
                <w:rFonts w:eastAsia="Times New Roman"/>
                <w:sz w:val="16"/>
                <w:szCs w:val="16"/>
                <w:vertAlign w:val="superscript"/>
              </w:rPr>
              <w:t>th</w:t>
            </w:r>
            <w:r w:rsidRPr="00CA0AE3">
              <w:rPr>
                <w:rFonts w:eastAsia="Times New Roman"/>
                <w:sz w:val="16"/>
                <w:szCs w:val="16"/>
              </w:rPr>
              <w:t xml:space="preserve"> Percentile National Medicaid</w:t>
            </w:r>
          </w:p>
        </w:tc>
      </w:tr>
      <w:tr w:rsidR="00CA2FE3" w:rsidRPr="00CA0AE3" w:rsidTr="003C48F3">
        <w:trPr>
          <w:cantSplit/>
        </w:trPr>
        <w:tc>
          <w:tcPr>
            <w:tcW w:w="108" w:type="pct"/>
            <w:tcBorders>
              <w:top w:val="single" w:sz="8" w:space="0" w:color="000000"/>
              <w:left w:val="single" w:sz="8" w:space="0" w:color="000000"/>
              <w:bottom w:val="single" w:sz="8" w:space="0" w:color="000000"/>
              <w:right w:val="single" w:sz="8" w:space="0" w:color="000000"/>
            </w:tcBorders>
            <w:vAlign w:val="center"/>
          </w:tcPr>
          <w:p w:rsidR="00CA2FE3" w:rsidRPr="00CA0AE3" w:rsidRDefault="00CA2FE3" w:rsidP="00D1633A">
            <w:pPr>
              <w:pStyle w:val="Default"/>
              <w:jc w:val="center"/>
              <w:rPr>
                <w:color w:val="auto"/>
                <w:sz w:val="16"/>
                <w:szCs w:val="16"/>
              </w:rPr>
            </w:pPr>
            <w:r w:rsidRPr="00CA0AE3">
              <w:rPr>
                <w:color w:val="auto"/>
                <w:sz w:val="16"/>
                <w:szCs w:val="16"/>
              </w:rPr>
              <w:t>6</w:t>
            </w:r>
          </w:p>
        </w:tc>
        <w:tc>
          <w:tcPr>
            <w:tcW w:w="722"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A2FE3" w:rsidRPr="00CA0AE3" w:rsidRDefault="00CA2FE3" w:rsidP="00D1633A">
            <w:pPr>
              <w:pStyle w:val="Default"/>
              <w:rPr>
                <w:color w:val="auto"/>
                <w:sz w:val="16"/>
                <w:szCs w:val="16"/>
              </w:rPr>
            </w:pPr>
            <w:r w:rsidRPr="00CA0AE3">
              <w:rPr>
                <w:color w:val="auto"/>
                <w:sz w:val="16"/>
                <w:szCs w:val="16"/>
              </w:rPr>
              <w:t>Comprehensive Diabetes Care: Eye Exam (retinal) performed (for active primary care patients)</w:t>
            </w:r>
          </w:p>
        </w:tc>
        <w:tc>
          <w:tcPr>
            <w:tcW w:w="431"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A2FE3" w:rsidRPr="00CA0AE3" w:rsidRDefault="00CA2FE3" w:rsidP="00D1633A">
            <w:pPr>
              <w:pStyle w:val="Default"/>
              <w:jc w:val="center"/>
              <w:rPr>
                <w:color w:val="auto"/>
                <w:sz w:val="16"/>
                <w:szCs w:val="16"/>
              </w:rPr>
            </w:pPr>
            <w:r w:rsidRPr="00CA0AE3">
              <w:rPr>
                <w:color w:val="auto"/>
                <w:sz w:val="16"/>
                <w:szCs w:val="16"/>
              </w:rPr>
              <w:t>NQF 0055</w:t>
            </w:r>
          </w:p>
          <w:p w:rsidR="00CA2FE3" w:rsidRPr="00CA0AE3" w:rsidRDefault="00CA2FE3" w:rsidP="00D1633A">
            <w:pPr>
              <w:spacing w:after="0" w:line="240" w:lineRule="auto"/>
              <w:jc w:val="center"/>
              <w:rPr>
                <w:sz w:val="16"/>
                <w:szCs w:val="16"/>
              </w:rPr>
            </w:pPr>
          </w:p>
        </w:tc>
        <w:tc>
          <w:tcPr>
            <w:tcW w:w="463"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A2FE3" w:rsidRPr="00CA0AE3" w:rsidRDefault="00CA2FE3" w:rsidP="00D1633A">
            <w:pPr>
              <w:pStyle w:val="Default"/>
              <w:jc w:val="center"/>
              <w:rPr>
                <w:bCs/>
                <w:color w:val="auto"/>
                <w:sz w:val="16"/>
                <w:szCs w:val="16"/>
              </w:rPr>
            </w:pPr>
            <w:r w:rsidRPr="00CA0AE3">
              <w:rPr>
                <w:bCs/>
                <w:color w:val="auto"/>
                <w:sz w:val="16"/>
                <w:szCs w:val="16"/>
              </w:rPr>
              <w:t>2015 90</w:t>
            </w:r>
            <w:r w:rsidRPr="00CA0AE3">
              <w:rPr>
                <w:bCs/>
                <w:color w:val="auto"/>
                <w:sz w:val="16"/>
                <w:szCs w:val="16"/>
                <w:vertAlign w:val="superscript"/>
              </w:rPr>
              <w:t>th</w:t>
            </w:r>
            <w:r w:rsidRPr="00CA0AE3">
              <w:rPr>
                <w:bCs/>
                <w:color w:val="auto"/>
                <w:sz w:val="16"/>
                <w:szCs w:val="16"/>
              </w:rPr>
              <w:t xml:space="preserve"> percentile National Medicaid: 68.0%</w:t>
            </w:r>
          </w:p>
          <w:p w:rsidR="00CA2FE3" w:rsidRPr="00CA0AE3" w:rsidRDefault="00CA2FE3" w:rsidP="00D1633A">
            <w:pPr>
              <w:pStyle w:val="Default"/>
              <w:jc w:val="center"/>
              <w:rPr>
                <w:color w:val="auto"/>
                <w:sz w:val="16"/>
                <w:szCs w:val="16"/>
              </w:rPr>
            </w:pPr>
          </w:p>
        </w:tc>
        <w:tc>
          <w:tcPr>
            <w:tcW w:w="560"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A2FE3" w:rsidRPr="00CA0AE3" w:rsidRDefault="00CA2FE3" w:rsidP="00D1633A">
            <w:pPr>
              <w:pStyle w:val="Default"/>
              <w:jc w:val="center"/>
              <w:rPr>
                <w:color w:val="auto"/>
                <w:sz w:val="16"/>
                <w:szCs w:val="16"/>
              </w:rPr>
            </w:pPr>
            <w:r w:rsidRPr="00CA0AE3">
              <w:rPr>
                <w:color w:val="auto"/>
                <w:sz w:val="16"/>
                <w:szCs w:val="16"/>
              </w:rPr>
              <w:t>Gap to Goal (10%) or attainment at target</w:t>
            </w:r>
          </w:p>
          <w:p w:rsidR="00CA2FE3" w:rsidRPr="00CA0AE3" w:rsidRDefault="00CA2FE3" w:rsidP="00D1633A">
            <w:pPr>
              <w:pStyle w:val="Default"/>
              <w:jc w:val="center"/>
              <w:rPr>
                <w:color w:val="auto"/>
                <w:sz w:val="16"/>
                <w:szCs w:val="16"/>
              </w:rPr>
            </w:pPr>
          </w:p>
          <w:p w:rsidR="00CA2FE3" w:rsidRPr="00CA0AE3" w:rsidRDefault="00CA2FE3" w:rsidP="00D1633A">
            <w:pPr>
              <w:pStyle w:val="Default"/>
              <w:rPr>
                <w:color w:val="auto"/>
                <w:sz w:val="16"/>
                <w:szCs w:val="16"/>
              </w:rPr>
            </w:pPr>
          </w:p>
        </w:tc>
        <w:tc>
          <w:tcPr>
            <w:tcW w:w="398"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b/>
                <w:sz w:val="16"/>
                <w:szCs w:val="16"/>
              </w:rPr>
            </w:pPr>
          </w:p>
          <w:p w:rsidR="00CA2FE3" w:rsidRPr="00CA0AE3" w:rsidRDefault="00CA2FE3" w:rsidP="00D1633A">
            <w:pPr>
              <w:spacing w:after="0" w:line="240" w:lineRule="auto"/>
              <w:jc w:val="center"/>
              <w:rPr>
                <w:b/>
                <w:sz w:val="16"/>
                <w:szCs w:val="16"/>
              </w:rPr>
            </w:pPr>
          </w:p>
          <w:p w:rsidR="00CA2FE3" w:rsidRPr="00CA0AE3" w:rsidRDefault="00CA2FE3" w:rsidP="00D1633A">
            <w:pPr>
              <w:spacing w:after="0" w:line="240" w:lineRule="auto"/>
              <w:jc w:val="center"/>
              <w:rPr>
                <w:b/>
                <w:sz w:val="16"/>
                <w:szCs w:val="16"/>
              </w:rPr>
            </w:pPr>
            <w:r w:rsidRPr="00CA0AE3">
              <w:rPr>
                <w:b/>
                <w:sz w:val="16"/>
                <w:szCs w:val="16"/>
              </w:rPr>
              <w:t>B</w:t>
            </w:r>
          </w:p>
        </w:tc>
        <w:tc>
          <w:tcPr>
            <w:tcW w:w="463"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b/>
                <w:sz w:val="16"/>
                <w:szCs w:val="16"/>
              </w:rPr>
            </w:pPr>
          </w:p>
          <w:p w:rsidR="00CA2FE3" w:rsidRPr="00CA0AE3" w:rsidRDefault="00CA2FE3" w:rsidP="00D1633A">
            <w:pPr>
              <w:spacing w:after="0" w:line="240" w:lineRule="auto"/>
              <w:jc w:val="center"/>
              <w:rPr>
                <w:b/>
                <w:sz w:val="16"/>
                <w:szCs w:val="16"/>
              </w:rPr>
            </w:pPr>
          </w:p>
          <w:p w:rsidR="00CA2FE3" w:rsidRPr="00CA0AE3" w:rsidRDefault="00CA2FE3" w:rsidP="00D1633A">
            <w:pPr>
              <w:spacing w:after="0" w:line="240" w:lineRule="auto"/>
              <w:jc w:val="center"/>
              <w:rPr>
                <w:b/>
                <w:sz w:val="16"/>
                <w:szCs w:val="16"/>
              </w:rPr>
            </w:pPr>
            <w:r w:rsidRPr="00CA0AE3">
              <w:rPr>
                <w:b/>
                <w:sz w:val="16"/>
                <w:szCs w:val="16"/>
              </w:rPr>
              <w:t>O</w:t>
            </w:r>
          </w:p>
        </w:tc>
        <w:tc>
          <w:tcPr>
            <w:tcW w:w="426"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b/>
                <w:sz w:val="16"/>
                <w:szCs w:val="16"/>
              </w:rPr>
            </w:pPr>
          </w:p>
          <w:p w:rsidR="00CA2FE3" w:rsidRPr="00CA0AE3" w:rsidRDefault="00CA2FE3" w:rsidP="00D1633A">
            <w:pPr>
              <w:spacing w:after="0" w:line="240" w:lineRule="auto"/>
              <w:jc w:val="center"/>
              <w:rPr>
                <w:b/>
                <w:sz w:val="16"/>
                <w:szCs w:val="16"/>
              </w:rPr>
            </w:pPr>
          </w:p>
          <w:p w:rsidR="00CA2FE3" w:rsidRPr="00CA0AE3" w:rsidRDefault="00CA2FE3" w:rsidP="00D1633A">
            <w:pPr>
              <w:spacing w:after="0" w:line="240" w:lineRule="auto"/>
              <w:jc w:val="center"/>
              <w:rPr>
                <w:b/>
                <w:sz w:val="16"/>
                <w:szCs w:val="16"/>
              </w:rPr>
            </w:pPr>
            <w:r w:rsidRPr="00CA0AE3">
              <w:rPr>
                <w:b/>
                <w:sz w:val="16"/>
                <w:szCs w:val="16"/>
              </w:rPr>
              <w:t>O</w:t>
            </w:r>
          </w:p>
        </w:tc>
        <w:tc>
          <w:tcPr>
            <w:tcW w:w="431"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b/>
                <w:sz w:val="16"/>
                <w:szCs w:val="16"/>
              </w:rPr>
            </w:pPr>
          </w:p>
          <w:p w:rsidR="00CA2FE3" w:rsidRPr="00CA0AE3" w:rsidRDefault="00CA2FE3" w:rsidP="00D1633A">
            <w:pPr>
              <w:spacing w:after="0" w:line="240" w:lineRule="auto"/>
              <w:jc w:val="center"/>
              <w:rPr>
                <w:b/>
                <w:sz w:val="16"/>
                <w:szCs w:val="16"/>
              </w:rPr>
            </w:pPr>
          </w:p>
          <w:p w:rsidR="00CA2FE3" w:rsidRPr="00CA0AE3" w:rsidRDefault="00CA2FE3" w:rsidP="00D1633A">
            <w:pPr>
              <w:spacing w:after="0" w:line="240" w:lineRule="auto"/>
              <w:jc w:val="center"/>
              <w:rPr>
                <w:b/>
                <w:sz w:val="16"/>
                <w:szCs w:val="16"/>
              </w:rPr>
            </w:pPr>
            <w:r w:rsidRPr="00CA0AE3">
              <w:rPr>
                <w:b/>
                <w:sz w:val="16"/>
                <w:szCs w:val="16"/>
              </w:rPr>
              <w:t>O</w:t>
            </w:r>
          </w:p>
        </w:tc>
        <w:tc>
          <w:tcPr>
            <w:tcW w:w="431"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b/>
                <w:sz w:val="16"/>
                <w:szCs w:val="16"/>
              </w:rPr>
            </w:pPr>
          </w:p>
          <w:p w:rsidR="00CA2FE3" w:rsidRPr="00CA0AE3" w:rsidRDefault="00CA2FE3" w:rsidP="00D1633A">
            <w:pPr>
              <w:spacing w:after="0" w:line="240" w:lineRule="auto"/>
              <w:jc w:val="center"/>
              <w:rPr>
                <w:b/>
                <w:sz w:val="16"/>
                <w:szCs w:val="16"/>
              </w:rPr>
            </w:pPr>
          </w:p>
          <w:p w:rsidR="00CA2FE3" w:rsidRPr="00CA0AE3" w:rsidRDefault="00CA2FE3" w:rsidP="00D1633A">
            <w:pPr>
              <w:spacing w:after="0" w:line="240" w:lineRule="auto"/>
              <w:jc w:val="center"/>
              <w:rPr>
                <w:b/>
                <w:sz w:val="16"/>
                <w:szCs w:val="16"/>
              </w:rPr>
            </w:pPr>
            <w:r w:rsidRPr="00CA0AE3">
              <w:rPr>
                <w:b/>
                <w:sz w:val="16"/>
                <w:szCs w:val="16"/>
              </w:rPr>
              <w:t>O</w:t>
            </w:r>
          </w:p>
        </w:tc>
        <w:tc>
          <w:tcPr>
            <w:tcW w:w="567" w:type="pct"/>
            <w:tcBorders>
              <w:top w:val="single" w:sz="8" w:space="0" w:color="000000"/>
              <w:left w:val="single" w:sz="8" w:space="0" w:color="000000"/>
              <w:bottom w:val="single" w:sz="8" w:space="0" w:color="000000"/>
              <w:right w:val="single" w:sz="8" w:space="0" w:color="000000"/>
            </w:tcBorders>
            <w:vAlign w:val="center"/>
          </w:tcPr>
          <w:p w:rsidR="00CA2FE3" w:rsidRPr="00CA0AE3" w:rsidRDefault="00CA2FE3" w:rsidP="00D1633A">
            <w:pPr>
              <w:spacing w:after="0" w:line="240" w:lineRule="auto"/>
              <w:rPr>
                <w:rFonts w:eastAsia="Times New Roman"/>
                <w:sz w:val="16"/>
                <w:szCs w:val="16"/>
              </w:rPr>
            </w:pPr>
            <w:r w:rsidRPr="00CA0AE3">
              <w:rPr>
                <w:sz w:val="16"/>
                <w:szCs w:val="16"/>
              </w:rPr>
              <w:t>Target</w:t>
            </w:r>
            <w:r w:rsidRPr="00CA0AE3">
              <w:rPr>
                <w:rFonts w:eastAsia="Times New Roman"/>
                <w:sz w:val="16"/>
                <w:szCs w:val="16"/>
              </w:rPr>
              <w:t xml:space="preserve"> reflects the 2015</w:t>
            </w:r>
            <w:r w:rsidRPr="00CA0AE3">
              <w:rPr>
                <w:rFonts w:eastAsia="Times New Roman"/>
                <w:sz w:val="16"/>
                <w:szCs w:val="16"/>
                <w:vertAlign w:val="superscript"/>
              </w:rPr>
              <w:t>th</w:t>
            </w:r>
            <w:r w:rsidRPr="00CA0AE3">
              <w:rPr>
                <w:rFonts w:eastAsia="Times New Roman"/>
                <w:sz w:val="16"/>
                <w:szCs w:val="16"/>
              </w:rPr>
              <w:t xml:space="preserve"> 90</w:t>
            </w:r>
            <w:r w:rsidRPr="00CA0AE3">
              <w:rPr>
                <w:rFonts w:eastAsia="Times New Roman"/>
                <w:sz w:val="16"/>
                <w:szCs w:val="16"/>
                <w:vertAlign w:val="superscript"/>
              </w:rPr>
              <w:t>th</w:t>
            </w:r>
            <w:r w:rsidRPr="00CA0AE3">
              <w:rPr>
                <w:rFonts w:eastAsia="Times New Roman"/>
                <w:sz w:val="16"/>
                <w:szCs w:val="16"/>
              </w:rPr>
              <w:t xml:space="preserve"> Percentile National Medicaid</w:t>
            </w:r>
          </w:p>
        </w:tc>
      </w:tr>
      <w:tr w:rsidR="00CA2FE3" w:rsidRPr="00CA0AE3" w:rsidTr="003C48F3">
        <w:trPr>
          <w:cantSplit/>
        </w:trPr>
        <w:tc>
          <w:tcPr>
            <w:tcW w:w="108" w:type="pct"/>
            <w:tcBorders>
              <w:top w:val="single" w:sz="8" w:space="0" w:color="000000"/>
              <w:left w:val="single" w:sz="8" w:space="0" w:color="000000"/>
              <w:bottom w:val="single" w:sz="8" w:space="0" w:color="000000"/>
              <w:right w:val="single" w:sz="8" w:space="0" w:color="000000"/>
            </w:tcBorders>
            <w:vAlign w:val="center"/>
          </w:tcPr>
          <w:p w:rsidR="00CA2FE3" w:rsidRPr="00CA0AE3" w:rsidRDefault="00CA2FE3" w:rsidP="00D1633A">
            <w:pPr>
              <w:pStyle w:val="Default"/>
              <w:jc w:val="center"/>
              <w:rPr>
                <w:color w:val="auto"/>
                <w:sz w:val="16"/>
                <w:szCs w:val="16"/>
              </w:rPr>
            </w:pPr>
            <w:r w:rsidRPr="00CA0AE3">
              <w:rPr>
                <w:color w:val="auto"/>
                <w:sz w:val="16"/>
                <w:szCs w:val="16"/>
              </w:rPr>
              <w:t>7</w:t>
            </w:r>
          </w:p>
        </w:tc>
        <w:tc>
          <w:tcPr>
            <w:tcW w:w="722"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tcPr>
          <w:p w:rsidR="00CA2FE3" w:rsidRPr="00CA0AE3" w:rsidRDefault="00CA2FE3" w:rsidP="00D1633A">
            <w:pPr>
              <w:pStyle w:val="Default"/>
              <w:rPr>
                <w:color w:val="auto"/>
                <w:sz w:val="16"/>
                <w:szCs w:val="16"/>
              </w:rPr>
            </w:pPr>
            <w:r w:rsidRPr="00CA0AE3">
              <w:rPr>
                <w:color w:val="auto"/>
                <w:sz w:val="16"/>
                <w:szCs w:val="16"/>
              </w:rPr>
              <w:t>Improve the proportion of active primary care patients 18-75 years of age with diabetes with poorly controlled Hemoglobin HbA1C (most recent &gt;=8.0%) who have a care plan</w:t>
            </w:r>
          </w:p>
        </w:tc>
        <w:tc>
          <w:tcPr>
            <w:tcW w:w="431"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sz w:val="16"/>
                <w:szCs w:val="16"/>
              </w:rPr>
            </w:pPr>
            <w:r w:rsidRPr="00CA0AE3">
              <w:rPr>
                <w:sz w:val="16"/>
                <w:szCs w:val="16"/>
              </w:rPr>
              <w:t>NCQA</w:t>
            </w:r>
          </w:p>
        </w:tc>
        <w:tc>
          <w:tcPr>
            <w:tcW w:w="463"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sz w:val="16"/>
                <w:szCs w:val="16"/>
              </w:rPr>
            </w:pPr>
            <w:r w:rsidRPr="00CA0AE3">
              <w:rPr>
                <w:sz w:val="16"/>
                <w:szCs w:val="16"/>
              </w:rPr>
              <w:t>No external benchmark;</w:t>
            </w:r>
          </w:p>
          <w:p w:rsidR="00CA2FE3" w:rsidRPr="00CA0AE3" w:rsidRDefault="00CA2FE3" w:rsidP="00D1633A">
            <w:pPr>
              <w:spacing w:after="0" w:line="240" w:lineRule="auto"/>
              <w:jc w:val="center"/>
              <w:rPr>
                <w:sz w:val="16"/>
                <w:szCs w:val="16"/>
              </w:rPr>
            </w:pPr>
            <w:r w:rsidRPr="00CA0AE3">
              <w:rPr>
                <w:sz w:val="16"/>
                <w:szCs w:val="16"/>
              </w:rPr>
              <w:t>hospital specific improvement</w:t>
            </w:r>
          </w:p>
          <w:p w:rsidR="00CA2FE3" w:rsidRPr="00CA0AE3" w:rsidRDefault="00CA2FE3" w:rsidP="00D1633A">
            <w:pPr>
              <w:spacing w:after="0" w:line="240" w:lineRule="auto"/>
              <w:jc w:val="center"/>
              <w:rPr>
                <w:sz w:val="16"/>
                <w:szCs w:val="16"/>
              </w:rPr>
            </w:pPr>
            <w:r w:rsidRPr="00CA0AE3">
              <w:rPr>
                <w:sz w:val="16"/>
                <w:szCs w:val="16"/>
              </w:rPr>
              <w:t>Target = 75%</w:t>
            </w:r>
          </w:p>
        </w:tc>
        <w:tc>
          <w:tcPr>
            <w:tcW w:w="560"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A2FE3" w:rsidRPr="00CA0AE3" w:rsidRDefault="00CA2FE3" w:rsidP="00D1633A">
            <w:pPr>
              <w:pStyle w:val="Default"/>
              <w:jc w:val="center"/>
              <w:rPr>
                <w:color w:val="auto"/>
                <w:sz w:val="16"/>
                <w:szCs w:val="16"/>
              </w:rPr>
            </w:pPr>
            <w:r w:rsidRPr="00CA0AE3">
              <w:rPr>
                <w:color w:val="auto"/>
                <w:sz w:val="16"/>
                <w:szCs w:val="16"/>
              </w:rPr>
              <w:t xml:space="preserve">Gap to Goal (10%) or attainment at target </w:t>
            </w:r>
          </w:p>
        </w:tc>
        <w:tc>
          <w:tcPr>
            <w:tcW w:w="398"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b/>
                <w:sz w:val="16"/>
                <w:szCs w:val="16"/>
              </w:rPr>
            </w:pPr>
            <w:r w:rsidRPr="00CA0AE3">
              <w:rPr>
                <w:b/>
                <w:sz w:val="16"/>
                <w:szCs w:val="16"/>
              </w:rPr>
              <w:t>O</w:t>
            </w:r>
          </w:p>
        </w:tc>
        <w:tc>
          <w:tcPr>
            <w:tcW w:w="463"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b/>
                <w:sz w:val="16"/>
                <w:szCs w:val="16"/>
              </w:rPr>
            </w:pPr>
            <w:r w:rsidRPr="00CA0AE3">
              <w:rPr>
                <w:b/>
                <w:sz w:val="16"/>
                <w:szCs w:val="16"/>
              </w:rPr>
              <w:t>O</w:t>
            </w:r>
          </w:p>
        </w:tc>
        <w:tc>
          <w:tcPr>
            <w:tcW w:w="426"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b/>
                <w:sz w:val="16"/>
                <w:szCs w:val="16"/>
              </w:rPr>
            </w:pPr>
            <w:r w:rsidRPr="00CA0AE3">
              <w:rPr>
                <w:b/>
                <w:sz w:val="16"/>
                <w:szCs w:val="16"/>
              </w:rPr>
              <w:t>O</w:t>
            </w:r>
          </w:p>
        </w:tc>
        <w:tc>
          <w:tcPr>
            <w:tcW w:w="431"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b/>
                <w:sz w:val="16"/>
                <w:szCs w:val="16"/>
              </w:rPr>
            </w:pPr>
            <w:r w:rsidRPr="00CA0AE3">
              <w:rPr>
                <w:b/>
                <w:sz w:val="16"/>
                <w:szCs w:val="16"/>
              </w:rPr>
              <w:t>O</w:t>
            </w:r>
          </w:p>
        </w:tc>
        <w:tc>
          <w:tcPr>
            <w:tcW w:w="431"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b/>
                <w:sz w:val="16"/>
                <w:szCs w:val="16"/>
              </w:rPr>
            </w:pPr>
            <w:r w:rsidRPr="00CA0AE3">
              <w:rPr>
                <w:b/>
                <w:sz w:val="16"/>
                <w:szCs w:val="16"/>
              </w:rPr>
              <w:t>O</w:t>
            </w:r>
          </w:p>
        </w:tc>
        <w:tc>
          <w:tcPr>
            <w:tcW w:w="567" w:type="pct"/>
            <w:tcBorders>
              <w:top w:val="single" w:sz="8" w:space="0" w:color="000000"/>
              <w:left w:val="single" w:sz="8" w:space="0" w:color="000000"/>
              <w:bottom w:val="single" w:sz="8" w:space="0" w:color="000000"/>
              <w:right w:val="single" w:sz="8" w:space="0" w:color="000000"/>
            </w:tcBorders>
            <w:vAlign w:val="center"/>
          </w:tcPr>
          <w:p w:rsidR="00CA2FE3" w:rsidRPr="00CA0AE3" w:rsidRDefault="00CA2FE3" w:rsidP="00D1633A">
            <w:pPr>
              <w:spacing w:after="0" w:line="240" w:lineRule="auto"/>
              <w:rPr>
                <w:rFonts w:eastAsia="Times New Roman"/>
                <w:sz w:val="16"/>
                <w:szCs w:val="16"/>
              </w:rPr>
            </w:pPr>
            <w:r w:rsidRPr="00CA0AE3">
              <w:rPr>
                <w:rFonts w:eastAsia="Times New Roman"/>
                <w:sz w:val="16"/>
                <w:szCs w:val="16"/>
              </w:rPr>
              <w:t>Target of 75% is NCQA 2014 Medical Home Standard.</w:t>
            </w:r>
          </w:p>
        </w:tc>
      </w:tr>
      <w:tr w:rsidR="00CA2FE3" w:rsidRPr="00CA0AE3" w:rsidTr="003C48F3">
        <w:trPr>
          <w:cantSplit/>
        </w:trPr>
        <w:tc>
          <w:tcPr>
            <w:tcW w:w="108" w:type="pct"/>
            <w:tcBorders>
              <w:top w:val="single" w:sz="8" w:space="0" w:color="000000"/>
              <w:left w:val="single" w:sz="8" w:space="0" w:color="000000"/>
              <w:bottom w:val="single" w:sz="8" w:space="0" w:color="000000"/>
              <w:right w:val="single" w:sz="8" w:space="0" w:color="000000"/>
            </w:tcBorders>
            <w:vAlign w:val="center"/>
          </w:tcPr>
          <w:p w:rsidR="00CA2FE3" w:rsidRPr="00CA0AE3" w:rsidRDefault="00CA2FE3" w:rsidP="00D1633A">
            <w:pPr>
              <w:pStyle w:val="Default"/>
              <w:jc w:val="center"/>
              <w:rPr>
                <w:color w:val="auto"/>
                <w:sz w:val="16"/>
                <w:szCs w:val="16"/>
              </w:rPr>
            </w:pPr>
            <w:r w:rsidRPr="00CA0AE3">
              <w:rPr>
                <w:color w:val="auto"/>
                <w:sz w:val="16"/>
                <w:szCs w:val="16"/>
              </w:rPr>
              <w:t>8</w:t>
            </w:r>
          </w:p>
        </w:tc>
        <w:tc>
          <w:tcPr>
            <w:tcW w:w="722"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tcPr>
          <w:p w:rsidR="00CA2FE3" w:rsidRPr="00CA0AE3" w:rsidRDefault="00CA2FE3" w:rsidP="00D1633A">
            <w:pPr>
              <w:autoSpaceDE w:val="0"/>
              <w:autoSpaceDN w:val="0"/>
              <w:adjustRightInd w:val="0"/>
              <w:spacing w:after="0" w:line="240" w:lineRule="auto"/>
              <w:rPr>
                <w:sz w:val="16"/>
                <w:szCs w:val="16"/>
              </w:rPr>
            </w:pPr>
            <w:r w:rsidRPr="00CA0AE3">
              <w:rPr>
                <w:sz w:val="16"/>
                <w:szCs w:val="16"/>
              </w:rPr>
              <w:t>Percentage of high risk diabetic primary care patients  receiving enhanced diabetes management services, including nursing-led patient</w:t>
            </w:r>
          </w:p>
          <w:p w:rsidR="00CA2FE3" w:rsidRPr="00CA0AE3" w:rsidRDefault="00CA2FE3" w:rsidP="00D1633A">
            <w:pPr>
              <w:pStyle w:val="Default"/>
              <w:rPr>
                <w:color w:val="auto"/>
                <w:sz w:val="16"/>
                <w:szCs w:val="16"/>
              </w:rPr>
            </w:pPr>
            <w:proofErr w:type="gramStart"/>
            <w:r w:rsidRPr="00CA0AE3">
              <w:rPr>
                <w:color w:val="auto"/>
                <w:sz w:val="16"/>
                <w:szCs w:val="16"/>
              </w:rPr>
              <w:t>education</w:t>
            </w:r>
            <w:proofErr w:type="gramEnd"/>
            <w:r w:rsidRPr="00CA0AE3">
              <w:rPr>
                <w:color w:val="auto"/>
                <w:sz w:val="16"/>
                <w:szCs w:val="16"/>
              </w:rPr>
              <w:t xml:space="preserve"> and self-management coaching, pharmacist-led medication management services, or other care team member support.</w:t>
            </w:r>
          </w:p>
        </w:tc>
        <w:tc>
          <w:tcPr>
            <w:tcW w:w="431"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sz w:val="16"/>
                <w:szCs w:val="16"/>
              </w:rPr>
            </w:pPr>
            <w:r w:rsidRPr="00CA0AE3">
              <w:rPr>
                <w:sz w:val="16"/>
                <w:szCs w:val="16"/>
              </w:rPr>
              <w:t>Customized Measure (denominator linked to NQF 0575)</w:t>
            </w:r>
          </w:p>
        </w:tc>
        <w:tc>
          <w:tcPr>
            <w:tcW w:w="463"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sz w:val="16"/>
                <w:szCs w:val="16"/>
              </w:rPr>
            </w:pPr>
            <w:r w:rsidRPr="00CA0AE3">
              <w:rPr>
                <w:sz w:val="16"/>
                <w:szCs w:val="16"/>
              </w:rPr>
              <w:t>No external benchmark; hospital specific improvement</w:t>
            </w:r>
          </w:p>
          <w:p w:rsidR="00CA2FE3" w:rsidRPr="00CA0AE3" w:rsidRDefault="00CA2FE3" w:rsidP="00D1633A">
            <w:pPr>
              <w:spacing w:after="0" w:line="240" w:lineRule="auto"/>
              <w:jc w:val="center"/>
              <w:rPr>
                <w:sz w:val="16"/>
                <w:szCs w:val="16"/>
              </w:rPr>
            </w:pPr>
            <w:r w:rsidRPr="00CA0AE3">
              <w:rPr>
                <w:sz w:val="16"/>
                <w:szCs w:val="16"/>
              </w:rPr>
              <w:t>target</w:t>
            </w:r>
          </w:p>
        </w:tc>
        <w:tc>
          <w:tcPr>
            <w:tcW w:w="560"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A2FE3" w:rsidRPr="00CA0AE3" w:rsidRDefault="00CA2FE3" w:rsidP="00D1633A">
            <w:pPr>
              <w:pStyle w:val="Default"/>
              <w:jc w:val="center"/>
              <w:rPr>
                <w:color w:val="auto"/>
                <w:sz w:val="16"/>
                <w:szCs w:val="16"/>
              </w:rPr>
            </w:pPr>
            <w:r w:rsidRPr="00CA0AE3">
              <w:rPr>
                <w:color w:val="auto"/>
                <w:sz w:val="16"/>
                <w:szCs w:val="16"/>
              </w:rPr>
              <w:t>Improvement over SFY 2018 baseline</w:t>
            </w:r>
          </w:p>
          <w:p w:rsidR="00CA2FE3" w:rsidRPr="00CA0AE3" w:rsidRDefault="00CA2FE3" w:rsidP="00D1633A">
            <w:pPr>
              <w:pStyle w:val="Default"/>
              <w:jc w:val="center"/>
              <w:rPr>
                <w:color w:val="auto"/>
                <w:sz w:val="16"/>
                <w:szCs w:val="16"/>
              </w:rPr>
            </w:pPr>
          </w:p>
          <w:p w:rsidR="00CA2FE3" w:rsidRPr="00CA0AE3" w:rsidRDefault="00CA2FE3" w:rsidP="00D1633A">
            <w:pPr>
              <w:pStyle w:val="Default"/>
              <w:rPr>
                <w:color w:val="auto"/>
                <w:sz w:val="16"/>
                <w:szCs w:val="16"/>
              </w:rPr>
            </w:pPr>
            <w:r w:rsidRPr="00CA0AE3">
              <w:rPr>
                <w:color w:val="auto"/>
                <w:sz w:val="16"/>
                <w:szCs w:val="16"/>
              </w:rPr>
              <w:t>SFY 19: Improve 2% over SFY 2018 baseline</w:t>
            </w:r>
          </w:p>
          <w:p w:rsidR="00CA2FE3" w:rsidRPr="00CA0AE3" w:rsidRDefault="00CA2FE3" w:rsidP="00D1633A">
            <w:pPr>
              <w:pStyle w:val="Default"/>
              <w:rPr>
                <w:color w:val="auto"/>
                <w:sz w:val="16"/>
                <w:szCs w:val="16"/>
              </w:rPr>
            </w:pPr>
            <w:r w:rsidRPr="00CA0AE3">
              <w:rPr>
                <w:color w:val="auto"/>
                <w:sz w:val="16"/>
                <w:szCs w:val="16"/>
              </w:rPr>
              <w:t>SFY 20:  Improve 4% over SFY 2018 baseline</w:t>
            </w:r>
          </w:p>
          <w:p w:rsidR="00CA2FE3" w:rsidRPr="00CA0AE3" w:rsidRDefault="00CA2FE3" w:rsidP="00D1633A">
            <w:pPr>
              <w:pStyle w:val="Default"/>
              <w:rPr>
                <w:color w:val="auto"/>
                <w:sz w:val="16"/>
                <w:szCs w:val="16"/>
              </w:rPr>
            </w:pPr>
            <w:r w:rsidRPr="00CA0AE3">
              <w:rPr>
                <w:color w:val="auto"/>
                <w:sz w:val="16"/>
                <w:szCs w:val="16"/>
              </w:rPr>
              <w:t>SFY 21:  Improve 6% over SFY 2018 baseline</w:t>
            </w:r>
          </w:p>
          <w:p w:rsidR="00CA2FE3" w:rsidRPr="00CA0AE3" w:rsidRDefault="00CA2FE3" w:rsidP="00D1633A">
            <w:pPr>
              <w:pStyle w:val="Default"/>
              <w:rPr>
                <w:color w:val="auto"/>
                <w:sz w:val="16"/>
                <w:szCs w:val="16"/>
              </w:rPr>
            </w:pPr>
            <w:r w:rsidRPr="00CA0AE3">
              <w:rPr>
                <w:color w:val="auto"/>
                <w:sz w:val="16"/>
                <w:szCs w:val="16"/>
              </w:rPr>
              <w:t>SFY 22:  Improve 8% over SFY 2018 baseline</w:t>
            </w:r>
          </w:p>
        </w:tc>
        <w:tc>
          <w:tcPr>
            <w:tcW w:w="398"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b/>
                <w:sz w:val="16"/>
                <w:szCs w:val="16"/>
              </w:rPr>
            </w:pPr>
            <w:r w:rsidRPr="00CA0AE3">
              <w:rPr>
                <w:b/>
                <w:sz w:val="16"/>
                <w:szCs w:val="16"/>
              </w:rPr>
              <w:t>B</w:t>
            </w:r>
          </w:p>
        </w:tc>
        <w:tc>
          <w:tcPr>
            <w:tcW w:w="463"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b/>
                <w:sz w:val="16"/>
                <w:szCs w:val="16"/>
              </w:rPr>
            </w:pPr>
            <w:r w:rsidRPr="00CA0AE3">
              <w:rPr>
                <w:b/>
                <w:sz w:val="16"/>
                <w:szCs w:val="16"/>
              </w:rPr>
              <w:t>O</w:t>
            </w:r>
          </w:p>
        </w:tc>
        <w:tc>
          <w:tcPr>
            <w:tcW w:w="426"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b/>
                <w:sz w:val="16"/>
                <w:szCs w:val="16"/>
              </w:rPr>
            </w:pPr>
            <w:r w:rsidRPr="00CA0AE3">
              <w:rPr>
                <w:b/>
                <w:sz w:val="16"/>
                <w:szCs w:val="16"/>
              </w:rPr>
              <w:t>O</w:t>
            </w:r>
          </w:p>
        </w:tc>
        <w:tc>
          <w:tcPr>
            <w:tcW w:w="431"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b/>
                <w:sz w:val="16"/>
                <w:szCs w:val="16"/>
              </w:rPr>
            </w:pPr>
            <w:r w:rsidRPr="00CA0AE3">
              <w:rPr>
                <w:b/>
                <w:sz w:val="16"/>
                <w:szCs w:val="16"/>
              </w:rPr>
              <w:t>O</w:t>
            </w:r>
          </w:p>
        </w:tc>
        <w:tc>
          <w:tcPr>
            <w:tcW w:w="431"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b/>
                <w:sz w:val="16"/>
                <w:szCs w:val="16"/>
              </w:rPr>
            </w:pPr>
            <w:r w:rsidRPr="00CA0AE3">
              <w:rPr>
                <w:b/>
                <w:sz w:val="16"/>
                <w:szCs w:val="16"/>
              </w:rPr>
              <w:t>O</w:t>
            </w:r>
          </w:p>
        </w:tc>
        <w:tc>
          <w:tcPr>
            <w:tcW w:w="567" w:type="pct"/>
            <w:tcBorders>
              <w:top w:val="single" w:sz="8" w:space="0" w:color="000000"/>
              <w:left w:val="single" w:sz="8" w:space="0" w:color="000000"/>
              <w:bottom w:val="single" w:sz="8" w:space="0" w:color="000000"/>
              <w:right w:val="single" w:sz="8" w:space="0" w:color="000000"/>
            </w:tcBorders>
            <w:vAlign w:val="center"/>
          </w:tcPr>
          <w:p w:rsidR="00CA2FE3" w:rsidRPr="00CA0AE3" w:rsidRDefault="00CA2FE3" w:rsidP="00D1633A">
            <w:pPr>
              <w:spacing w:after="0" w:line="240" w:lineRule="auto"/>
              <w:rPr>
                <w:rFonts w:eastAsia="Times New Roman"/>
                <w:sz w:val="16"/>
                <w:szCs w:val="16"/>
              </w:rPr>
            </w:pPr>
            <w:r w:rsidRPr="00CA0AE3">
              <w:rPr>
                <w:rFonts w:eastAsia="Times New Roman"/>
                <w:sz w:val="16"/>
                <w:szCs w:val="16"/>
              </w:rPr>
              <w:t xml:space="preserve">Target reflects roll-out implementation </w:t>
            </w:r>
            <w:r w:rsidRPr="00CA0AE3">
              <w:rPr>
                <w:sz w:val="16"/>
                <w:szCs w:val="16"/>
              </w:rPr>
              <w:t>and capacity for new workflows.</w:t>
            </w:r>
          </w:p>
        </w:tc>
      </w:tr>
      <w:tr w:rsidR="00CA2FE3" w:rsidRPr="00CA0AE3" w:rsidTr="003C48F3">
        <w:trPr>
          <w:cantSplit/>
        </w:trPr>
        <w:tc>
          <w:tcPr>
            <w:tcW w:w="108" w:type="pct"/>
            <w:tcBorders>
              <w:top w:val="single" w:sz="8" w:space="0" w:color="000000"/>
              <w:left w:val="single" w:sz="8" w:space="0" w:color="000000"/>
              <w:bottom w:val="single" w:sz="8" w:space="0" w:color="000000"/>
              <w:right w:val="single" w:sz="8" w:space="0" w:color="000000"/>
            </w:tcBorders>
            <w:vAlign w:val="center"/>
          </w:tcPr>
          <w:p w:rsidR="00CA2FE3" w:rsidRPr="00CA0AE3" w:rsidRDefault="00CA2FE3" w:rsidP="00D1633A">
            <w:pPr>
              <w:spacing w:after="0" w:line="240" w:lineRule="auto"/>
              <w:rPr>
                <w:rFonts w:eastAsia="Times New Roman"/>
                <w:sz w:val="16"/>
                <w:szCs w:val="16"/>
              </w:rPr>
            </w:pPr>
          </w:p>
        </w:tc>
        <w:tc>
          <w:tcPr>
            <w:tcW w:w="722" w:type="pct"/>
            <w:tcBorders>
              <w:top w:val="single" w:sz="8" w:space="0" w:color="000000"/>
              <w:left w:val="single" w:sz="8" w:space="0" w:color="000000"/>
              <w:bottom w:val="single" w:sz="8" w:space="0" w:color="000000"/>
              <w:right w:val="single" w:sz="8" w:space="0" w:color="000000"/>
            </w:tcBorders>
            <w:vAlign w:val="center"/>
          </w:tcPr>
          <w:p w:rsidR="00CA2FE3" w:rsidRPr="00CA0AE3" w:rsidRDefault="00CA2FE3" w:rsidP="00D1633A">
            <w:pPr>
              <w:spacing w:after="0" w:line="240" w:lineRule="auto"/>
              <w:rPr>
                <w:rFonts w:eastAsia="Times New Roman"/>
                <w:b/>
                <w:sz w:val="16"/>
                <w:szCs w:val="16"/>
              </w:rPr>
            </w:pPr>
            <w:r w:rsidRPr="00CA0AE3">
              <w:rPr>
                <w:b/>
                <w:sz w:val="16"/>
                <w:szCs w:val="16"/>
              </w:rPr>
              <w:t>Hypertension (HTN)</w:t>
            </w:r>
          </w:p>
        </w:tc>
        <w:tc>
          <w:tcPr>
            <w:tcW w:w="431" w:type="pct"/>
            <w:tcBorders>
              <w:top w:val="single" w:sz="8" w:space="0" w:color="000000"/>
              <w:left w:val="single" w:sz="8" w:space="0" w:color="000000"/>
              <w:bottom w:val="single" w:sz="8" w:space="0" w:color="000000"/>
              <w:right w:val="single" w:sz="8" w:space="0" w:color="000000"/>
            </w:tcBorders>
            <w:vAlign w:val="center"/>
          </w:tcPr>
          <w:p w:rsidR="00CA2FE3" w:rsidRPr="00CA0AE3" w:rsidRDefault="00CA2FE3" w:rsidP="00D1633A">
            <w:pPr>
              <w:spacing w:after="0" w:line="240" w:lineRule="auto"/>
              <w:rPr>
                <w:rFonts w:eastAsia="Times New Roman"/>
                <w:b/>
                <w:sz w:val="16"/>
                <w:szCs w:val="16"/>
              </w:rPr>
            </w:pPr>
          </w:p>
        </w:tc>
        <w:tc>
          <w:tcPr>
            <w:tcW w:w="463" w:type="pct"/>
            <w:tcBorders>
              <w:top w:val="single" w:sz="8" w:space="0" w:color="000000"/>
              <w:left w:val="single" w:sz="8" w:space="0" w:color="000000"/>
              <w:bottom w:val="single" w:sz="8" w:space="0" w:color="000000"/>
              <w:right w:val="single" w:sz="8" w:space="0" w:color="000000"/>
            </w:tcBorders>
            <w:vAlign w:val="center"/>
          </w:tcPr>
          <w:p w:rsidR="00CA2FE3" w:rsidRPr="00CA0AE3" w:rsidRDefault="00CA2FE3" w:rsidP="00D1633A">
            <w:pPr>
              <w:spacing w:after="0" w:line="240" w:lineRule="auto"/>
              <w:rPr>
                <w:rFonts w:eastAsia="Times New Roman"/>
                <w:b/>
                <w:sz w:val="16"/>
                <w:szCs w:val="16"/>
              </w:rPr>
            </w:pPr>
          </w:p>
        </w:tc>
        <w:tc>
          <w:tcPr>
            <w:tcW w:w="560" w:type="pct"/>
            <w:tcBorders>
              <w:top w:val="single" w:sz="8" w:space="0" w:color="000000"/>
              <w:left w:val="single" w:sz="8" w:space="0" w:color="000000"/>
              <w:bottom w:val="single" w:sz="8" w:space="0" w:color="000000"/>
              <w:right w:val="single" w:sz="8" w:space="0" w:color="000000"/>
            </w:tcBorders>
            <w:vAlign w:val="center"/>
          </w:tcPr>
          <w:p w:rsidR="00CA2FE3" w:rsidRPr="00CA0AE3" w:rsidRDefault="00CA2FE3" w:rsidP="00D1633A">
            <w:pPr>
              <w:spacing w:after="0" w:line="240" w:lineRule="auto"/>
              <w:rPr>
                <w:rFonts w:eastAsia="Times New Roman"/>
                <w:b/>
                <w:sz w:val="16"/>
                <w:szCs w:val="16"/>
              </w:rPr>
            </w:pPr>
          </w:p>
        </w:tc>
        <w:tc>
          <w:tcPr>
            <w:tcW w:w="398" w:type="pct"/>
            <w:tcBorders>
              <w:top w:val="single" w:sz="8" w:space="0" w:color="000000"/>
              <w:left w:val="single" w:sz="8" w:space="0" w:color="000000"/>
              <w:bottom w:val="single" w:sz="8" w:space="0" w:color="000000"/>
              <w:right w:val="single" w:sz="8" w:space="0" w:color="000000"/>
            </w:tcBorders>
            <w:vAlign w:val="center"/>
          </w:tcPr>
          <w:p w:rsidR="00CA2FE3" w:rsidRPr="00CA0AE3" w:rsidRDefault="00CA2FE3" w:rsidP="00D1633A">
            <w:pPr>
              <w:spacing w:after="0" w:line="240" w:lineRule="auto"/>
              <w:rPr>
                <w:rFonts w:eastAsia="Times New Roman"/>
                <w:b/>
                <w:sz w:val="16"/>
                <w:szCs w:val="16"/>
              </w:rPr>
            </w:pPr>
          </w:p>
        </w:tc>
        <w:tc>
          <w:tcPr>
            <w:tcW w:w="463" w:type="pct"/>
            <w:tcBorders>
              <w:top w:val="single" w:sz="8" w:space="0" w:color="000000"/>
              <w:left w:val="single" w:sz="8" w:space="0" w:color="000000"/>
              <w:bottom w:val="single" w:sz="8" w:space="0" w:color="000000"/>
              <w:right w:val="single" w:sz="8" w:space="0" w:color="000000"/>
            </w:tcBorders>
            <w:vAlign w:val="center"/>
          </w:tcPr>
          <w:p w:rsidR="00CA2FE3" w:rsidRPr="00CA0AE3" w:rsidRDefault="00CA2FE3" w:rsidP="00D1633A">
            <w:pPr>
              <w:spacing w:after="0" w:line="240" w:lineRule="auto"/>
              <w:rPr>
                <w:rFonts w:eastAsia="Times New Roman"/>
                <w:b/>
                <w:sz w:val="16"/>
                <w:szCs w:val="16"/>
              </w:rPr>
            </w:pPr>
          </w:p>
        </w:tc>
        <w:tc>
          <w:tcPr>
            <w:tcW w:w="426" w:type="pct"/>
            <w:tcBorders>
              <w:top w:val="single" w:sz="8" w:space="0" w:color="000000"/>
              <w:left w:val="single" w:sz="8" w:space="0" w:color="000000"/>
              <w:bottom w:val="single" w:sz="8" w:space="0" w:color="000000"/>
              <w:right w:val="single" w:sz="8" w:space="0" w:color="000000"/>
            </w:tcBorders>
            <w:vAlign w:val="center"/>
          </w:tcPr>
          <w:p w:rsidR="00CA2FE3" w:rsidRPr="00CA0AE3" w:rsidRDefault="00CA2FE3" w:rsidP="00D1633A">
            <w:pPr>
              <w:spacing w:after="0" w:line="240" w:lineRule="auto"/>
              <w:rPr>
                <w:rFonts w:eastAsia="Times New Roman"/>
                <w:b/>
                <w:sz w:val="16"/>
                <w:szCs w:val="16"/>
              </w:rPr>
            </w:pPr>
          </w:p>
        </w:tc>
        <w:tc>
          <w:tcPr>
            <w:tcW w:w="431" w:type="pct"/>
            <w:tcBorders>
              <w:top w:val="single" w:sz="8" w:space="0" w:color="000000"/>
              <w:left w:val="single" w:sz="8" w:space="0" w:color="000000"/>
              <w:bottom w:val="single" w:sz="8" w:space="0" w:color="000000"/>
              <w:right w:val="single" w:sz="8" w:space="0" w:color="000000"/>
            </w:tcBorders>
            <w:vAlign w:val="center"/>
          </w:tcPr>
          <w:p w:rsidR="00CA2FE3" w:rsidRPr="00CA0AE3" w:rsidRDefault="00CA2FE3" w:rsidP="00D1633A">
            <w:pPr>
              <w:spacing w:after="0" w:line="240" w:lineRule="auto"/>
              <w:rPr>
                <w:rFonts w:eastAsia="Times New Roman"/>
                <w:b/>
                <w:sz w:val="16"/>
                <w:szCs w:val="16"/>
              </w:rPr>
            </w:pPr>
          </w:p>
        </w:tc>
        <w:tc>
          <w:tcPr>
            <w:tcW w:w="431" w:type="pct"/>
            <w:tcBorders>
              <w:top w:val="single" w:sz="8" w:space="0" w:color="000000"/>
              <w:left w:val="single" w:sz="8" w:space="0" w:color="000000"/>
              <w:bottom w:val="single" w:sz="8" w:space="0" w:color="000000"/>
              <w:right w:val="single" w:sz="8" w:space="0" w:color="000000"/>
            </w:tcBorders>
            <w:vAlign w:val="center"/>
          </w:tcPr>
          <w:p w:rsidR="00CA2FE3" w:rsidRPr="00CA0AE3" w:rsidRDefault="00CA2FE3" w:rsidP="00D1633A">
            <w:pPr>
              <w:spacing w:after="0" w:line="240" w:lineRule="auto"/>
              <w:rPr>
                <w:rFonts w:eastAsia="Times New Roman"/>
                <w:b/>
                <w:sz w:val="16"/>
                <w:szCs w:val="16"/>
              </w:rPr>
            </w:pPr>
          </w:p>
        </w:tc>
        <w:tc>
          <w:tcPr>
            <w:tcW w:w="567" w:type="pct"/>
            <w:tcBorders>
              <w:top w:val="single" w:sz="8" w:space="0" w:color="000000"/>
              <w:left w:val="single" w:sz="8" w:space="0" w:color="000000"/>
              <w:bottom w:val="single" w:sz="8" w:space="0" w:color="000000"/>
              <w:right w:val="single" w:sz="8" w:space="0" w:color="000000"/>
            </w:tcBorders>
            <w:vAlign w:val="center"/>
          </w:tcPr>
          <w:p w:rsidR="00CA2FE3" w:rsidRPr="00CA0AE3" w:rsidRDefault="00CA2FE3" w:rsidP="00D1633A">
            <w:pPr>
              <w:spacing w:after="0" w:line="240" w:lineRule="auto"/>
              <w:rPr>
                <w:rFonts w:eastAsia="Times New Roman"/>
                <w:b/>
                <w:sz w:val="16"/>
                <w:szCs w:val="16"/>
              </w:rPr>
            </w:pPr>
          </w:p>
        </w:tc>
      </w:tr>
      <w:tr w:rsidR="00CA2FE3" w:rsidRPr="00CA0AE3" w:rsidTr="003C48F3">
        <w:trPr>
          <w:cantSplit/>
        </w:trPr>
        <w:tc>
          <w:tcPr>
            <w:tcW w:w="108" w:type="pct"/>
            <w:tcBorders>
              <w:top w:val="single" w:sz="8" w:space="0" w:color="000000"/>
              <w:left w:val="single" w:sz="8" w:space="0" w:color="000000"/>
              <w:bottom w:val="single" w:sz="8" w:space="0" w:color="000000"/>
              <w:right w:val="single" w:sz="8" w:space="0" w:color="000000"/>
            </w:tcBorders>
            <w:vAlign w:val="center"/>
          </w:tcPr>
          <w:p w:rsidR="00CA2FE3" w:rsidRPr="00CA0AE3" w:rsidRDefault="00CA2FE3" w:rsidP="00D1633A">
            <w:pPr>
              <w:pStyle w:val="Default"/>
              <w:jc w:val="center"/>
              <w:rPr>
                <w:color w:val="auto"/>
                <w:sz w:val="16"/>
                <w:szCs w:val="16"/>
              </w:rPr>
            </w:pPr>
            <w:r w:rsidRPr="00CA0AE3">
              <w:rPr>
                <w:color w:val="auto"/>
                <w:sz w:val="16"/>
                <w:szCs w:val="16"/>
              </w:rPr>
              <w:lastRenderedPageBreak/>
              <w:t>9</w:t>
            </w:r>
          </w:p>
        </w:tc>
        <w:tc>
          <w:tcPr>
            <w:tcW w:w="722"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A2FE3" w:rsidRPr="00CA0AE3" w:rsidRDefault="00CA2FE3" w:rsidP="00D1633A">
            <w:pPr>
              <w:autoSpaceDE w:val="0"/>
              <w:autoSpaceDN w:val="0"/>
              <w:adjustRightInd w:val="0"/>
              <w:spacing w:after="0" w:line="240" w:lineRule="auto"/>
              <w:rPr>
                <w:sz w:val="16"/>
                <w:szCs w:val="16"/>
              </w:rPr>
            </w:pPr>
            <w:r w:rsidRPr="00CA0AE3">
              <w:rPr>
                <w:sz w:val="16"/>
                <w:szCs w:val="16"/>
              </w:rPr>
              <w:t>Percentage of high risk hypertensive primary care patients receiving enhanced hypertension management services, including nursing-led patient</w:t>
            </w:r>
          </w:p>
          <w:p w:rsidR="00CA2FE3" w:rsidRPr="00CA0AE3" w:rsidRDefault="00CA2FE3" w:rsidP="00D1633A">
            <w:pPr>
              <w:pStyle w:val="Default"/>
              <w:rPr>
                <w:color w:val="auto"/>
                <w:sz w:val="16"/>
                <w:szCs w:val="16"/>
              </w:rPr>
            </w:pPr>
            <w:proofErr w:type="gramStart"/>
            <w:r w:rsidRPr="00CA0AE3">
              <w:rPr>
                <w:color w:val="auto"/>
                <w:sz w:val="16"/>
                <w:szCs w:val="16"/>
              </w:rPr>
              <w:t>education</w:t>
            </w:r>
            <w:proofErr w:type="gramEnd"/>
            <w:r w:rsidRPr="00CA0AE3">
              <w:rPr>
                <w:color w:val="auto"/>
                <w:sz w:val="16"/>
                <w:szCs w:val="16"/>
              </w:rPr>
              <w:t xml:space="preserve"> and self-management coaching, pharmacist-led medication management services, or other care team member support.</w:t>
            </w:r>
          </w:p>
        </w:tc>
        <w:tc>
          <w:tcPr>
            <w:tcW w:w="431"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sz w:val="16"/>
                <w:szCs w:val="16"/>
              </w:rPr>
            </w:pPr>
            <w:r w:rsidRPr="00CA0AE3">
              <w:rPr>
                <w:sz w:val="16"/>
                <w:szCs w:val="16"/>
              </w:rPr>
              <w:t>Customized Measure</w:t>
            </w:r>
          </w:p>
        </w:tc>
        <w:tc>
          <w:tcPr>
            <w:tcW w:w="463"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sz w:val="16"/>
                <w:szCs w:val="16"/>
              </w:rPr>
            </w:pPr>
            <w:r w:rsidRPr="00CA0AE3">
              <w:rPr>
                <w:sz w:val="16"/>
                <w:szCs w:val="16"/>
              </w:rPr>
              <w:t>No external benchmark; hospital specific improvement</w:t>
            </w:r>
          </w:p>
          <w:p w:rsidR="00CA2FE3" w:rsidRPr="00CA0AE3" w:rsidRDefault="00CA2FE3" w:rsidP="00D1633A">
            <w:pPr>
              <w:spacing w:after="0" w:line="240" w:lineRule="auto"/>
              <w:jc w:val="center"/>
              <w:rPr>
                <w:sz w:val="16"/>
                <w:szCs w:val="16"/>
              </w:rPr>
            </w:pPr>
            <w:r w:rsidRPr="00CA0AE3">
              <w:rPr>
                <w:sz w:val="16"/>
                <w:szCs w:val="16"/>
              </w:rPr>
              <w:t>target</w:t>
            </w:r>
          </w:p>
        </w:tc>
        <w:tc>
          <w:tcPr>
            <w:tcW w:w="560"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A2FE3" w:rsidRPr="00CA0AE3" w:rsidRDefault="00CA2FE3" w:rsidP="00D1633A">
            <w:pPr>
              <w:pStyle w:val="Default"/>
              <w:jc w:val="center"/>
              <w:rPr>
                <w:color w:val="auto"/>
                <w:sz w:val="16"/>
                <w:szCs w:val="16"/>
              </w:rPr>
            </w:pPr>
            <w:r w:rsidRPr="00CA0AE3">
              <w:rPr>
                <w:color w:val="auto"/>
                <w:sz w:val="16"/>
                <w:szCs w:val="16"/>
              </w:rPr>
              <w:t>Improvement over SFY 2018 baseline</w:t>
            </w:r>
          </w:p>
          <w:p w:rsidR="00CA2FE3" w:rsidRPr="00CA0AE3" w:rsidRDefault="00CA2FE3" w:rsidP="00D1633A">
            <w:pPr>
              <w:pStyle w:val="Default"/>
              <w:jc w:val="center"/>
              <w:rPr>
                <w:color w:val="auto"/>
                <w:sz w:val="16"/>
                <w:szCs w:val="16"/>
              </w:rPr>
            </w:pPr>
          </w:p>
          <w:p w:rsidR="00CA2FE3" w:rsidRPr="00CA0AE3" w:rsidRDefault="00CA2FE3" w:rsidP="00D1633A">
            <w:pPr>
              <w:pStyle w:val="Default"/>
              <w:rPr>
                <w:color w:val="auto"/>
                <w:sz w:val="16"/>
                <w:szCs w:val="16"/>
              </w:rPr>
            </w:pPr>
            <w:r w:rsidRPr="00CA0AE3">
              <w:rPr>
                <w:color w:val="auto"/>
                <w:sz w:val="16"/>
                <w:szCs w:val="16"/>
              </w:rPr>
              <w:t>SFY 19: Improve 2% over SFY 2018 baseline</w:t>
            </w:r>
          </w:p>
          <w:p w:rsidR="00CA2FE3" w:rsidRPr="00CA0AE3" w:rsidRDefault="00CA2FE3" w:rsidP="00D1633A">
            <w:pPr>
              <w:pStyle w:val="Default"/>
              <w:rPr>
                <w:color w:val="auto"/>
                <w:sz w:val="16"/>
                <w:szCs w:val="16"/>
              </w:rPr>
            </w:pPr>
            <w:r w:rsidRPr="00CA0AE3">
              <w:rPr>
                <w:color w:val="auto"/>
                <w:sz w:val="16"/>
                <w:szCs w:val="16"/>
              </w:rPr>
              <w:t>SFY 20:  Improve 4% over SFY 2018 baseline</w:t>
            </w:r>
          </w:p>
          <w:p w:rsidR="00CA2FE3" w:rsidRPr="00CA0AE3" w:rsidRDefault="00CA2FE3" w:rsidP="00D1633A">
            <w:pPr>
              <w:pStyle w:val="Default"/>
              <w:rPr>
                <w:color w:val="auto"/>
                <w:sz w:val="16"/>
                <w:szCs w:val="16"/>
              </w:rPr>
            </w:pPr>
            <w:r w:rsidRPr="00CA0AE3">
              <w:rPr>
                <w:color w:val="auto"/>
                <w:sz w:val="16"/>
                <w:szCs w:val="16"/>
              </w:rPr>
              <w:t>SFY 21:  Improve 6% over SFY 2018 baseline</w:t>
            </w:r>
          </w:p>
          <w:p w:rsidR="00CA2FE3" w:rsidRPr="00CA0AE3" w:rsidRDefault="00CA2FE3" w:rsidP="00D1633A">
            <w:pPr>
              <w:pStyle w:val="Default"/>
              <w:rPr>
                <w:color w:val="auto"/>
                <w:sz w:val="16"/>
                <w:szCs w:val="16"/>
              </w:rPr>
            </w:pPr>
            <w:r w:rsidRPr="00CA0AE3">
              <w:rPr>
                <w:color w:val="auto"/>
                <w:sz w:val="16"/>
                <w:szCs w:val="16"/>
              </w:rPr>
              <w:t>SFY 22:  Improve 8% over SFY 2018 baseline</w:t>
            </w:r>
          </w:p>
        </w:tc>
        <w:tc>
          <w:tcPr>
            <w:tcW w:w="398"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b/>
                <w:sz w:val="16"/>
                <w:szCs w:val="16"/>
              </w:rPr>
            </w:pPr>
            <w:r w:rsidRPr="00CA0AE3">
              <w:rPr>
                <w:b/>
                <w:sz w:val="16"/>
                <w:szCs w:val="16"/>
              </w:rPr>
              <w:t>B</w:t>
            </w:r>
          </w:p>
        </w:tc>
        <w:tc>
          <w:tcPr>
            <w:tcW w:w="463"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b/>
                <w:sz w:val="16"/>
                <w:szCs w:val="16"/>
              </w:rPr>
            </w:pPr>
            <w:r w:rsidRPr="00CA0AE3">
              <w:rPr>
                <w:b/>
                <w:sz w:val="16"/>
                <w:szCs w:val="16"/>
              </w:rPr>
              <w:t>O</w:t>
            </w:r>
          </w:p>
        </w:tc>
        <w:tc>
          <w:tcPr>
            <w:tcW w:w="426"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b/>
                <w:sz w:val="16"/>
                <w:szCs w:val="16"/>
              </w:rPr>
            </w:pPr>
            <w:r w:rsidRPr="00CA0AE3">
              <w:rPr>
                <w:b/>
                <w:sz w:val="16"/>
                <w:szCs w:val="16"/>
              </w:rPr>
              <w:t>O</w:t>
            </w:r>
          </w:p>
        </w:tc>
        <w:tc>
          <w:tcPr>
            <w:tcW w:w="431"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b/>
                <w:sz w:val="16"/>
                <w:szCs w:val="16"/>
              </w:rPr>
            </w:pPr>
            <w:r w:rsidRPr="00CA0AE3">
              <w:rPr>
                <w:b/>
                <w:sz w:val="16"/>
                <w:szCs w:val="16"/>
              </w:rPr>
              <w:t>O</w:t>
            </w:r>
          </w:p>
        </w:tc>
        <w:tc>
          <w:tcPr>
            <w:tcW w:w="431"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b/>
                <w:sz w:val="16"/>
                <w:szCs w:val="16"/>
              </w:rPr>
            </w:pPr>
            <w:r w:rsidRPr="00CA0AE3">
              <w:rPr>
                <w:b/>
                <w:sz w:val="16"/>
                <w:szCs w:val="16"/>
              </w:rPr>
              <w:t>O</w:t>
            </w:r>
          </w:p>
        </w:tc>
        <w:tc>
          <w:tcPr>
            <w:tcW w:w="567" w:type="pct"/>
            <w:tcBorders>
              <w:top w:val="single" w:sz="8" w:space="0" w:color="000000"/>
              <w:left w:val="single" w:sz="8" w:space="0" w:color="000000"/>
              <w:bottom w:val="single" w:sz="8" w:space="0" w:color="000000"/>
              <w:right w:val="single" w:sz="8" w:space="0" w:color="000000"/>
            </w:tcBorders>
            <w:vAlign w:val="center"/>
          </w:tcPr>
          <w:p w:rsidR="00CA2FE3" w:rsidRPr="00CA0AE3" w:rsidRDefault="00CA2FE3" w:rsidP="00D1633A">
            <w:pPr>
              <w:spacing w:after="0" w:line="240" w:lineRule="auto"/>
              <w:rPr>
                <w:rFonts w:eastAsia="Times New Roman"/>
                <w:sz w:val="16"/>
                <w:szCs w:val="16"/>
              </w:rPr>
            </w:pPr>
            <w:r w:rsidRPr="00CA0AE3">
              <w:rPr>
                <w:rFonts w:eastAsia="Times New Roman"/>
                <w:sz w:val="16"/>
                <w:szCs w:val="16"/>
              </w:rPr>
              <w:t xml:space="preserve">Target reflects roll-out implementation </w:t>
            </w:r>
            <w:r w:rsidRPr="00CA0AE3">
              <w:rPr>
                <w:sz w:val="16"/>
                <w:szCs w:val="16"/>
              </w:rPr>
              <w:t>and capacity for new workflows.</w:t>
            </w:r>
          </w:p>
        </w:tc>
      </w:tr>
      <w:tr w:rsidR="00CA2FE3" w:rsidRPr="00CA0AE3" w:rsidTr="003C48F3">
        <w:trPr>
          <w:cantSplit/>
        </w:trPr>
        <w:tc>
          <w:tcPr>
            <w:tcW w:w="108" w:type="pct"/>
            <w:tcBorders>
              <w:top w:val="single" w:sz="8" w:space="0" w:color="000000"/>
              <w:left w:val="single" w:sz="8" w:space="0" w:color="000000"/>
              <w:bottom w:val="single" w:sz="8" w:space="0" w:color="000000"/>
              <w:right w:val="single" w:sz="8" w:space="0" w:color="000000"/>
            </w:tcBorders>
            <w:vAlign w:val="center"/>
          </w:tcPr>
          <w:p w:rsidR="00CA2FE3" w:rsidRPr="00CA0AE3" w:rsidRDefault="00CA2FE3" w:rsidP="00D1633A">
            <w:pPr>
              <w:spacing w:after="0" w:line="240" w:lineRule="auto"/>
              <w:rPr>
                <w:rFonts w:eastAsia="Times New Roman"/>
                <w:sz w:val="16"/>
                <w:szCs w:val="16"/>
              </w:rPr>
            </w:pPr>
          </w:p>
        </w:tc>
        <w:tc>
          <w:tcPr>
            <w:tcW w:w="722" w:type="pct"/>
            <w:tcBorders>
              <w:top w:val="single" w:sz="8" w:space="0" w:color="000000"/>
              <w:left w:val="single" w:sz="8" w:space="0" w:color="000000"/>
              <w:bottom w:val="single" w:sz="8" w:space="0" w:color="000000"/>
              <w:right w:val="single" w:sz="8" w:space="0" w:color="000000"/>
            </w:tcBorders>
            <w:vAlign w:val="center"/>
          </w:tcPr>
          <w:p w:rsidR="00CA2FE3" w:rsidRPr="00CA0AE3" w:rsidRDefault="00CA2FE3" w:rsidP="00D1633A">
            <w:pPr>
              <w:spacing w:after="0" w:line="240" w:lineRule="auto"/>
              <w:rPr>
                <w:rFonts w:eastAsia="Times New Roman"/>
                <w:b/>
                <w:sz w:val="16"/>
                <w:szCs w:val="16"/>
              </w:rPr>
            </w:pPr>
            <w:r w:rsidRPr="00CA0AE3">
              <w:rPr>
                <w:b/>
                <w:sz w:val="16"/>
                <w:szCs w:val="16"/>
              </w:rPr>
              <w:t>Composite Measures</w:t>
            </w:r>
          </w:p>
        </w:tc>
        <w:tc>
          <w:tcPr>
            <w:tcW w:w="431" w:type="pct"/>
            <w:tcBorders>
              <w:top w:val="single" w:sz="8" w:space="0" w:color="000000"/>
              <w:left w:val="single" w:sz="8" w:space="0" w:color="000000"/>
              <w:bottom w:val="single" w:sz="8" w:space="0" w:color="000000"/>
              <w:right w:val="single" w:sz="8" w:space="0" w:color="000000"/>
            </w:tcBorders>
            <w:vAlign w:val="center"/>
          </w:tcPr>
          <w:p w:rsidR="00CA2FE3" w:rsidRPr="00CA0AE3" w:rsidRDefault="00CA2FE3" w:rsidP="00D1633A">
            <w:pPr>
              <w:spacing w:after="0" w:line="240" w:lineRule="auto"/>
              <w:rPr>
                <w:rFonts w:eastAsia="Times New Roman"/>
                <w:b/>
                <w:sz w:val="16"/>
                <w:szCs w:val="16"/>
              </w:rPr>
            </w:pPr>
          </w:p>
        </w:tc>
        <w:tc>
          <w:tcPr>
            <w:tcW w:w="463" w:type="pct"/>
            <w:tcBorders>
              <w:top w:val="single" w:sz="8" w:space="0" w:color="000000"/>
              <w:left w:val="single" w:sz="8" w:space="0" w:color="000000"/>
              <w:bottom w:val="single" w:sz="8" w:space="0" w:color="000000"/>
              <w:right w:val="single" w:sz="8" w:space="0" w:color="000000"/>
            </w:tcBorders>
            <w:vAlign w:val="center"/>
          </w:tcPr>
          <w:p w:rsidR="00CA2FE3" w:rsidRPr="00CA0AE3" w:rsidRDefault="00CA2FE3" w:rsidP="00D1633A">
            <w:pPr>
              <w:spacing w:after="0" w:line="240" w:lineRule="auto"/>
              <w:rPr>
                <w:rFonts w:eastAsia="Times New Roman"/>
                <w:b/>
                <w:sz w:val="16"/>
                <w:szCs w:val="16"/>
              </w:rPr>
            </w:pPr>
          </w:p>
        </w:tc>
        <w:tc>
          <w:tcPr>
            <w:tcW w:w="560" w:type="pct"/>
            <w:tcBorders>
              <w:top w:val="single" w:sz="8" w:space="0" w:color="000000"/>
              <w:left w:val="single" w:sz="8" w:space="0" w:color="000000"/>
              <w:bottom w:val="single" w:sz="8" w:space="0" w:color="000000"/>
              <w:right w:val="single" w:sz="8" w:space="0" w:color="000000"/>
            </w:tcBorders>
            <w:vAlign w:val="center"/>
          </w:tcPr>
          <w:p w:rsidR="00CA2FE3" w:rsidRPr="00CA0AE3" w:rsidRDefault="00CA2FE3" w:rsidP="00D1633A">
            <w:pPr>
              <w:spacing w:after="0" w:line="240" w:lineRule="auto"/>
              <w:rPr>
                <w:rFonts w:eastAsia="Times New Roman"/>
                <w:b/>
                <w:sz w:val="16"/>
                <w:szCs w:val="16"/>
              </w:rPr>
            </w:pPr>
          </w:p>
        </w:tc>
        <w:tc>
          <w:tcPr>
            <w:tcW w:w="398" w:type="pct"/>
            <w:tcBorders>
              <w:top w:val="single" w:sz="8" w:space="0" w:color="000000"/>
              <w:left w:val="single" w:sz="8" w:space="0" w:color="000000"/>
              <w:bottom w:val="single" w:sz="8" w:space="0" w:color="000000"/>
              <w:right w:val="single" w:sz="8" w:space="0" w:color="000000"/>
            </w:tcBorders>
            <w:vAlign w:val="center"/>
          </w:tcPr>
          <w:p w:rsidR="00CA2FE3" w:rsidRPr="00CA0AE3" w:rsidRDefault="00CA2FE3" w:rsidP="00D1633A">
            <w:pPr>
              <w:spacing w:after="0" w:line="240" w:lineRule="auto"/>
              <w:rPr>
                <w:rFonts w:eastAsia="Times New Roman"/>
                <w:b/>
                <w:sz w:val="16"/>
                <w:szCs w:val="16"/>
              </w:rPr>
            </w:pPr>
          </w:p>
        </w:tc>
        <w:tc>
          <w:tcPr>
            <w:tcW w:w="463" w:type="pct"/>
            <w:tcBorders>
              <w:top w:val="single" w:sz="8" w:space="0" w:color="000000"/>
              <w:left w:val="single" w:sz="8" w:space="0" w:color="000000"/>
              <w:bottom w:val="single" w:sz="8" w:space="0" w:color="000000"/>
              <w:right w:val="single" w:sz="8" w:space="0" w:color="000000"/>
            </w:tcBorders>
            <w:vAlign w:val="center"/>
          </w:tcPr>
          <w:p w:rsidR="00CA2FE3" w:rsidRPr="00CA0AE3" w:rsidRDefault="00CA2FE3" w:rsidP="00D1633A">
            <w:pPr>
              <w:spacing w:after="0" w:line="240" w:lineRule="auto"/>
              <w:rPr>
                <w:rFonts w:eastAsia="Times New Roman"/>
                <w:b/>
                <w:sz w:val="16"/>
                <w:szCs w:val="16"/>
              </w:rPr>
            </w:pPr>
          </w:p>
        </w:tc>
        <w:tc>
          <w:tcPr>
            <w:tcW w:w="426" w:type="pct"/>
            <w:tcBorders>
              <w:top w:val="single" w:sz="8" w:space="0" w:color="000000"/>
              <w:left w:val="single" w:sz="8" w:space="0" w:color="000000"/>
              <w:bottom w:val="single" w:sz="8" w:space="0" w:color="000000"/>
              <w:right w:val="single" w:sz="8" w:space="0" w:color="000000"/>
            </w:tcBorders>
            <w:vAlign w:val="center"/>
          </w:tcPr>
          <w:p w:rsidR="00CA2FE3" w:rsidRPr="00CA0AE3" w:rsidRDefault="00CA2FE3" w:rsidP="00D1633A">
            <w:pPr>
              <w:spacing w:after="0" w:line="240" w:lineRule="auto"/>
              <w:rPr>
                <w:rFonts w:eastAsia="Times New Roman"/>
                <w:b/>
                <w:sz w:val="16"/>
                <w:szCs w:val="16"/>
              </w:rPr>
            </w:pPr>
          </w:p>
        </w:tc>
        <w:tc>
          <w:tcPr>
            <w:tcW w:w="431" w:type="pct"/>
            <w:tcBorders>
              <w:top w:val="single" w:sz="8" w:space="0" w:color="000000"/>
              <w:left w:val="single" w:sz="8" w:space="0" w:color="000000"/>
              <w:bottom w:val="single" w:sz="8" w:space="0" w:color="000000"/>
              <w:right w:val="single" w:sz="8" w:space="0" w:color="000000"/>
            </w:tcBorders>
            <w:vAlign w:val="center"/>
          </w:tcPr>
          <w:p w:rsidR="00CA2FE3" w:rsidRPr="00CA0AE3" w:rsidRDefault="00CA2FE3" w:rsidP="00D1633A">
            <w:pPr>
              <w:spacing w:after="0" w:line="240" w:lineRule="auto"/>
              <w:rPr>
                <w:rFonts w:eastAsia="Times New Roman"/>
                <w:b/>
                <w:sz w:val="16"/>
                <w:szCs w:val="16"/>
              </w:rPr>
            </w:pPr>
          </w:p>
        </w:tc>
        <w:tc>
          <w:tcPr>
            <w:tcW w:w="431" w:type="pct"/>
            <w:tcBorders>
              <w:top w:val="single" w:sz="8" w:space="0" w:color="000000"/>
              <w:left w:val="single" w:sz="8" w:space="0" w:color="000000"/>
              <w:bottom w:val="single" w:sz="8" w:space="0" w:color="000000"/>
              <w:right w:val="single" w:sz="8" w:space="0" w:color="000000"/>
            </w:tcBorders>
            <w:vAlign w:val="center"/>
          </w:tcPr>
          <w:p w:rsidR="00CA2FE3" w:rsidRPr="00CA0AE3" w:rsidRDefault="00CA2FE3" w:rsidP="00D1633A">
            <w:pPr>
              <w:spacing w:after="0" w:line="240" w:lineRule="auto"/>
              <w:rPr>
                <w:rFonts w:eastAsia="Times New Roman"/>
                <w:b/>
                <w:sz w:val="16"/>
                <w:szCs w:val="16"/>
              </w:rPr>
            </w:pPr>
          </w:p>
        </w:tc>
        <w:tc>
          <w:tcPr>
            <w:tcW w:w="567" w:type="pct"/>
            <w:tcBorders>
              <w:top w:val="single" w:sz="8" w:space="0" w:color="000000"/>
              <w:left w:val="single" w:sz="8" w:space="0" w:color="000000"/>
              <w:bottom w:val="single" w:sz="8" w:space="0" w:color="000000"/>
              <w:right w:val="single" w:sz="8" w:space="0" w:color="000000"/>
            </w:tcBorders>
            <w:vAlign w:val="center"/>
          </w:tcPr>
          <w:p w:rsidR="00CA2FE3" w:rsidRPr="00CA0AE3" w:rsidRDefault="00CA2FE3" w:rsidP="00D1633A">
            <w:pPr>
              <w:spacing w:after="0" w:line="240" w:lineRule="auto"/>
              <w:rPr>
                <w:rFonts w:eastAsia="Times New Roman"/>
                <w:b/>
                <w:sz w:val="16"/>
                <w:szCs w:val="16"/>
              </w:rPr>
            </w:pPr>
          </w:p>
        </w:tc>
      </w:tr>
      <w:tr w:rsidR="00CA2FE3" w:rsidRPr="00CA0AE3" w:rsidTr="003C48F3">
        <w:trPr>
          <w:cantSplit/>
        </w:trPr>
        <w:tc>
          <w:tcPr>
            <w:tcW w:w="108" w:type="pct"/>
            <w:tcBorders>
              <w:top w:val="single" w:sz="8" w:space="0" w:color="000000"/>
              <w:left w:val="single" w:sz="8" w:space="0" w:color="000000"/>
              <w:bottom w:val="single" w:sz="8" w:space="0" w:color="000000"/>
              <w:right w:val="single" w:sz="8" w:space="0" w:color="000000"/>
            </w:tcBorders>
            <w:vAlign w:val="center"/>
          </w:tcPr>
          <w:p w:rsidR="00CA2FE3" w:rsidRPr="00CA0AE3" w:rsidRDefault="00CA2FE3" w:rsidP="00D1633A">
            <w:pPr>
              <w:pStyle w:val="Default"/>
              <w:rPr>
                <w:color w:val="auto"/>
                <w:sz w:val="16"/>
                <w:szCs w:val="16"/>
              </w:rPr>
            </w:pPr>
            <w:r w:rsidRPr="00CA0AE3">
              <w:rPr>
                <w:color w:val="auto"/>
                <w:sz w:val="16"/>
                <w:szCs w:val="16"/>
              </w:rPr>
              <w:t xml:space="preserve"> 10</w:t>
            </w:r>
          </w:p>
        </w:tc>
        <w:tc>
          <w:tcPr>
            <w:tcW w:w="722"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tcPr>
          <w:p w:rsidR="00CA2FE3" w:rsidRPr="00CA0AE3" w:rsidRDefault="00CA2FE3" w:rsidP="00D1633A">
            <w:pPr>
              <w:pStyle w:val="Default"/>
              <w:rPr>
                <w:rFonts w:eastAsia="Cambria"/>
                <w:color w:val="auto"/>
                <w:sz w:val="16"/>
                <w:szCs w:val="16"/>
              </w:rPr>
            </w:pPr>
            <w:r w:rsidRPr="00CA0AE3">
              <w:rPr>
                <w:color w:val="auto"/>
                <w:sz w:val="16"/>
                <w:szCs w:val="16"/>
              </w:rPr>
              <w:t>Hospitalization Follow-up: The percentage of discharges for patients 18 years of age and older (with any of the following conditions  Diabetes, Hypertension  COPD, and/or CHF) who were discharged to home from public hospital’s medical/surgical inpatient services and who had an outpatient visit within 7 days or contact within 2 days with a care team member documented in EMR.</w:t>
            </w:r>
          </w:p>
        </w:tc>
        <w:tc>
          <w:tcPr>
            <w:tcW w:w="431"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A2FE3" w:rsidRPr="00CA0AE3" w:rsidRDefault="00CA2FE3" w:rsidP="00D1633A">
            <w:pPr>
              <w:pStyle w:val="NoSpacing1"/>
              <w:jc w:val="center"/>
              <w:rPr>
                <w:rFonts w:ascii="Times New Roman" w:hAnsi="Times New Roman"/>
                <w:sz w:val="16"/>
                <w:szCs w:val="16"/>
              </w:rPr>
            </w:pPr>
            <w:r w:rsidRPr="00CA0AE3">
              <w:rPr>
                <w:rFonts w:ascii="Times New Roman" w:hAnsi="Times New Roman"/>
                <w:sz w:val="16"/>
                <w:szCs w:val="16"/>
              </w:rPr>
              <w:t>Customized Measure</w:t>
            </w:r>
          </w:p>
        </w:tc>
        <w:tc>
          <w:tcPr>
            <w:tcW w:w="463"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sz w:val="16"/>
                <w:szCs w:val="16"/>
              </w:rPr>
            </w:pPr>
            <w:r w:rsidRPr="00CA0AE3">
              <w:rPr>
                <w:sz w:val="16"/>
                <w:szCs w:val="16"/>
              </w:rPr>
              <w:t>No external benchmark; hospital specific improvement</w:t>
            </w:r>
          </w:p>
          <w:p w:rsidR="00CA2FE3" w:rsidRPr="00CA0AE3" w:rsidRDefault="00CA2FE3" w:rsidP="00D1633A">
            <w:pPr>
              <w:pStyle w:val="Default"/>
              <w:jc w:val="center"/>
              <w:rPr>
                <w:color w:val="auto"/>
                <w:sz w:val="16"/>
                <w:szCs w:val="16"/>
              </w:rPr>
            </w:pPr>
            <w:r w:rsidRPr="00CA0AE3">
              <w:rPr>
                <w:color w:val="auto"/>
                <w:sz w:val="16"/>
                <w:szCs w:val="16"/>
              </w:rPr>
              <w:t>target = 80%</w:t>
            </w:r>
          </w:p>
          <w:p w:rsidR="00CA2FE3" w:rsidRPr="00CA0AE3" w:rsidRDefault="00CA2FE3" w:rsidP="00D1633A">
            <w:pPr>
              <w:spacing w:after="0" w:line="240" w:lineRule="auto"/>
              <w:jc w:val="center"/>
              <w:rPr>
                <w:sz w:val="16"/>
                <w:szCs w:val="16"/>
              </w:rPr>
            </w:pPr>
          </w:p>
        </w:tc>
        <w:tc>
          <w:tcPr>
            <w:tcW w:w="560"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sz w:val="16"/>
                <w:szCs w:val="16"/>
              </w:rPr>
            </w:pPr>
            <w:r w:rsidRPr="00CA0AE3">
              <w:rPr>
                <w:sz w:val="16"/>
                <w:szCs w:val="16"/>
              </w:rPr>
              <w:t>Gap to Goal (10%) or attainment at target</w:t>
            </w:r>
          </w:p>
        </w:tc>
        <w:tc>
          <w:tcPr>
            <w:tcW w:w="398"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b/>
                <w:sz w:val="16"/>
                <w:szCs w:val="16"/>
              </w:rPr>
            </w:pPr>
            <w:r w:rsidRPr="00CA0AE3">
              <w:rPr>
                <w:b/>
                <w:sz w:val="16"/>
                <w:szCs w:val="16"/>
              </w:rPr>
              <w:t>B</w:t>
            </w:r>
          </w:p>
        </w:tc>
        <w:tc>
          <w:tcPr>
            <w:tcW w:w="463"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b/>
                <w:sz w:val="16"/>
                <w:szCs w:val="16"/>
              </w:rPr>
            </w:pPr>
            <w:r w:rsidRPr="00CA0AE3">
              <w:rPr>
                <w:b/>
                <w:sz w:val="16"/>
                <w:szCs w:val="16"/>
              </w:rPr>
              <w:t>O</w:t>
            </w:r>
          </w:p>
        </w:tc>
        <w:tc>
          <w:tcPr>
            <w:tcW w:w="426"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b/>
                <w:sz w:val="16"/>
                <w:szCs w:val="16"/>
              </w:rPr>
            </w:pPr>
            <w:r w:rsidRPr="00CA0AE3">
              <w:rPr>
                <w:b/>
                <w:sz w:val="16"/>
                <w:szCs w:val="16"/>
              </w:rPr>
              <w:t>O</w:t>
            </w:r>
          </w:p>
        </w:tc>
        <w:tc>
          <w:tcPr>
            <w:tcW w:w="431"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b/>
                <w:sz w:val="16"/>
                <w:szCs w:val="16"/>
              </w:rPr>
            </w:pPr>
            <w:r w:rsidRPr="00CA0AE3">
              <w:rPr>
                <w:b/>
                <w:sz w:val="16"/>
                <w:szCs w:val="16"/>
              </w:rPr>
              <w:t>O</w:t>
            </w:r>
          </w:p>
        </w:tc>
        <w:tc>
          <w:tcPr>
            <w:tcW w:w="431"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b/>
                <w:sz w:val="16"/>
                <w:szCs w:val="16"/>
              </w:rPr>
            </w:pPr>
            <w:r w:rsidRPr="00CA0AE3">
              <w:rPr>
                <w:b/>
                <w:sz w:val="16"/>
                <w:szCs w:val="16"/>
              </w:rPr>
              <w:t>O</w:t>
            </w:r>
          </w:p>
        </w:tc>
        <w:tc>
          <w:tcPr>
            <w:tcW w:w="567" w:type="pct"/>
            <w:tcBorders>
              <w:top w:val="single" w:sz="8" w:space="0" w:color="000000"/>
              <w:left w:val="single" w:sz="8" w:space="0" w:color="000000"/>
              <w:bottom w:val="single" w:sz="8" w:space="0" w:color="000000"/>
              <w:right w:val="single" w:sz="8" w:space="0" w:color="000000"/>
            </w:tcBorders>
            <w:vAlign w:val="center"/>
          </w:tcPr>
          <w:p w:rsidR="00CA2FE3" w:rsidRPr="00CA0AE3" w:rsidRDefault="00CA2FE3" w:rsidP="00D1633A">
            <w:pPr>
              <w:spacing w:after="0" w:line="240" w:lineRule="auto"/>
              <w:rPr>
                <w:rFonts w:eastAsia="Times New Roman"/>
                <w:sz w:val="16"/>
                <w:szCs w:val="16"/>
              </w:rPr>
            </w:pPr>
            <w:r w:rsidRPr="00CA0AE3">
              <w:rPr>
                <w:rFonts w:eastAsia="Times New Roman"/>
                <w:sz w:val="16"/>
                <w:szCs w:val="16"/>
              </w:rPr>
              <w:t xml:space="preserve">Target derived to improve follow up after hospitalization for chronic health conditions </w:t>
            </w:r>
          </w:p>
        </w:tc>
      </w:tr>
      <w:tr w:rsidR="00CA2FE3" w:rsidRPr="00CA0AE3" w:rsidTr="003C48F3">
        <w:trPr>
          <w:cantSplit/>
        </w:trPr>
        <w:tc>
          <w:tcPr>
            <w:tcW w:w="108" w:type="pct"/>
            <w:tcBorders>
              <w:top w:val="single" w:sz="8" w:space="0" w:color="000000"/>
              <w:left w:val="single" w:sz="8" w:space="0" w:color="000000"/>
              <w:bottom w:val="single" w:sz="8" w:space="0" w:color="000000"/>
              <w:right w:val="single" w:sz="8" w:space="0" w:color="000000"/>
            </w:tcBorders>
            <w:vAlign w:val="center"/>
          </w:tcPr>
          <w:p w:rsidR="00CA2FE3" w:rsidRPr="00CA0AE3" w:rsidRDefault="00CA2FE3" w:rsidP="00D1633A">
            <w:pPr>
              <w:pStyle w:val="Default"/>
              <w:jc w:val="center"/>
              <w:rPr>
                <w:color w:val="auto"/>
                <w:sz w:val="16"/>
                <w:szCs w:val="16"/>
              </w:rPr>
            </w:pPr>
            <w:r w:rsidRPr="00CA0AE3">
              <w:rPr>
                <w:color w:val="auto"/>
                <w:sz w:val="16"/>
                <w:szCs w:val="16"/>
              </w:rPr>
              <w:t>11</w:t>
            </w:r>
          </w:p>
        </w:tc>
        <w:tc>
          <w:tcPr>
            <w:tcW w:w="722"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A2FE3" w:rsidRPr="00CA0AE3" w:rsidRDefault="00CA2FE3" w:rsidP="00D1633A">
            <w:pPr>
              <w:pStyle w:val="Default"/>
              <w:rPr>
                <w:rFonts w:eastAsia="Cambria"/>
                <w:color w:val="auto"/>
                <w:sz w:val="16"/>
                <w:szCs w:val="16"/>
              </w:rPr>
            </w:pPr>
            <w:r w:rsidRPr="00CA0AE3">
              <w:rPr>
                <w:color w:val="auto"/>
                <w:sz w:val="16"/>
                <w:szCs w:val="16"/>
              </w:rPr>
              <w:t xml:space="preserve">% of active primary care patients 3 years and older with the following conditions: Diabetes, Pediatric Asthma, Hypertension, COPD, and CHF, for whom a public hospital </w:t>
            </w:r>
            <w:r w:rsidRPr="00CA0AE3">
              <w:rPr>
                <w:rFonts w:eastAsia="Cambria"/>
                <w:color w:val="auto"/>
                <w:sz w:val="16"/>
                <w:szCs w:val="16"/>
              </w:rPr>
              <w:t>follow-up contact or visit is completed within seven calendar days post ED discharge</w:t>
            </w:r>
          </w:p>
        </w:tc>
        <w:tc>
          <w:tcPr>
            <w:tcW w:w="431"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sz w:val="16"/>
                <w:szCs w:val="16"/>
              </w:rPr>
            </w:pPr>
            <w:r w:rsidRPr="00CA0AE3">
              <w:rPr>
                <w:sz w:val="16"/>
                <w:szCs w:val="16"/>
              </w:rPr>
              <w:t xml:space="preserve">Customized Measure </w:t>
            </w:r>
          </w:p>
        </w:tc>
        <w:tc>
          <w:tcPr>
            <w:tcW w:w="463"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sz w:val="16"/>
                <w:szCs w:val="16"/>
              </w:rPr>
            </w:pPr>
            <w:r w:rsidRPr="00CA0AE3">
              <w:rPr>
                <w:sz w:val="16"/>
                <w:szCs w:val="16"/>
              </w:rPr>
              <w:t>No external benchmark; hospital specific improvement target =50%</w:t>
            </w:r>
          </w:p>
        </w:tc>
        <w:tc>
          <w:tcPr>
            <w:tcW w:w="560"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A2FE3" w:rsidRPr="00CA0AE3" w:rsidRDefault="00CA2FE3" w:rsidP="00D1633A">
            <w:pPr>
              <w:pStyle w:val="Default"/>
              <w:jc w:val="center"/>
              <w:rPr>
                <w:color w:val="auto"/>
                <w:sz w:val="16"/>
                <w:szCs w:val="16"/>
              </w:rPr>
            </w:pPr>
            <w:r w:rsidRPr="00CA0AE3">
              <w:rPr>
                <w:color w:val="auto"/>
                <w:sz w:val="16"/>
                <w:szCs w:val="16"/>
              </w:rPr>
              <w:t>Gap to Goal (10%) or attainment at target</w:t>
            </w:r>
          </w:p>
        </w:tc>
        <w:tc>
          <w:tcPr>
            <w:tcW w:w="398"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b/>
                <w:sz w:val="16"/>
                <w:szCs w:val="16"/>
              </w:rPr>
            </w:pPr>
            <w:r w:rsidRPr="00CA0AE3">
              <w:rPr>
                <w:b/>
                <w:sz w:val="16"/>
                <w:szCs w:val="16"/>
              </w:rPr>
              <w:t>B</w:t>
            </w:r>
          </w:p>
        </w:tc>
        <w:tc>
          <w:tcPr>
            <w:tcW w:w="463"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b/>
                <w:sz w:val="16"/>
                <w:szCs w:val="16"/>
              </w:rPr>
            </w:pPr>
            <w:r w:rsidRPr="00CA0AE3">
              <w:rPr>
                <w:b/>
                <w:sz w:val="16"/>
                <w:szCs w:val="16"/>
              </w:rPr>
              <w:t>O</w:t>
            </w:r>
          </w:p>
        </w:tc>
        <w:tc>
          <w:tcPr>
            <w:tcW w:w="426"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b/>
                <w:sz w:val="16"/>
                <w:szCs w:val="16"/>
              </w:rPr>
            </w:pPr>
            <w:r w:rsidRPr="00CA0AE3">
              <w:rPr>
                <w:b/>
                <w:sz w:val="16"/>
                <w:szCs w:val="16"/>
              </w:rPr>
              <w:t>O</w:t>
            </w:r>
          </w:p>
        </w:tc>
        <w:tc>
          <w:tcPr>
            <w:tcW w:w="431"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b/>
                <w:sz w:val="16"/>
                <w:szCs w:val="16"/>
              </w:rPr>
            </w:pPr>
            <w:r w:rsidRPr="00CA0AE3">
              <w:rPr>
                <w:b/>
                <w:sz w:val="16"/>
                <w:szCs w:val="16"/>
              </w:rPr>
              <w:t>O</w:t>
            </w:r>
          </w:p>
        </w:tc>
        <w:tc>
          <w:tcPr>
            <w:tcW w:w="431"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b/>
                <w:sz w:val="16"/>
                <w:szCs w:val="16"/>
              </w:rPr>
            </w:pPr>
            <w:r w:rsidRPr="00CA0AE3">
              <w:rPr>
                <w:b/>
                <w:sz w:val="16"/>
                <w:szCs w:val="16"/>
              </w:rPr>
              <w:t>O</w:t>
            </w:r>
          </w:p>
        </w:tc>
        <w:tc>
          <w:tcPr>
            <w:tcW w:w="567" w:type="pct"/>
            <w:tcBorders>
              <w:top w:val="single" w:sz="8" w:space="0" w:color="000000"/>
              <w:left w:val="single" w:sz="8" w:space="0" w:color="000000"/>
              <w:bottom w:val="single" w:sz="8" w:space="0" w:color="000000"/>
              <w:right w:val="single" w:sz="8" w:space="0" w:color="000000"/>
            </w:tcBorders>
            <w:vAlign w:val="center"/>
          </w:tcPr>
          <w:p w:rsidR="00CA2FE3" w:rsidRPr="00CA0AE3" w:rsidRDefault="00CA2FE3" w:rsidP="00D1633A">
            <w:pPr>
              <w:spacing w:after="0" w:line="240" w:lineRule="auto"/>
              <w:rPr>
                <w:rFonts w:eastAsia="Times New Roman"/>
                <w:sz w:val="16"/>
                <w:szCs w:val="16"/>
              </w:rPr>
            </w:pPr>
            <w:r w:rsidRPr="00CA0AE3">
              <w:rPr>
                <w:rFonts w:eastAsia="Times New Roman"/>
                <w:sz w:val="16"/>
                <w:szCs w:val="16"/>
              </w:rPr>
              <w:t>Target derived to improve follow up after ED visits for chronic health conditions</w:t>
            </w:r>
          </w:p>
        </w:tc>
      </w:tr>
      <w:tr w:rsidR="00CA2FE3" w:rsidRPr="00CA0AE3" w:rsidTr="003C48F3">
        <w:trPr>
          <w:cantSplit/>
        </w:trPr>
        <w:tc>
          <w:tcPr>
            <w:tcW w:w="108" w:type="pct"/>
            <w:tcBorders>
              <w:top w:val="single" w:sz="8" w:space="0" w:color="000000"/>
              <w:left w:val="single" w:sz="8" w:space="0" w:color="000000"/>
              <w:bottom w:val="single" w:sz="8" w:space="0" w:color="000000"/>
              <w:right w:val="single" w:sz="8" w:space="0" w:color="000000"/>
            </w:tcBorders>
            <w:vAlign w:val="center"/>
          </w:tcPr>
          <w:p w:rsidR="00CA2FE3" w:rsidRPr="00CA0AE3" w:rsidRDefault="00CA2FE3" w:rsidP="00D1633A">
            <w:pPr>
              <w:pStyle w:val="Default"/>
              <w:jc w:val="center"/>
              <w:rPr>
                <w:color w:val="auto"/>
                <w:sz w:val="16"/>
                <w:szCs w:val="16"/>
              </w:rPr>
            </w:pPr>
            <w:r w:rsidRPr="00CA0AE3">
              <w:rPr>
                <w:color w:val="auto"/>
                <w:sz w:val="16"/>
                <w:szCs w:val="16"/>
              </w:rPr>
              <w:lastRenderedPageBreak/>
              <w:t>12</w:t>
            </w:r>
          </w:p>
        </w:tc>
        <w:tc>
          <w:tcPr>
            <w:tcW w:w="722"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A2FE3" w:rsidRPr="00CA0AE3" w:rsidRDefault="00CA2FE3" w:rsidP="00D1633A">
            <w:pPr>
              <w:pStyle w:val="Default"/>
              <w:rPr>
                <w:color w:val="auto"/>
                <w:sz w:val="16"/>
                <w:szCs w:val="16"/>
              </w:rPr>
            </w:pPr>
            <w:r w:rsidRPr="00CA0AE3">
              <w:rPr>
                <w:color w:val="auto"/>
                <w:sz w:val="16"/>
                <w:szCs w:val="16"/>
              </w:rPr>
              <w:t>Screening for Depression in active primary care patients 18 years and older with Diabetes, HTN, CHF, and/or COPD</w:t>
            </w:r>
          </w:p>
        </w:tc>
        <w:tc>
          <w:tcPr>
            <w:tcW w:w="431"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sz w:val="16"/>
                <w:szCs w:val="16"/>
              </w:rPr>
            </w:pPr>
            <w:r w:rsidRPr="00CA0AE3">
              <w:rPr>
                <w:sz w:val="16"/>
                <w:szCs w:val="16"/>
              </w:rPr>
              <w:t>Approximate Match- NQF 0418</w:t>
            </w:r>
          </w:p>
          <w:p w:rsidR="00CA2FE3" w:rsidRPr="00CA0AE3" w:rsidRDefault="00CA2FE3" w:rsidP="00D1633A">
            <w:pPr>
              <w:spacing w:after="0" w:line="240" w:lineRule="auto"/>
              <w:jc w:val="center"/>
              <w:rPr>
                <w:sz w:val="16"/>
                <w:szCs w:val="16"/>
              </w:rPr>
            </w:pPr>
            <w:r w:rsidRPr="00CA0AE3">
              <w:rPr>
                <w:sz w:val="16"/>
                <w:szCs w:val="16"/>
              </w:rPr>
              <w:t>(Adjusted for Chronic Conditions at high risk)</w:t>
            </w:r>
          </w:p>
        </w:tc>
        <w:tc>
          <w:tcPr>
            <w:tcW w:w="463"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sz w:val="16"/>
                <w:szCs w:val="16"/>
              </w:rPr>
            </w:pPr>
            <w:r w:rsidRPr="00CA0AE3">
              <w:rPr>
                <w:sz w:val="16"/>
                <w:szCs w:val="16"/>
              </w:rPr>
              <w:t>No external benchmark; hospital specific improvement target = 80%</w:t>
            </w:r>
          </w:p>
        </w:tc>
        <w:tc>
          <w:tcPr>
            <w:tcW w:w="560"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A2FE3" w:rsidRPr="00CA0AE3" w:rsidRDefault="00CA2FE3" w:rsidP="00D1633A">
            <w:pPr>
              <w:pStyle w:val="Default"/>
              <w:jc w:val="center"/>
              <w:rPr>
                <w:color w:val="auto"/>
                <w:sz w:val="16"/>
                <w:szCs w:val="16"/>
              </w:rPr>
            </w:pPr>
            <w:r w:rsidRPr="00CA0AE3">
              <w:rPr>
                <w:color w:val="auto"/>
                <w:sz w:val="16"/>
                <w:szCs w:val="16"/>
              </w:rPr>
              <w:t>Gap to Goal (10%) or attainment at target</w:t>
            </w:r>
          </w:p>
        </w:tc>
        <w:tc>
          <w:tcPr>
            <w:tcW w:w="398"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b/>
                <w:sz w:val="16"/>
                <w:szCs w:val="16"/>
              </w:rPr>
            </w:pPr>
            <w:r w:rsidRPr="00CA0AE3">
              <w:rPr>
                <w:b/>
                <w:sz w:val="16"/>
                <w:szCs w:val="16"/>
              </w:rPr>
              <w:t>B</w:t>
            </w:r>
          </w:p>
        </w:tc>
        <w:tc>
          <w:tcPr>
            <w:tcW w:w="463"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b/>
                <w:sz w:val="16"/>
                <w:szCs w:val="16"/>
              </w:rPr>
            </w:pPr>
            <w:r w:rsidRPr="00CA0AE3">
              <w:rPr>
                <w:b/>
                <w:sz w:val="16"/>
                <w:szCs w:val="16"/>
              </w:rPr>
              <w:t>O</w:t>
            </w:r>
          </w:p>
        </w:tc>
        <w:tc>
          <w:tcPr>
            <w:tcW w:w="426"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b/>
                <w:sz w:val="16"/>
                <w:szCs w:val="16"/>
              </w:rPr>
            </w:pPr>
            <w:r w:rsidRPr="00CA0AE3">
              <w:rPr>
                <w:b/>
                <w:sz w:val="16"/>
                <w:szCs w:val="16"/>
              </w:rPr>
              <w:t>O</w:t>
            </w:r>
          </w:p>
        </w:tc>
        <w:tc>
          <w:tcPr>
            <w:tcW w:w="431"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b/>
                <w:sz w:val="16"/>
                <w:szCs w:val="16"/>
              </w:rPr>
            </w:pPr>
            <w:r w:rsidRPr="00CA0AE3">
              <w:rPr>
                <w:b/>
                <w:sz w:val="16"/>
                <w:szCs w:val="16"/>
              </w:rPr>
              <w:t>O</w:t>
            </w:r>
          </w:p>
        </w:tc>
        <w:tc>
          <w:tcPr>
            <w:tcW w:w="431"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b/>
                <w:sz w:val="16"/>
                <w:szCs w:val="16"/>
              </w:rPr>
            </w:pPr>
            <w:r w:rsidRPr="00CA0AE3">
              <w:rPr>
                <w:b/>
                <w:sz w:val="16"/>
                <w:szCs w:val="16"/>
              </w:rPr>
              <w:t>O</w:t>
            </w:r>
          </w:p>
        </w:tc>
        <w:tc>
          <w:tcPr>
            <w:tcW w:w="567" w:type="pct"/>
            <w:tcBorders>
              <w:top w:val="single" w:sz="8" w:space="0" w:color="000000"/>
              <w:left w:val="single" w:sz="8" w:space="0" w:color="000000"/>
              <w:bottom w:val="single" w:sz="8" w:space="0" w:color="000000"/>
              <w:right w:val="single" w:sz="8" w:space="0" w:color="000000"/>
            </w:tcBorders>
          </w:tcPr>
          <w:p w:rsidR="00CA2FE3" w:rsidRPr="00CA0AE3" w:rsidRDefault="00CA2FE3" w:rsidP="00D1633A">
            <w:pPr>
              <w:spacing w:after="0" w:line="240" w:lineRule="auto"/>
              <w:rPr>
                <w:rFonts w:eastAsia="Times New Roman"/>
                <w:sz w:val="16"/>
                <w:szCs w:val="16"/>
              </w:rPr>
            </w:pPr>
            <w:r w:rsidRPr="00CA0AE3">
              <w:rPr>
                <w:rFonts w:eastAsia="Times New Roman"/>
                <w:sz w:val="16"/>
                <w:szCs w:val="16"/>
              </w:rPr>
              <w:t>Target derived to improve depression screening for patients with chronic health conditions at high risk</w:t>
            </w:r>
            <w:proofErr w:type="gramStart"/>
            <w:r w:rsidRPr="00CA0AE3">
              <w:rPr>
                <w:rFonts w:eastAsia="Times New Roman"/>
                <w:sz w:val="16"/>
                <w:szCs w:val="16"/>
              </w:rPr>
              <w:t>..</w:t>
            </w:r>
            <w:proofErr w:type="gramEnd"/>
          </w:p>
        </w:tc>
      </w:tr>
      <w:tr w:rsidR="00CA2FE3" w:rsidRPr="00CA0AE3" w:rsidTr="003C48F3">
        <w:trPr>
          <w:cantSplit/>
        </w:trPr>
        <w:tc>
          <w:tcPr>
            <w:tcW w:w="108" w:type="pct"/>
            <w:tcBorders>
              <w:top w:val="single" w:sz="8" w:space="0" w:color="000000"/>
              <w:left w:val="single" w:sz="8" w:space="0" w:color="000000"/>
              <w:bottom w:val="single" w:sz="8" w:space="0" w:color="000000"/>
              <w:right w:val="single" w:sz="8" w:space="0" w:color="000000"/>
            </w:tcBorders>
            <w:vAlign w:val="center"/>
          </w:tcPr>
          <w:p w:rsidR="00CA2FE3" w:rsidRPr="00CA0AE3" w:rsidRDefault="00CA2FE3" w:rsidP="00D1633A">
            <w:pPr>
              <w:pStyle w:val="Default"/>
              <w:jc w:val="center"/>
              <w:rPr>
                <w:color w:val="auto"/>
                <w:sz w:val="16"/>
                <w:szCs w:val="16"/>
              </w:rPr>
            </w:pPr>
            <w:r w:rsidRPr="00CA0AE3">
              <w:rPr>
                <w:color w:val="auto"/>
                <w:sz w:val="16"/>
                <w:szCs w:val="16"/>
              </w:rPr>
              <w:t>13</w:t>
            </w:r>
          </w:p>
        </w:tc>
        <w:tc>
          <w:tcPr>
            <w:tcW w:w="722"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A2FE3" w:rsidRPr="00CA0AE3" w:rsidRDefault="00CA2FE3" w:rsidP="00D1633A">
            <w:pPr>
              <w:pStyle w:val="Default"/>
              <w:rPr>
                <w:color w:val="auto"/>
                <w:sz w:val="16"/>
                <w:szCs w:val="16"/>
              </w:rPr>
            </w:pPr>
            <w:r w:rsidRPr="00CA0AE3">
              <w:rPr>
                <w:color w:val="auto"/>
                <w:sz w:val="16"/>
                <w:szCs w:val="16"/>
              </w:rPr>
              <w:t>Co-morbid Conditions: Depression  Follow-Up in active primary care patients with Diabetes, HTN, CHF, and/or COPD</w:t>
            </w:r>
          </w:p>
        </w:tc>
        <w:tc>
          <w:tcPr>
            <w:tcW w:w="431"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sz w:val="16"/>
                <w:szCs w:val="16"/>
              </w:rPr>
            </w:pPr>
            <w:r w:rsidRPr="00CA0AE3">
              <w:rPr>
                <w:sz w:val="16"/>
                <w:szCs w:val="16"/>
              </w:rPr>
              <w:t>Customized Measure</w:t>
            </w:r>
          </w:p>
        </w:tc>
        <w:tc>
          <w:tcPr>
            <w:tcW w:w="463"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sz w:val="16"/>
                <w:szCs w:val="16"/>
              </w:rPr>
            </w:pPr>
            <w:r w:rsidRPr="00CA0AE3">
              <w:rPr>
                <w:sz w:val="16"/>
                <w:szCs w:val="16"/>
              </w:rPr>
              <w:t>No external benchmark; hospital specific improvement target = 60%</w:t>
            </w:r>
          </w:p>
        </w:tc>
        <w:tc>
          <w:tcPr>
            <w:tcW w:w="560"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A2FE3" w:rsidRPr="00CA0AE3" w:rsidRDefault="00CA2FE3" w:rsidP="00D1633A">
            <w:pPr>
              <w:pStyle w:val="Default"/>
              <w:jc w:val="center"/>
              <w:rPr>
                <w:color w:val="auto"/>
                <w:sz w:val="16"/>
                <w:szCs w:val="16"/>
              </w:rPr>
            </w:pPr>
            <w:r w:rsidRPr="00CA0AE3">
              <w:rPr>
                <w:color w:val="auto"/>
                <w:sz w:val="16"/>
                <w:szCs w:val="16"/>
              </w:rPr>
              <w:t>Gap to Goal (10%) or attainment at target</w:t>
            </w:r>
          </w:p>
        </w:tc>
        <w:tc>
          <w:tcPr>
            <w:tcW w:w="398"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b/>
                <w:sz w:val="16"/>
                <w:szCs w:val="16"/>
              </w:rPr>
            </w:pPr>
            <w:r w:rsidRPr="00CA0AE3">
              <w:rPr>
                <w:b/>
                <w:sz w:val="16"/>
                <w:szCs w:val="16"/>
              </w:rPr>
              <w:t>B</w:t>
            </w:r>
          </w:p>
        </w:tc>
        <w:tc>
          <w:tcPr>
            <w:tcW w:w="463"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b/>
                <w:sz w:val="16"/>
                <w:szCs w:val="16"/>
              </w:rPr>
            </w:pPr>
            <w:r w:rsidRPr="00CA0AE3">
              <w:rPr>
                <w:b/>
                <w:sz w:val="16"/>
                <w:szCs w:val="16"/>
              </w:rPr>
              <w:t>O</w:t>
            </w:r>
          </w:p>
        </w:tc>
        <w:tc>
          <w:tcPr>
            <w:tcW w:w="426"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b/>
                <w:sz w:val="16"/>
                <w:szCs w:val="16"/>
              </w:rPr>
            </w:pPr>
            <w:r w:rsidRPr="00CA0AE3">
              <w:rPr>
                <w:b/>
                <w:sz w:val="16"/>
                <w:szCs w:val="16"/>
              </w:rPr>
              <w:t>O</w:t>
            </w:r>
          </w:p>
        </w:tc>
        <w:tc>
          <w:tcPr>
            <w:tcW w:w="431"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b/>
                <w:sz w:val="16"/>
                <w:szCs w:val="16"/>
              </w:rPr>
            </w:pPr>
            <w:r w:rsidRPr="00CA0AE3">
              <w:rPr>
                <w:b/>
                <w:sz w:val="16"/>
                <w:szCs w:val="16"/>
              </w:rPr>
              <w:t>O</w:t>
            </w:r>
          </w:p>
        </w:tc>
        <w:tc>
          <w:tcPr>
            <w:tcW w:w="431" w:type="pct"/>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b/>
                <w:sz w:val="16"/>
                <w:szCs w:val="16"/>
              </w:rPr>
            </w:pPr>
            <w:r w:rsidRPr="00CA0AE3">
              <w:rPr>
                <w:b/>
                <w:sz w:val="16"/>
                <w:szCs w:val="16"/>
              </w:rPr>
              <w:t>O</w:t>
            </w:r>
          </w:p>
        </w:tc>
        <w:tc>
          <w:tcPr>
            <w:tcW w:w="567" w:type="pct"/>
            <w:tcBorders>
              <w:top w:val="single" w:sz="8" w:space="0" w:color="000000"/>
              <w:left w:val="single" w:sz="8" w:space="0" w:color="000000"/>
              <w:bottom w:val="single" w:sz="8" w:space="0" w:color="000000"/>
              <w:right w:val="single" w:sz="8" w:space="0" w:color="000000"/>
            </w:tcBorders>
            <w:vAlign w:val="center"/>
          </w:tcPr>
          <w:p w:rsidR="00CA2FE3" w:rsidRPr="00CA0AE3" w:rsidRDefault="00CA2FE3" w:rsidP="00D1633A">
            <w:pPr>
              <w:spacing w:after="0" w:line="240" w:lineRule="auto"/>
              <w:rPr>
                <w:rFonts w:eastAsia="Times New Roman"/>
                <w:sz w:val="16"/>
                <w:szCs w:val="16"/>
              </w:rPr>
            </w:pPr>
            <w:r w:rsidRPr="00CA0AE3">
              <w:rPr>
                <w:rFonts w:eastAsia="Times New Roman"/>
                <w:sz w:val="16"/>
                <w:szCs w:val="16"/>
              </w:rPr>
              <w:t>Target derived to improve follow up for depression care for patients with chronic health conditions.</w:t>
            </w:r>
          </w:p>
        </w:tc>
      </w:tr>
    </w:tbl>
    <w:p w:rsidR="00CA2FE3" w:rsidRDefault="00CA2FE3">
      <w:pPr>
        <w:pStyle w:val="ListParagraph"/>
        <w:autoSpaceDE w:val="0"/>
        <w:autoSpaceDN w:val="0"/>
        <w:adjustRightInd w:val="0"/>
        <w:spacing w:after="0" w:line="240" w:lineRule="auto"/>
        <w:ind w:left="1080"/>
        <w:contextualSpacing w:val="0"/>
        <w:jc w:val="both"/>
      </w:pPr>
    </w:p>
    <w:tbl>
      <w:tblPr>
        <w:tblW w:w="13146" w:type="dxa"/>
        <w:tblInd w:w="-83" w:type="dxa"/>
        <w:tblLayout w:type="fixed"/>
        <w:tblCellMar>
          <w:left w:w="0" w:type="dxa"/>
          <w:right w:w="0" w:type="dxa"/>
        </w:tblCellMar>
        <w:tblLook w:val="04A0" w:firstRow="1" w:lastRow="0" w:firstColumn="1" w:lastColumn="0" w:noHBand="0" w:noVBand="1"/>
      </w:tblPr>
      <w:tblGrid>
        <w:gridCol w:w="316"/>
        <w:gridCol w:w="1937"/>
        <w:gridCol w:w="1080"/>
        <w:gridCol w:w="1350"/>
        <w:gridCol w:w="1530"/>
        <w:gridCol w:w="900"/>
        <w:gridCol w:w="1170"/>
        <w:gridCol w:w="1170"/>
        <w:gridCol w:w="1170"/>
        <w:gridCol w:w="1170"/>
        <w:gridCol w:w="1353"/>
      </w:tblGrid>
      <w:tr w:rsidR="00CA2FE3" w:rsidRPr="00CA0AE3" w:rsidTr="003C48F3">
        <w:trPr>
          <w:cantSplit/>
          <w:trHeight w:val="398"/>
        </w:trPr>
        <w:tc>
          <w:tcPr>
            <w:tcW w:w="13146" w:type="dxa"/>
            <w:gridSpan w:val="11"/>
            <w:tcBorders>
              <w:top w:val="single" w:sz="8" w:space="0" w:color="000000"/>
              <w:left w:val="single" w:sz="8" w:space="0" w:color="000000"/>
              <w:bottom w:val="single" w:sz="8" w:space="0" w:color="000000"/>
              <w:right w:val="single" w:sz="8" w:space="0" w:color="000000"/>
            </w:tcBorders>
            <w:shd w:val="clear" w:color="auto" w:fill="C6D9F1" w:themeFill="text2" w:themeFillTint="33"/>
            <w:vAlign w:val="center"/>
          </w:tcPr>
          <w:p w:rsidR="00CA2FE3" w:rsidRPr="00CA0AE3" w:rsidRDefault="00CA2FE3" w:rsidP="00D1633A">
            <w:pPr>
              <w:spacing w:after="0" w:line="240" w:lineRule="auto"/>
              <w:rPr>
                <w:rFonts w:eastAsia="Times New Roman"/>
                <w:b/>
                <w:bCs/>
                <w:color w:val="000000"/>
                <w:kern w:val="24"/>
                <w:sz w:val="20"/>
              </w:rPr>
            </w:pPr>
            <w:r w:rsidRPr="00CA0AE3">
              <w:rPr>
                <w:rFonts w:eastAsia="Times New Roman"/>
                <w:b/>
                <w:bCs/>
                <w:color w:val="000000"/>
                <w:kern w:val="24"/>
                <w:sz w:val="20"/>
              </w:rPr>
              <w:t>Required Measure Slate:  Improvement and Outcomes Measures – (Not Selected)</w:t>
            </w:r>
          </w:p>
          <w:p w:rsidR="00CA2FE3" w:rsidRPr="00CA0AE3" w:rsidRDefault="00CA2FE3" w:rsidP="00D1633A">
            <w:pPr>
              <w:spacing w:after="0" w:line="240" w:lineRule="auto"/>
              <w:rPr>
                <w:rFonts w:eastAsia="Times New Roman"/>
                <w:b/>
                <w:bCs/>
                <w:color w:val="000000"/>
                <w:kern w:val="24"/>
                <w:sz w:val="20"/>
              </w:rPr>
            </w:pPr>
            <w:r w:rsidRPr="00CA0AE3">
              <w:rPr>
                <w:b/>
                <w:i/>
                <w:sz w:val="20"/>
              </w:rPr>
              <w:t>(Achieve 3 of 9 Outcome Measures in Year 2, 5 of 9 in Year 3, 5 of 9 in Year 4, and 6 of 9 in Year 5).</w:t>
            </w:r>
          </w:p>
        </w:tc>
      </w:tr>
      <w:tr w:rsidR="00CA2FE3" w:rsidRPr="00CA0AE3" w:rsidTr="003C48F3">
        <w:trPr>
          <w:cantSplit/>
          <w:trHeight w:val="398"/>
        </w:trPr>
        <w:tc>
          <w:tcPr>
            <w:tcW w:w="2253" w:type="dxa"/>
            <w:gridSpan w:val="2"/>
            <w:tcBorders>
              <w:top w:val="single" w:sz="8" w:space="0" w:color="000000"/>
              <w:left w:val="single" w:sz="8" w:space="0" w:color="000000"/>
              <w:bottom w:val="single" w:sz="8" w:space="0" w:color="000000"/>
              <w:right w:val="single" w:sz="8" w:space="0" w:color="000000"/>
            </w:tcBorders>
            <w:shd w:val="clear" w:color="auto" w:fill="C6D9F1" w:themeFill="text2" w:themeFillTint="33"/>
            <w:vAlign w:val="center"/>
          </w:tcPr>
          <w:p w:rsidR="00CA2FE3" w:rsidRPr="00CA0AE3" w:rsidRDefault="00CA2FE3" w:rsidP="00D1633A">
            <w:pPr>
              <w:spacing w:after="0" w:line="240" w:lineRule="auto"/>
              <w:jc w:val="center"/>
              <w:rPr>
                <w:rFonts w:eastAsia="Times New Roman"/>
                <w:b/>
                <w:bCs/>
                <w:color w:val="000000"/>
                <w:kern w:val="24"/>
                <w:sz w:val="20"/>
              </w:rPr>
            </w:pPr>
            <w:r w:rsidRPr="00CA0AE3">
              <w:rPr>
                <w:rFonts w:eastAsia="Times New Roman"/>
                <w:b/>
                <w:bCs/>
                <w:color w:val="000000"/>
                <w:kern w:val="24"/>
                <w:sz w:val="20"/>
              </w:rPr>
              <w:t>Measure Slate 5</w:t>
            </w:r>
          </w:p>
        </w:tc>
        <w:tc>
          <w:tcPr>
            <w:tcW w:w="3960" w:type="dxa"/>
            <w:gridSpan w:val="3"/>
            <w:tcBorders>
              <w:top w:val="single" w:sz="8" w:space="0" w:color="000000"/>
              <w:left w:val="single" w:sz="8" w:space="0" w:color="000000"/>
              <w:bottom w:val="single" w:sz="8" w:space="0" w:color="000000"/>
              <w:right w:val="single" w:sz="8" w:space="0" w:color="000000"/>
            </w:tcBorders>
            <w:shd w:val="clear" w:color="auto" w:fill="C6D9F1" w:themeFill="text2" w:themeFillTint="33"/>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Times New Roman"/>
                <w:b/>
                <w:bCs/>
                <w:color w:val="000000"/>
                <w:kern w:val="24"/>
                <w:sz w:val="20"/>
              </w:rPr>
            </w:pPr>
            <w:r w:rsidRPr="00CA0AE3">
              <w:rPr>
                <w:rFonts w:eastAsia="Times New Roman"/>
                <w:b/>
                <w:bCs/>
                <w:color w:val="000000"/>
                <w:kern w:val="24"/>
                <w:sz w:val="20"/>
              </w:rPr>
              <w:t>5: Community Empowered Population Health Initiative</w:t>
            </w:r>
          </w:p>
        </w:tc>
        <w:tc>
          <w:tcPr>
            <w:tcW w:w="900" w:type="dxa"/>
            <w:tcBorders>
              <w:top w:val="single" w:sz="8" w:space="0" w:color="000000"/>
              <w:left w:val="single" w:sz="8" w:space="0" w:color="000000"/>
              <w:bottom w:val="single" w:sz="8" w:space="0" w:color="000000"/>
              <w:right w:val="single" w:sz="8" w:space="0" w:color="000000"/>
            </w:tcBorders>
            <w:shd w:val="clear" w:color="auto" w:fill="C6D9F1" w:themeFill="text2" w:themeFillTint="33"/>
            <w:vAlign w:val="center"/>
          </w:tcPr>
          <w:p w:rsidR="00CA2FE3" w:rsidRPr="00CA0AE3" w:rsidRDefault="00CA2FE3" w:rsidP="00D1633A">
            <w:pPr>
              <w:spacing w:after="0" w:line="240" w:lineRule="auto"/>
              <w:jc w:val="center"/>
              <w:rPr>
                <w:rFonts w:eastAsia="Times New Roman"/>
                <w:b/>
                <w:bCs/>
                <w:color w:val="000000"/>
                <w:kern w:val="24"/>
                <w:sz w:val="20"/>
              </w:rPr>
            </w:pPr>
            <w:r w:rsidRPr="00CA0AE3">
              <w:rPr>
                <w:rFonts w:eastAsia="Times New Roman"/>
                <w:b/>
                <w:bCs/>
                <w:color w:val="000000"/>
                <w:kern w:val="24"/>
                <w:sz w:val="20"/>
              </w:rPr>
              <w:t>Baseline</w:t>
            </w:r>
          </w:p>
        </w:tc>
        <w:tc>
          <w:tcPr>
            <w:tcW w:w="1170" w:type="dxa"/>
            <w:tcBorders>
              <w:top w:val="single" w:sz="8" w:space="0" w:color="000000"/>
              <w:left w:val="single" w:sz="8" w:space="0" w:color="000000"/>
              <w:bottom w:val="single" w:sz="8" w:space="0" w:color="000000"/>
              <w:right w:val="single" w:sz="8" w:space="0" w:color="000000"/>
            </w:tcBorders>
            <w:shd w:val="clear" w:color="auto" w:fill="C6D9F1" w:themeFill="text2" w:themeFillTint="33"/>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Times New Roman"/>
                <w:b/>
                <w:bCs/>
                <w:color w:val="000000"/>
                <w:kern w:val="24"/>
                <w:sz w:val="20"/>
              </w:rPr>
            </w:pPr>
            <w:r w:rsidRPr="00CA0AE3">
              <w:rPr>
                <w:rFonts w:eastAsia="Times New Roman"/>
                <w:b/>
                <w:bCs/>
                <w:color w:val="000000"/>
                <w:kern w:val="24"/>
                <w:sz w:val="20"/>
              </w:rPr>
              <w:t>Achieve 3 of 9 Measures</w:t>
            </w:r>
          </w:p>
        </w:tc>
        <w:tc>
          <w:tcPr>
            <w:tcW w:w="1170" w:type="dxa"/>
            <w:tcBorders>
              <w:top w:val="single" w:sz="8" w:space="0" w:color="000000"/>
              <w:left w:val="single" w:sz="8" w:space="0" w:color="000000"/>
              <w:bottom w:val="single" w:sz="8" w:space="0" w:color="000000"/>
              <w:right w:val="single" w:sz="8" w:space="0" w:color="000000"/>
            </w:tcBorders>
            <w:shd w:val="clear" w:color="auto" w:fill="C6D9F1" w:themeFill="text2" w:themeFillTint="33"/>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Times New Roman"/>
                <w:b/>
                <w:bCs/>
                <w:color w:val="000000"/>
                <w:kern w:val="24"/>
                <w:sz w:val="20"/>
              </w:rPr>
            </w:pPr>
            <w:r w:rsidRPr="00CA0AE3">
              <w:rPr>
                <w:rFonts w:eastAsia="Times New Roman"/>
                <w:b/>
                <w:bCs/>
                <w:color w:val="000000"/>
                <w:kern w:val="24"/>
                <w:sz w:val="20"/>
              </w:rPr>
              <w:t>Achieve 5 of 9 Measures</w:t>
            </w:r>
          </w:p>
        </w:tc>
        <w:tc>
          <w:tcPr>
            <w:tcW w:w="1170" w:type="dxa"/>
            <w:tcBorders>
              <w:top w:val="single" w:sz="8" w:space="0" w:color="000000"/>
              <w:left w:val="single" w:sz="8" w:space="0" w:color="000000"/>
              <w:bottom w:val="single" w:sz="8" w:space="0" w:color="000000"/>
              <w:right w:val="single" w:sz="8" w:space="0" w:color="000000"/>
            </w:tcBorders>
            <w:shd w:val="clear" w:color="auto" w:fill="C6D9F1" w:themeFill="text2" w:themeFillTint="33"/>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Times New Roman"/>
                <w:b/>
                <w:bCs/>
                <w:color w:val="000000"/>
                <w:kern w:val="24"/>
                <w:sz w:val="20"/>
              </w:rPr>
            </w:pPr>
            <w:r w:rsidRPr="00CA0AE3">
              <w:rPr>
                <w:rFonts w:eastAsia="Times New Roman"/>
                <w:b/>
                <w:bCs/>
                <w:color w:val="000000"/>
                <w:kern w:val="24"/>
                <w:sz w:val="20"/>
              </w:rPr>
              <w:t>Achieve 5 of 9 Measures</w:t>
            </w:r>
          </w:p>
        </w:tc>
        <w:tc>
          <w:tcPr>
            <w:tcW w:w="1170" w:type="dxa"/>
            <w:tcBorders>
              <w:top w:val="single" w:sz="8" w:space="0" w:color="000000"/>
              <w:left w:val="single" w:sz="8" w:space="0" w:color="000000"/>
              <w:bottom w:val="single" w:sz="8" w:space="0" w:color="000000"/>
              <w:right w:val="single" w:sz="8" w:space="0" w:color="000000"/>
            </w:tcBorders>
            <w:shd w:val="clear" w:color="auto" w:fill="C6D9F1" w:themeFill="text2" w:themeFillTint="33"/>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Times New Roman"/>
                <w:b/>
                <w:bCs/>
                <w:color w:val="000000"/>
                <w:kern w:val="24"/>
                <w:sz w:val="20"/>
              </w:rPr>
            </w:pPr>
            <w:r w:rsidRPr="00CA0AE3">
              <w:rPr>
                <w:rFonts w:eastAsia="Times New Roman"/>
                <w:b/>
                <w:bCs/>
                <w:color w:val="000000"/>
                <w:kern w:val="24"/>
                <w:sz w:val="20"/>
              </w:rPr>
              <w:t>Achieve 6 of 9 Measures</w:t>
            </w:r>
          </w:p>
        </w:tc>
        <w:tc>
          <w:tcPr>
            <w:tcW w:w="1353" w:type="dxa"/>
            <w:tcBorders>
              <w:top w:val="single" w:sz="8" w:space="0" w:color="000000"/>
              <w:left w:val="single" w:sz="8" w:space="0" w:color="000000"/>
              <w:bottom w:val="single" w:sz="8" w:space="0" w:color="000000"/>
              <w:right w:val="single" w:sz="8" w:space="0" w:color="000000"/>
            </w:tcBorders>
            <w:shd w:val="clear" w:color="auto" w:fill="C6D9F1" w:themeFill="text2" w:themeFillTint="33"/>
            <w:vAlign w:val="center"/>
          </w:tcPr>
          <w:p w:rsidR="00CA2FE3" w:rsidRDefault="00CA2FE3" w:rsidP="00CA2FE3">
            <w:pPr>
              <w:spacing w:after="0" w:line="240" w:lineRule="auto"/>
              <w:rPr>
                <w:rFonts w:eastAsia="Times New Roman"/>
                <w:b/>
                <w:bCs/>
                <w:kern w:val="24"/>
                <w:sz w:val="20"/>
                <w:szCs w:val="20"/>
              </w:rPr>
            </w:pPr>
            <w:r>
              <w:rPr>
                <w:rFonts w:eastAsia="Times New Roman"/>
                <w:b/>
                <w:bCs/>
                <w:kern w:val="24"/>
                <w:sz w:val="20"/>
                <w:szCs w:val="20"/>
              </w:rPr>
              <w:t>Baseline (B)</w:t>
            </w:r>
          </w:p>
          <w:p w:rsidR="00CA2FE3" w:rsidRDefault="00CA2FE3" w:rsidP="00CA2FE3">
            <w:pPr>
              <w:spacing w:after="0" w:line="240" w:lineRule="auto"/>
              <w:rPr>
                <w:rFonts w:eastAsia="Times New Roman"/>
                <w:b/>
                <w:bCs/>
                <w:kern w:val="24"/>
                <w:sz w:val="20"/>
                <w:szCs w:val="20"/>
              </w:rPr>
            </w:pPr>
            <w:r>
              <w:rPr>
                <w:rFonts w:eastAsia="Times New Roman"/>
                <w:b/>
                <w:bCs/>
                <w:kern w:val="24"/>
                <w:sz w:val="20"/>
                <w:szCs w:val="20"/>
              </w:rPr>
              <w:t>Outcome (O)</w:t>
            </w:r>
          </w:p>
          <w:p w:rsidR="00CA2FE3" w:rsidRPr="00CA0AE3" w:rsidRDefault="00CA2FE3" w:rsidP="00CA2FE3">
            <w:pPr>
              <w:spacing w:after="0" w:line="240" w:lineRule="auto"/>
              <w:rPr>
                <w:rFonts w:eastAsia="Times New Roman"/>
                <w:b/>
                <w:bCs/>
                <w:color w:val="000000"/>
                <w:kern w:val="24"/>
                <w:sz w:val="20"/>
              </w:rPr>
            </w:pPr>
            <w:r>
              <w:rPr>
                <w:rFonts w:eastAsia="Times New Roman"/>
                <w:b/>
                <w:bCs/>
                <w:kern w:val="24"/>
                <w:sz w:val="20"/>
                <w:szCs w:val="20"/>
              </w:rPr>
              <w:t>Reporting (R)</w:t>
            </w:r>
          </w:p>
        </w:tc>
      </w:tr>
      <w:tr w:rsidR="00CA2FE3" w:rsidRPr="00CA0AE3" w:rsidTr="003C48F3">
        <w:trPr>
          <w:cantSplit/>
          <w:trHeight w:val="398"/>
        </w:trPr>
        <w:tc>
          <w:tcPr>
            <w:tcW w:w="316" w:type="dxa"/>
            <w:tcBorders>
              <w:top w:val="single" w:sz="8" w:space="0" w:color="000000"/>
              <w:left w:val="single" w:sz="8" w:space="0" w:color="000000"/>
              <w:bottom w:val="single" w:sz="8" w:space="0" w:color="000000"/>
              <w:right w:val="single" w:sz="8" w:space="0" w:color="000000"/>
            </w:tcBorders>
            <w:shd w:val="clear" w:color="auto" w:fill="C6D9F1" w:themeFill="text2" w:themeFillTint="33"/>
            <w:vAlign w:val="center"/>
          </w:tcPr>
          <w:p w:rsidR="00CA2FE3" w:rsidRPr="00CA0AE3" w:rsidRDefault="00CA2FE3" w:rsidP="00D1633A">
            <w:pPr>
              <w:spacing w:after="0" w:line="240" w:lineRule="auto"/>
              <w:jc w:val="center"/>
              <w:rPr>
                <w:rFonts w:eastAsia="Times New Roman"/>
                <w:b/>
                <w:bCs/>
                <w:color w:val="000000"/>
                <w:kern w:val="24"/>
                <w:sz w:val="20"/>
              </w:rPr>
            </w:pPr>
            <w:r w:rsidRPr="00CA0AE3">
              <w:rPr>
                <w:rFonts w:eastAsia="Times New Roman"/>
                <w:b/>
                <w:bCs/>
                <w:color w:val="000000"/>
                <w:kern w:val="24"/>
                <w:sz w:val="20"/>
              </w:rPr>
              <w:t>#</w:t>
            </w:r>
          </w:p>
        </w:tc>
        <w:tc>
          <w:tcPr>
            <w:tcW w:w="1937" w:type="dxa"/>
            <w:tcBorders>
              <w:top w:val="single" w:sz="8" w:space="0" w:color="000000"/>
              <w:left w:val="single" w:sz="8" w:space="0" w:color="000000"/>
              <w:bottom w:val="single" w:sz="8" w:space="0" w:color="000000"/>
              <w:right w:val="single" w:sz="8" w:space="0" w:color="000000"/>
            </w:tcBorders>
            <w:shd w:val="clear" w:color="auto" w:fill="C6D9F1" w:themeFill="text2" w:themeFillTint="33"/>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Times New Roman"/>
                <w:sz w:val="20"/>
              </w:rPr>
            </w:pPr>
            <w:r w:rsidRPr="00CA0AE3">
              <w:rPr>
                <w:rFonts w:eastAsia="Times New Roman"/>
                <w:b/>
                <w:bCs/>
                <w:color w:val="000000"/>
                <w:kern w:val="24"/>
                <w:sz w:val="20"/>
              </w:rPr>
              <w:t>Measure Description</w:t>
            </w:r>
          </w:p>
        </w:tc>
        <w:tc>
          <w:tcPr>
            <w:tcW w:w="1080" w:type="dxa"/>
            <w:tcBorders>
              <w:top w:val="single" w:sz="8" w:space="0" w:color="000000"/>
              <w:left w:val="single" w:sz="8" w:space="0" w:color="000000"/>
              <w:bottom w:val="single" w:sz="8" w:space="0" w:color="000000"/>
              <w:right w:val="single" w:sz="8" w:space="0" w:color="000000"/>
            </w:tcBorders>
            <w:shd w:val="clear" w:color="auto" w:fill="C6D9F1" w:themeFill="text2" w:themeFillTint="33"/>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Times New Roman"/>
                <w:color w:val="000000"/>
                <w:kern w:val="24"/>
                <w:sz w:val="20"/>
              </w:rPr>
            </w:pPr>
            <w:r w:rsidRPr="00CA0AE3">
              <w:rPr>
                <w:rFonts w:eastAsia="Times New Roman"/>
                <w:b/>
                <w:bCs/>
                <w:color w:val="000000"/>
                <w:kern w:val="24"/>
                <w:sz w:val="20"/>
              </w:rPr>
              <w:t>Measure Steward</w:t>
            </w:r>
          </w:p>
          <w:p w:rsidR="00CA2FE3" w:rsidRPr="00CA0AE3" w:rsidRDefault="00CA2FE3" w:rsidP="00D1633A">
            <w:pPr>
              <w:spacing w:after="0" w:line="240" w:lineRule="auto"/>
              <w:jc w:val="center"/>
              <w:rPr>
                <w:rFonts w:eastAsia="Times New Roman"/>
                <w:b/>
                <w:sz w:val="20"/>
              </w:rPr>
            </w:pPr>
            <w:r w:rsidRPr="00CA0AE3">
              <w:rPr>
                <w:rFonts w:eastAsia="Times New Roman"/>
                <w:b/>
                <w:color w:val="000000"/>
                <w:kern w:val="24"/>
                <w:sz w:val="20"/>
              </w:rPr>
              <w:t>NQF#</w:t>
            </w:r>
          </w:p>
        </w:tc>
        <w:tc>
          <w:tcPr>
            <w:tcW w:w="1350" w:type="dxa"/>
            <w:tcBorders>
              <w:top w:val="single" w:sz="8" w:space="0" w:color="000000"/>
              <w:left w:val="single" w:sz="8" w:space="0" w:color="000000"/>
              <w:bottom w:val="single" w:sz="8" w:space="0" w:color="000000"/>
              <w:right w:val="single" w:sz="8" w:space="0" w:color="000000"/>
            </w:tcBorders>
            <w:shd w:val="clear" w:color="auto" w:fill="C6D9F1" w:themeFill="text2" w:themeFillTint="33"/>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Times New Roman"/>
                <w:sz w:val="20"/>
              </w:rPr>
            </w:pPr>
            <w:r w:rsidRPr="00CA0AE3">
              <w:rPr>
                <w:rFonts w:eastAsia="Times New Roman"/>
                <w:b/>
                <w:bCs/>
                <w:color w:val="000000"/>
                <w:kern w:val="24"/>
                <w:sz w:val="20"/>
              </w:rPr>
              <w:t>Benchmark</w:t>
            </w:r>
          </w:p>
        </w:tc>
        <w:tc>
          <w:tcPr>
            <w:tcW w:w="1530" w:type="dxa"/>
            <w:tcBorders>
              <w:top w:val="single" w:sz="8" w:space="0" w:color="000000"/>
              <w:left w:val="single" w:sz="8" w:space="0" w:color="000000"/>
              <w:bottom w:val="single" w:sz="8" w:space="0" w:color="000000"/>
              <w:right w:val="single" w:sz="8" w:space="0" w:color="000000"/>
            </w:tcBorders>
            <w:shd w:val="clear" w:color="auto" w:fill="C6D9F1" w:themeFill="text2" w:themeFillTint="33"/>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Times New Roman"/>
                <w:sz w:val="20"/>
              </w:rPr>
            </w:pPr>
            <w:r w:rsidRPr="00CA0AE3">
              <w:rPr>
                <w:rFonts w:eastAsia="Times New Roman"/>
                <w:b/>
                <w:bCs/>
                <w:color w:val="000000"/>
                <w:kern w:val="24"/>
                <w:sz w:val="20"/>
              </w:rPr>
              <w:t>Improvement Methodology</w:t>
            </w:r>
          </w:p>
        </w:tc>
        <w:tc>
          <w:tcPr>
            <w:tcW w:w="900" w:type="dxa"/>
            <w:tcBorders>
              <w:top w:val="single" w:sz="8" w:space="0" w:color="000000"/>
              <w:left w:val="single" w:sz="8" w:space="0" w:color="000000"/>
              <w:bottom w:val="single" w:sz="8" w:space="0" w:color="000000"/>
              <w:right w:val="single" w:sz="8" w:space="0" w:color="000000"/>
            </w:tcBorders>
            <w:shd w:val="clear" w:color="auto" w:fill="C6D9F1" w:themeFill="text2" w:themeFillTint="33"/>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Times New Roman"/>
                <w:color w:val="000000"/>
                <w:kern w:val="24"/>
                <w:sz w:val="20"/>
              </w:rPr>
            </w:pPr>
            <w:r w:rsidRPr="00CA0AE3">
              <w:rPr>
                <w:rFonts w:eastAsia="Times New Roman"/>
                <w:b/>
                <w:bCs/>
                <w:color w:val="000000"/>
                <w:kern w:val="24"/>
                <w:sz w:val="20"/>
              </w:rPr>
              <w:t>Year 1</w:t>
            </w:r>
          </w:p>
          <w:p w:rsidR="00CA2FE3" w:rsidRPr="00CA0AE3" w:rsidRDefault="00CA2FE3" w:rsidP="00D1633A">
            <w:pPr>
              <w:spacing w:after="0" w:line="240" w:lineRule="auto"/>
              <w:jc w:val="center"/>
              <w:rPr>
                <w:rFonts w:eastAsia="Times New Roman"/>
                <w:color w:val="000000"/>
                <w:kern w:val="24"/>
                <w:sz w:val="20"/>
              </w:rPr>
            </w:pPr>
            <w:r w:rsidRPr="00CA0AE3">
              <w:rPr>
                <w:rFonts w:eastAsia="Times New Roman"/>
                <w:color w:val="000000"/>
                <w:kern w:val="24"/>
                <w:sz w:val="20"/>
              </w:rPr>
              <w:t>SFY</w:t>
            </w:r>
          </w:p>
          <w:p w:rsidR="00CA2FE3" w:rsidRPr="00CA0AE3" w:rsidRDefault="00CA2FE3" w:rsidP="00D1633A">
            <w:pPr>
              <w:spacing w:after="0" w:line="240" w:lineRule="auto"/>
              <w:jc w:val="center"/>
              <w:rPr>
                <w:rFonts w:eastAsia="Times New Roman"/>
                <w:sz w:val="20"/>
              </w:rPr>
            </w:pPr>
            <w:r w:rsidRPr="00CA0AE3">
              <w:rPr>
                <w:rFonts w:eastAsia="Times New Roman"/>
                <w:color w:val="000000"/>
                <w:kern w:val="24"/>
                <w:sz w:val="20"/>
              </w:rPr>
              <w:t>2018</w:t>
            </w:r>
          </w:p>
        </w:tc>
        <w:tc>
          <w:tcPr>
            <w:tcW w:w="1170" w:type="dxa"/>
            <w:tcBorders>
              <w:top w:val="single" w:sz="8" w:space="0" w:color="000000"/>
              <w:left w:val="single" w:sz="8" w:space="0" w:color="000000"/>
              <w:bottom w:val="single" w:sz="8" w:space="0" w:color="000000"/>
              <w:right w:val="single" w:sz="8" w:space="0" w:color="000000"/>
            </w:tcBorders>
            <w:shd w:val="clear" w:color="auto" w:fill="C6D9F1" w:themeFill="text2" w:themeFillTint="33"/>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Times New Roman"/>
                <w:color w:val="000000"/>
                <w:kern w:val="24"/>
                <w:sz w:val="20"/>
              </w:rPr>
            </w:pPr>
            <w:r w:rsidRPr="00CA0AE3">
              <w:rPr>
                <w:rFonts w:eastAsia="Times New Roman"/>
                <w:b/>
                <w:bCs/>
                <w:color w:val="000000"/>
                <w:kern w:val="24"/>
                <w:sz w:val="20"/>
              </w:rPr>
              <w:t>Year 2</w:t>
            </w:r>
          </w:p>
          <w:p w:rsidR="00CA2FE3" w:rsidRPr="00CA0AE3" w:rsidRDefault="00CA2FE3" w:rsidP="00D1633A">
            <w:pPr>
              <w:spacing w:after="0" w:line="240" w:lineRule="auto"/>
              <w:jc w:val="center"/>
              <w:rPr>
                <w:rFonts w:eastAsia="Times New Roman"/>
                <w:color w:val="000000"/>
                <w:kern w:val="24"/>
                <w:sz w:val="20"/>
              </w:rPr>
            </w:pPr>
            <w:r w:rsidRPr="00CA0AE3">
              <w:rPr>
                <w:rFonts w:eastAsia="Times New Roman"/>
                <w:color w:val="000000"/>
                <w:kern w:val="24"/>
                <w:sz w:val="20"/>
              </w:rPr>
              <w:t xml:space="preserve">SFY </w:t>
            </w:r>
          </w:p>
          <w:p w:rsidR="00CA2FE3" w:rsidRPr="00CA0AE3" w:rsidRDefault="00CA2FE3" w:rsidP="00D1633A">
            <w:pPr>
              <w:spacing w:after="0" w:line="240" w:lineRule="auto"/>
              <w:jc w:val="center"/>
              <w:rPr>
                <w:rFonts w:eastAsia="Times New Roman"/>
                <w:sz w:val="20"/>
              </w:rPr>
            </w:pPr>
            <w:r w:rsidRPr="00CA0AE3">
              <w:rPr>
                <w:rFonts w:eastAsia="Times New Roman"/>
                <w:color w:val="000000"/>
                <w:kern w:val="24"/>
                <w:sz w:val="20"/>
              </w:rPr>
              <w:t>2019</w:t>
            </w:r>
          </w:p>
        </w:tc>
        <w:tc>
          <w:tcPr>
            <w:tcW w:w="1170" w:type="dxa"/>
            <w:tcBorders>
              <w:top w:val="single" w:sz="8" w:space="0" w:color="000000"/>
              <w:left w:val="single" w:sz="8" w:space="0" w:color="000000"/>
              <w:bottom w:val="single" w:sz="8" w:space="0" w:color="000000"/>
              <w:right w:val="single" w:sz="8" w:space="0" w:color="000000"/>
            </w:tcBorders>
            <w:shd w:val="clear" w:color="auto" w:fill="C6D9F1" w:themeFill="text2" w:themeFillTint="33"/>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Times New Roman"/>
                <w:color w:val="000000"/>
                <w:kern w:val="24"/>
                <w:sz w:val="20"/>
              </w:rPr>
            </w:pPr>
            <w:r w:rsidRPr="00CA0AE3">
              <w:rPr>
                <w:rFonts w:eastAsia="Times New Roman"/>
                <w:b/>
                <w:bCs/>
                <w:color w:val="000000"/>
                <w:kern w:val="24"/>
                <w:sz w:val="20"/>
              </w:rPr>
              <w:t>Year 3</w:t>
            </w:r>
          </w:p>
          <w:p w:rsidR="00CA2FE3" w:rsidRPr="00CA0AE3" w:rsidRDefault="00CA2FE3" w:rsidP="00D1633A">
            <w:pPr>
              <w:spacing w:after="0" w:line="240" w:lineRule="auto"/>
              <w:jc w:val="center"/>
              <w:rPr>
                <w:rFonts w:eastAsia="Times New Roman"/>
                <w:color w:val="000000"/>
                <w:kern w:val="24"/>
                <w:sz w:val="20"/>
              </w:rPr>
            </w:pPr>
            <w:r w:rsidRPr="00CA0AE3">
              <w:rPr>
                <w:rFonts w:eastAsia="Times New Roman"/>
                <w:color w:val="000000"/>
                <w:kern w:val="24"/>
                <w:sz w:val="20"/>
              </w:rPr>
              <w:t>SFY</w:t>
            </w:r>
          </w:p>
          <w:p w:rsidR="00CA2FE3" w:rsidRPr="00CA0AE3" w:rsidRDefault="00CA2FE3" w:rsidP="00D1633A">
            <w:pPr>
              <w:spacing w:after="0" w:line="240" w:lineRule="auto"/>
              <w:jc w:val="center"/>
              <w:rPr>
                <w:rFonts w:eastAsia="Times New Roman"/>
                <w:sz w:val="20"/>
              </w:rPr>
            </w:pPr>
            <w:r w:rsidRPr="00CA0AE3">
              <w:rPr>
                <w:rFonts w:eastAsia="Times New Roman"/>
                <w:color w:val="000000"/>
                <w:kern w:val="24"/>
                <w:sz w:val="20"/>
              </w:rPr>
              <w:t>2020</w:t>
            </w:r>
          </w:p>
        </w:tc>
        <w:tc>
          <w:tcPr>
            <w:tcW w:w="1170" w:type="dxa"/>
            <w:tcBorders>
              <w:top w:val="single" w:sz="8" w:space="0" w:color="000000"/>
              <w:left w:val="single" w:sz="8" w:space="0" w:color="000000"/>
              <w:bottom w:val="single" w:sz="8" w:space="0" w:color="000000"/>
              <w:right w:val="single" w:sz="8" w:space="0" w:color="000000"/>
            </w:tcBorders>
            <w:shd w:val="clear" w:color="auto" w:fill="C6D9F1" w:themeFill="text2" w:themeFillTint="33"/>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Times New Roman"/>
                <w:color w:val="000000"/>
                <w:kern w:val="24"/>
                <w:sz w:val="20"/>
              </w:rPr>
            </w:pPr>
            <w:r w:rsidRPr="00CA0AE3">
              <w:rPr>
                <w:rFonts w:eastAsia="Times New Roman"/>
                <w:b/>
                <w:bCs/>
                <w:color w:val="000000"/>
                <w:kern w:val="24"/>
                <w:sz w:val="20"/>
              </w:rPr>
              <w:t>Year 4</w:t>
            </w:r>
          </w:p>
          <w:p w:rsidR="00CA2FE3" w:rsidRPr="00CA0AE3" w:rsidRDefault="00CA2FE3" w:rsidP="00D1633A">
            <w:pPr>
              <w:spacing w:after="0" w:line="240" w:lineRule="auto"/>
              <w:jc w:val="center"/>
              <w:rPr>
                <w:rFonts w:eastAsia="Times New Roman"/>
                <w:color w:val="000000"/>
                <w:kern w:val="24"/>
                <w:sz w:val="20"/>
              </w:rPr>
            </w:pPr>
            <w:r w:rsidRPr="00CA0AE3">
              <w:rPr>
                <w:rFonts w:eastAsia="Times New Roman"/>
                <w:color w:val="000000"/>
                <w:kern w:val="24"/>
                <w:sz w:val="20"/>
              </w:rPr>
              <w:t>SFY</w:t>
            </w:r>
          </w:p>
          <w:p w:rsidR="00CA2FE3" w:rsidRPr="00CA0AE3" w:rsidRDefault="00CA2FE3" w:rsidP="00D1633A">
            <w:pPr>
              <w:spacing w:after="0" w:line="240" w:lineRule="auto"/>
              <w:jc w:val="center"/>
              <w:rPr>
                <w:rFonts w:eastAsia="Times New Roman"/>
                <w:sz w:val="20"/>
              </w:rPr>
            </w:pPr>
            <w:r w:rsidRPr="00CA0AE3">
              <w:rPr>
                <w:rFonts w:eastAsia="Times New Roman"/>
                <w:color w:val="000000"/>
                <w:kern w:val="24"/>
                <w:sz w:val="20"/>
              </w:rPr>
              <w:t>2021</w:t>
            </w:r>
          </w:p>
        </w:tc>
        <w:tc>
          <w:tcPr>
            <w:tcW w:w="1170" w:type="dxa"/>
            <w:tcBorders>
              <w:top w:val="single" w:sz="8" w:space="0" w:color="000000"/>
              <w:left w:val="single" w:sz="8" w:space="0" w:color="000000"/>
              <w:bottom w:val="single" w:sz="8" w:space="0" w:color="000000"/>
              <w:right w:val="single" w:sz="8" w:space="0" w:color="000000"/>
            </w:tcBorders>
            <w:shd w:val="clear" w:color="auto" w:fill="C6D9F1" w:themeFill="text2" w:themeFillTint="33"/>
            <w:tcMar>
              <w:top w:w="13" w:type="dxa"/>
              <w:left w:w="93" w:type="dxa"/>
              <w:bottom w:w="0" w:type="dxa"/>
              <w:right w:w="93" w:type="dxa"/>
            </w:tcMar>
            <w:vAlign w:val="center"/>
            <w:hideMark/>
          </w:tcPr>
          <w:p w:rsidR="00CA2FE3" w:rsidRPr="00CA0AE3" w:rsidRDefault="00CA2FE3" w:rsidP="00D1633A">
            <w:pPr>
              <w:spacing w:after="0" w:line="240" w:lineRule="auto"/>
              <w:jc w:val="center"/>
              <w:rPr>
                <w:rFonts w:eastAsia="Times New Roman"/>
                <w:color w:val="000000"/>
                <w:kern w:val="24"/>
                <w:sz w:val="20"/>
              </w:rPr>
            </w:pPr>
            <w:r w:rsidRPr="00CA0AE3">
              <w:rPr>
                <w:rFonts w:eastAsia="Times New Roman"/>
                <w:b/>
                <w:bCs/>
                <w:color w:val="000000"/>
                <w:kern w:val="24"/>
                <w:sz w:val="20"/>
              </w:rPr>
              <w:t>Year 5</w:t>
            </w:r>
          </w:p>
          <w:p w:rsidR="00CA2FE3" w:rsidRPr="00CA0AE3" w:rsidRDefault="00CA2FE3" w:rsidP="00D1633A">
            <w:pPr>
              <w:spacing w:after="0" w:line="240" w:lineRule="auto"/>
              <w:jc w:val="center"/>
              <w:rPr>
                <w:rFonts w:eastAsia="Times New Roman"/>
                <w:color w:val="000000"/>
                <w:kern w:val="24"/>
                <w:sz w:val="20"/>
              </w:rPr>
            </w:pPr>
            <w:r w:rsidRPr="00CA0AE3">
              <w:rPr>
                <w:rFonts w:eastAsia="Times New Roman"/>
                <w:color w:val="000000"/>
                <w:kern w:val="24"/>
                <w:sz w:val="20"/>
              </w:rPr>
              <w:t>SFY</w:t>
            </w:r>
          </w:p>
          <w:p w:rsidR="00CA2FE3" w:rsidRPr="00CA0AE3" w:rsidRDefault="00CA2FE3" w:rsidP="00D1633A">
            <w:pPr>
              <w:spacing w:after="0" w:line="240" w:lineRule="auto"/>
              <w:jc w:val="center"/>
              <w:rPr>
                <w:rFonts w:eastAsia="Times New Roman"/>
                <w:sz w:val="20"/>
              </w:rPr>
            </w:pPr>
            <w:r w:rsidRPr="00CA0AE3">
              <w:rPr>
                <w:rFonts w:eastAsia="Times New Roman"/>
                <w:color w:val="000000"/>
                <w:kern w:val="24"/>
                <w:sz w:val="20"/>
              </w:rPr>
              <w:t>2022</w:t>
            </w:r>
          </w:p>
        </w:tc>
        <w:tc>
          <w:tcPr>
            <w:tcW w:w="1353" w:type="dxa"/>
            <w:tcBorders>
              <w:top w:val="single" w:sz="8" w:space="0" w:color="000000"/>
              <w:left w:val="single" w:sz="8" w:space="0" w:color="000000"/>
              <w:bottom w:val="single" w:sz="8" w:space="0" w:color="000000"/>
              <w:right w:val="single" w:sz="8" w:space="0" w:color="000000"/>
            </w:tcBorders>
            <w:shd w:val="clear" w:color="auto" w:fill="C6D9F1" w:themeFill="text2" w:themeFillTint="33"/>
            <w:vAlign w:val="center"/>
          </w:tcPr>
          <w:p w:rsidR="00CA2FE3" w:rsidRPr="00CA0AE3" w:rsidRDefault="00CA2FE3" w:rsidP="00D1633A">
            <w:pPr>
              <w:spacing w:after="0" w:line="240" w:lineRule="auto"/>
              <w:jc w:val="center"/>
              <w:rPr>
                <w:rFonts w:eastAsia="Times New Roman"/>
                <w:b/>
                <w:bCs/>
                <w:color w:val="000000"/>
                <w:kern w:val="24"/>
                <w:sz w:val="20"/>
              </w:rPr>
            </w:pPr>
            <w:r w:rsidRPr="00CA0AE3">
              <w:rPr>
                <w:rFonts w:eastAsia="Times New Roman"/>
                <w:b/>
                <w:bCs/>
                <w:color w:val="000000"/>
                <w:kern w:val="24"/>
                <w:sz w:val="20"/>
              </w:rPr>
              <w:t>Rationale for Improvement Target</w:t>
            </w:r>
          </w:p>
        </w:tc>
      </w:tr>
      <w:tr w:rsidR="00CA2FE3" w:rsidRPr="00CA0AE3" w:rsidTr="003C48F3">
        <w:trPr>
          <w:cantSplit/>
          <w:trHeight w:val="1605"/>
        </w:trPr>
        <w:tc>
          <w:tcPr>
            <w:tcW w:w="316" w:type="dxa"/>
            <w:tcBorders>
              <w:top w:val="single" w:sz="8" w:space="0" w:color="000000"/>
              <w:left w:val="single" w:sz="8" w:space="0" w:color="000000"/>
              <w:bottom w:val="single" w:sz="8" w:space="0" w:color="000000"/>
              <w:right w:val="single" w:sz="8" w:space="0" w:color="000000"/>
            </w:tcBorders>
            <w:vAlign w:val="center"/>
          </w:tcPr>
          <w:p w:rsidR="00CA2FE3" w:rsidRPr="00CA0AE3" w:rsidRDefault="00CA2FE3" w:rsidP="00D1633A">
            <w:pPr>
              <w:spacing w:after="0" w:line="240" w:lineRule="auto"/>
              <w:jc w:val="center"/>
              <w:rPr>
                <w:sz w:val="16"/>
                <w:szCs w:val="16"/>
              </w:rPr>
            </w:pPr>
            <w:r w:rsidRPr="00CA0AE3">
              <w:rPr>
                <w:sz w:val="16"/>
                <w:szCs w:val="16"/>
              </w:rPr>
              <w:t>1</w:t>
            </w:r>
          </w:p>
        </w:tc>
        <w:tc>
          <w:tcPr>
            <w:tcW w:w="1937"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pStyle w:val="NormalWeb"/>
              <w:spacing w:before="0" w:beforeAutospacing="0" w:after="0" w:afterAutospacing="0"/>
              <w:rPr>
                <w:sz w:val="16"/>
                <w:szCs w:val="16"/>
              </w:rPr>
            </w:pPr>
            <w:r w:rsidRPr="00CA0AE3">
              <w:rPr>
                <w:b/>
                <w:bCs/>
                <w:kern w:val="24"/>
                <w:sz w:val="16"/>
                <w:szCs w:val="16"/>
              </w:rPr>
              <w:t>Social Determinant Screenings:</w:t>
            </w:r>
            <w:r w:rsidRPr="00CA0AE3">
              <w:rPr>
                <w:bCs/>
                <w:kern w:val="24"/>
                <w:sz w:val="16"/>
                <w:szCs w:val="16"/>
              </w:rPr>
              <w:t xml:space="preserve"> Utilizing implemented social determinant(s) screening tool, increase percentage of defined patient panel population segment(s) (such as patients with chronic conditions and/or behavioral health conditions, high risk/high utilizers, specific primary or specialty practices) within the ACO/public payor population) screened for selected Social Determinants</w:t>
            </w:r>
          </w:p>
        </w:tc>
        <w:tc>
          <w:tcPr>
            <w:tcW w:w="1080"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sz w:val="16"/>
                <w:szCs w:val="16"/>
              </w:rPr>
            </w:pPr>
            <w:r w:rsidRPr="00CA0AE3">
              <w:rPr>
                <w:sz w:val="16"/>
                <w:szCs w:val="16"/>
              </w:rPr>
              <w:t>Customized Measure</w:t>
            </w:r>
          </w:p>
        </w:tc>
        <w:tc>
          <w:tcPr>
            <w:tcW w:w="1350"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sz w:val="16"/>
                <w:szCs w:val="16"/>
              </w:rPr>
            </w:pPr>
            <w:r w:rsidRPr="00CA0AE3">
              <w:rPr>
                <w:sz w:val="16"/>
                <w:szCs w:val="16"/>
              </w:rPr>
              <w:t>No external benchmark;</w:t>
            </w:r>
          </w:p>
          <w:p w:rsidR="00CA2FE3" w:rsidRPr="00CA0AE3" w:rsidRDefault="00CA2FE3" w:rsidP="00D1633A">
            <w:pPr>
              <w:spacing w:after="0" w:line="240" w:lineRule="auto"/>
              <w:jc w:val="center"/>
              <w:rPr>
                <w:bCs/>
                <w:sz w:val="16"/>
                <w:szCs w:val="16"/>
              </w:rPr>
            </w:pPr>
            <w:r w:rsidRPr="00CA0AE3">
              <w:rPr>
                <w:sz w:val="16"/>
                <w:szCs w:val="16"/>
              </w:rPr>
              <w:t>hospital specific improvement target =70%</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sz w:val="16"/>
                <w:szCs w:val="16"/>
              </w:rPr>
            </w:pPr>
            <w:r w:rsidRPr="00CA0AE3">
              <w:rPr>
                <w:bCs/>
                <w:sz w:val="16"/>
                <w:szCs w:val="16"/>
              </w:rPr>
              <w:t>Gap to Goal (10%) or attainment at target</w:t>
            </w:r>
          </w:p>
        </w:tc>
        <w:tc>
          <w:tcPr>
            <w:tcW w:w="900"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sz w:val="16"/>
                <w:szCs w:val="16"/>
              </w:rPr>
            </w:pPr>
            <w:r w:rsidRPr="00CA0AE3">
              <w:rPr>
                <w:sz w:val="16"/>
                <w:szCs w:val="16"/>
              </w:rPr>
              <w:t>B</w:t>
            </w:r>
          </w:p>
        </w:tc>
        <w:tc>
          <w:tcPr>
            <w:tcW w:w="1170"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sz w:val="16"/>
                <w:szCs w:val="16"/>
              </w:rPr>
            </w:pPr>
            <w:r w:rsidRPr="00CA0AE3">
              <w:rPr>
                <w:sz w:val="16"/>
                <w:szCs w:val="16"/>
              </w:rPr>
              <w:t>O</w:t>
            </w:r>
          </w:p>
        </w:tc>
        <w:tc>
          <w:tcPr>
            <w:tcW w:w="1170"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sz w:val="16"/>
                <w:szCs w:val="16"/>
              </w:rPr>
            </w:pPr>
            <w:r w:rsidRPr="00CA0AE3">
              <w:rPr>
                <w:sz w:val="16"/>
                <w:szCs w:val="16"/>
              </w:rPr>
              <w:t>O</w:t>
            </w:r>
          </w:p>
        </w:tc>
        <w:tc>
          <w:tcPr>
            <w:tcW w:w="1170"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sz w:val="16"/>
                <w:szCs w:val="16"/>
              </w:rPr>
            </w:pPr>
            <w:r w:rsidRPr="00CA0AE3">
              <w:rPr>
                <w:sz w:val="16"/>
                <w:szCs w:val="16"/>
              </w:rPr>
              <w:t>O</w:t>
            </w:r>
          </w:p>
        </w:tc>
        <w:tc>
          <w:tcPr>
            <w:tcW w:w="1170"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sz w:val="16"/>
                <w:szCs w:val="16"/>
              </w:rPr>
            </w:pPr>
          </w:p>
          <w:p w:rsidR="00CA2FE3" w:rsidRPr="00CA0AE3" w:rsidRDefault="00CA2FE3" w:rsidP="00D1633A">
            <w:pPr>
              <w:spacing w:after="0" w:line="240" w:lineRule="auto"/>
              <w:jc w:val="center"/>
              <w:rPr>
                <w:sz w:val="16"/>
                <w:szCs w:val="16"/>
              </w:rPr>
            </w:pPr>
            <w:r w:rsidRPr="00CA0AE3">
              <w:rPr>
                <w:sz w:val="16"/>
                <w:szCs w:val="16"/>
              </w:rPr>
              <w:t>O</w:t>
            </w:r>
          </w:p>
          <w:p w:rsidR="00CA2FE3" w:rsidRPr="00CA0AE3" w:rsidRDefault="00CA2FE3" w:rsidP="00D1633A">
            <w:pPr>
              <w:spacing w:after="0" w:line="240" w:lineRule="auto"/>
              <w:jc w:val="center"/>
              <w:rPr>
                <w:sz w:val="16"/>
                <w:szCs w:val="16"/>
              </w:rPr>
            </w:pPr>
          </w:p>
        </w:tc>
        <w:tc>
          <w:tcPr>
            <w:tcW w:w="1353" w:type="dxa"/>
            <w:tcBorders>
              <w:top w:val="single" w:sz="8" w:space="0" w:color="000000"/>
              <w:left w:val="single" w:sz="8" w:space="0" w:color="000000"/>
              <w:bottom w:val="single" w:sz="8" w:space="0" w:color="000000"/>
              <w:right w:val="single" w:sz="8" w:space="0" w:color="000000"/>
            </w:tcBorders>
            <w:vAlign w:val="center"/>
          </w:tcPr>
          <w:p w:rsidR="00CA2FE3" w:rsidRPr="00CA0AE3" w:rsidRDefault="00CA2FE3" w:rsidP="00D1633A">
            <w:pPr>
              <w:spacing w:after="0" w:line="240" w:lineRule="auto"/>
              <w:rPr>
                <w:rFonts w:eastAsia="Times New Roman"/>
                <w:sz w:val="16"/>
                <w:szCs w:val="16"/>
              </w:rPr>
            </w:pPr>
            <w:r w:rsidRPr="00CA0AE3">
              <w:rPr>
                <w:rFonts w:eastAsia="Times New Roman"/>
                <w:sz w:val="16"/>
                <w:szCs w:val="16"/>
              </w:rPr>
              <w:t xml:space="preserve">Target is based on population screening measures for this new initiative. </w:t>
            </w:r>
          </w:p>
        </w:tc>
      </w:tr>
      <w:tr w:rsidR="00CA2FE3" w:rsidRPr="00CA0AE3" w:rsidTr="003C48F3">
        <w:trPr>
          <w:cantSplit/>
          <w:trHeight w:val="1317"/>
        </w:trPr>
        <w:tc>
          <w:tcPr>
            <w:tcW w:w="316" w:type="dxa"/>
            <w:tcBorders>
              <w:top w:val="single" w:sz="8" w:space="0" w:color="000000"/>
              <w:left w:val="single" w:sz="8" w:space="0" w:color="000000"/>
              <w:bottom w:val="single" w:sz="8" w:space="0" w:color="000000"/>
              <w:right w:val="single" w:sz="8" w:space="0" w:color="000000"/>
            </w:tcBorders>
            <w:vAlign w:val="center"/>
          </w:tcPr>
          <w:p w:rsidR="00CA2FE3" w:rsidRPr="00CA0AE3" w:rsidRDefault="00CA2FE3" w:rsidP="00D1633A">
            <w:pPr>
              <w:spacing w:after="0" w:line="240" w:lineRule="auto"/>
              <w:jc w:val="center"/>
              <w:rPr>
                <w:sz w:val="16"/>
                <w:szCs w:val="16"/>
              </w:rPr>
            </w:pPr>
            <w:r w:rsidRPr="00CA0AE3">
              <w:rPr>
                <w:sz w:val="16"/>
                <w:szCs w:val="16"/>
              </w:rPr>
              <w:lastRenderedPageBreak/>
              <w:t>2</w:t>
            </w:r>
          </w:p>
          <w:p w:rsidR="00CA2FE3" w:rsidRPr="00CA0AE3" w:rsidRDefault="00CA2FE3" w:rsidP="00D1633A">
            <w:pPr>
              <w:spacing w:after="0" w:line="240" w:lineRule="auto"/>
              <w:jc w:val="center"/>
              <w:rPr>
                <w:sz w:val="16"/>
                <w:szCs w:val="16"/>
              </w:rPr>
            </w:pPr>
          </w:p>
        </w:tc>
        <w:tc>
          <w:tcPr>
            <w:tcW w:w="1937"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pStyle w:val="NormalWeb"/>
              <w:spacing w:before="0" w:beforeAutospacing="0" w:after="0" w:afterAutospacing="0"/>
              <w:rPr>
                <w:sz w:val="16"/>
                <w:szCs w:val="16"/>
              </w:rPr>
            </w:pPr>
            <w:r w:rsidRPr="00CA0AE3">
              <w:rPr>
                <w:b/>
                <w:bCs/>
                <w:kern w:val="24"/>
                <w:sz w:val="16"/>
                <w:szCs w:val="16"/>
              </w:rPr>
              <w:t>Referrals to Community and Social Services:</w:t>
            </w:r>
            <w:r w:rsidRPr="00CA0AE3">
              <w:rPr>
                <w:bCs/>
                <w:kern w:val="24"/>
                <w:sz w:val="16"/>
                <w:szCs w:val="16"/>
              </w:rPr>
              <w:t xml:space="preserve"> The percentage of defined patient panel screened for social determinant(s) (in measure 1 above) with referrals  to community and social services and supports</w:t>
            </w:r>
          </w:p>
        </w:tc>
        <w:tc>
          <w:tcPr>
            <w:tcW w:w="1080"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sz w:val="16"/>
                <w:szCs w:val="16"/>
              </w:rPr>
            </w:pPr>
            <w:r w:rsidRPr="00CA0AE3">
              <w:rPr>
                <w:sz w:val="16"/>
                <w:szCs w:val="16"/>
              </w:rPr>
              <w:t>Customized Measure</w:t>
            </w:r>
          </w:p>
        </w:tc>
        <w:tc>
          <w:tcPr>
            <w:tcW w:w="1350"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sz w:val="16"/>
                <w:szCs w:val="16"/>
              </w:rPr>
            </w:pPr>
            <w:r w:rsidRPr="00CA0AE3">
              <w:rPr>
                <w:sz w:val="16"/>
                <w:szCs w:val="16"/>
              </w:rPr>
              <w:t>No external benchmark;</w:t>
            </w:r>
          </w:p>
          <w:p w:rsidR="00CA2FE3" w:rsidRPr="00CA0AE3" w:rsidRDefault="00CA2FE3" w:rsidP="00D1633A">
            <w:pPr>
              <w:spacing w:after="0" w:line="240" w:lineRule="auto"/>
              <w:jc w:val="center"/>
              <w:rPr>
                <w:bCs/>
                <w:sz w:val="16"/>
                <w:szCs w:val="16"/>
              </w:rPr>
            </w:pPr>
            <w:r w:rsidRPr="00CA0AE3">
              <w:rPr>
                <w:sz w:val="16"/>
                <w:szCs w:val="16"/>
              </w:rPr>
              <w:t>hospital specific improvement target =60%</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sz w:val="16"/>
                <w:szCs w:val="16"/>
              </w:rPr>
            </w:pPr>
            <w:r w:rsidRPr="00CA0AE3">
              <w:rPr>
                <w:bCs/>
                <w:sz w:val="16"/>
                <w:szCs w:val="16"/>
              </w:rPr>
              <w:t>Gap to Goal (10%) or attainment at target</w:t>
            </w:r>
          </w:p>
        </w:tc>
        <w:tc>
          <w:tcPr>
            <w:tcW w:w="900"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sz w:val="16"/>
                <w:szCs w:val="16"/>
              </w:rPr>
            </w:pPr>
            <w:r w:rsidRPr="00CA0AE3">
              <w:rPr>
                <w:sz w:val="16"/>
                <w:szCs w:val="16"/>
              </w:rPr>
              <w:t xml:space="preserve">B </w:t>
            </w:r>
          </w:p>
        </w:tc>
        <w:tc>
          <w:tcPr>
            <w:tcW w:w="1170"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sz w:val="16"/>
                <w:szCs w:val="16"/>
              </w:rPr>
            </w:pPr>
            <w:r w:rsidRPr="00CA0AE3">
              <w:rPr>
                <w:sz w:val="16"/>
                <w:szCs w:val="16"/>
              </w:rPr>
              <w:t>O</w:t>
            </w:r>
          </w:p>
        </w:tc>
        <w:tc>
          <w:tcPr>
            <w:tcW w:w="1170"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sz w:val="16"/>
                <w:szCs w:val="16"/>
              </w:rPr>
            </w:pPr>
            <w:r w:rsidRPr="00CA0AE3">
              <w:rPr>
                <w:sz w:val="16"/>
                <w:szCs w:val="16"/>
              </w:rPr>
              <w:t>O</w:t>
            </w:r>
          </w:p>
        </w:tc>
        <w:tc>
          <w:tcPr>
            <w:tcW w:w="1170"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sz w:val="16"/>
                <w:szCs w:val="16"/>
              </w:rPr>
            </w:pPr>
            <w:r w:rsidRPr="00CA0AE3">
              <w:rPr>
                <w:sz w:val="16"/>
                <w:szCs w:val="16"/>
              </w:rPr>
              <w:t>O</w:t>
            </w:r>
          </w:p>
        </w:tc>
        <w:tc>
          <w:tcPr>
            <w:tcW w:w="1170"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sz w:val="16"/>
                <w:szCs w:val="16"/>
              </w:rPr>
            </w:pPr>
          </w:p>
          <w:p w:rsidR="00CA2FE3" w:rsidRPr="00CA0AE3" w:rsidRDefault="00CA2FE3" w:rsidP="00D1633A">
            <w:pPr>
              <w:spacing w:after="0" w:line="240" w:lineRule="auto"/>
              <w:jc w:val="center"/>
              <w:rPr>
                <w:sz w:val="16"/>
                <w:szCs w:val="16"/>
              </w:rPr>
            </w:pPr>
            <w:r w:rsidRPr="00CA0AE3">
              <w:rPr>
                <w:sz w:val="16"/>
                <w:szCs w:val="16"/>
              </w:rPr>
              <w:t>O</w:t>
            </w:r>
          </w:p>
          <w:p w:rsidR="00CA2FE3" w:rsidRPr="00CA0AE3" w:rsidRDefault="00CA2FE3" w:rsidP="00D1633A">
            <w:pPr>
              <w:spacing w:after="0" w:line="240" w:lineRule="auto"/>
              <w:jc w:val="center"/>
              <w:rPr>
                <w:sz w:val="16"/>
                <w:szCs w:val="16"/>
              </w:rPr>
            </w:pPr>
          </w:p>
        </w:tc>
        <w:tc>
          <w:tcPr>
            <w:tcW w:w="1353" w:type="dxa"/>
            <w:tcBorders>
              <w:top w:val="single" w:sz="8" w:space="0" w:color="000000"/>
              <w:left w:val="single" w:sz="8" w:space="0" w:color="000000"/>
              <w:bottom w:val="single" w:sz="8" w:space="0" w:color="000000"/>
              <w:right w:val="single" w:sz="8" w:space="0" w:color="000000"/>
            </w:tcBorders>
            <w:vAlign w:val="center"/>
          </w:tcPr>
          <w:p w:rsidR="00CA2FE3" w:rsidRPr="00CA0AE3" w:rsidRDefault="00CA2FE3" w:rsidP="00D1633A">
            <w:pPr>
              <w:spacing w:after="0" w:line="240" w:lineRule="auto"/>
              <w:rPr>
                <w:rFonts w:eastAsia="Times New Roman"/>
                <w:sz w:val="16"/>
                <w:szCs w:val="16"/>
              </w:rPr>
            </w:pPr>
            <w:r w:rsidRPr="00CA0AE3">
              <w:rPr>
                <w:rFonts w:eastAsia="Times New Roman"/>
                <w:sz w:val="16"/>
                <w:szCs w:val="16"/>
              </w:rPr>
              <w:t xml:space="preserve">Target is informed by referrals to community and social services. </w:t>
            </w:r>
          </w:p>
        </w:tc>
      </w:tr>
      <w:tr w:rsidR="00CA2FE3" w:rsidRPr="00CA0AE3" w:rsidTr="003C48F3">
        <w:trPr>
          <w:cantSplit/>
          <w:trHeight w:val="417"/>
        </w:trPr>
        <w:tc>
          <w:tcPr>
            <w:tcW w:w="316" w:type="dxa"/>
            <w:tcBorders>
              <w:top w:val="single" w:sz="8" w:space="0" w:color="000000"/>
              <w:left w:val="single" w:sz="8" w:space="0" w:color="000000"/>
              <w:bottom w:val="single" w:sz="8" w:space="0" w:color="000000"/>
              <w:right w:val="single" w:sz="8" w:space="0" w:color="000000"/>
            </w:tcBorders>
            <w:vAlign w:val="center"/>
          </w:tcPr>
          <w:p w:rsidR="00CA2FE3" w:rsidRPr="00CA0AE3" w:rsidRDefault="00CA2FE3" w:rsidP="00D1633A">
            <w:pPr>
              <w:spacing w:after="0" w:line="240" w:lineRule="auto"/>
              <w:jc w:val="center"/>
              <w:rPr>
                <w:sz w:val="16"/>
                <w:szCs w:val="16"/>
              </w:rPr>
            </w:pPr>
            <w:r w:rsidRPr="00CA0AE3">
              <w:rPr>
                <w:sz w:val="16"/>
                <w:szCs w:val="16"/>
              </w:rPr>
              <w:t>3</w:t>
            </w:r>
          </w:p>
        </w:tc>
        <w:tc>
          <w:tcPr>
            <w:tcW w:w="1937"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pStyle w:val="NormalWeb"/>
              <w:spacing w:before="0" w:beforeAutospacing="0" w:after="0" w:afterAutospacing="0"/>
              <w:rPr>
                <w:b/>
                <w:sz w:val="16"/>
                <w:szCs w:val="16"/>
              </w:rPr>
            </w:pPr>
            <w:r w:rsidRPr="00CA0AE3">
              <w:rPr>
                <w:b/>
                <w:sz w:val="16"/>
                <w:szCs w:val="16"/>
              </w:rPr>
              <w:t>Expansion of Social Determinant Screening to Additional Patient Cohorts:</w:t>
            </w:r>
          </w:p>
          <w:p w:rsidR="00CA2FE3" w:rsidRPr="00CA0AE3" w:rsidRDefault="00CA2FE3" w:rsidP="00D1633A">
            <w:pPr>
              <w:pStyle w:val="NormalWeb"/>
              <w:spacing w:before="0" w:beforeAutospacing="0" w:after="0" w:afterAutospacing="0"/>
              <w:rPr>
                <w:sz w:val="16"/>
                <w:szCs w:val="16"/>
              </w:rPr>
            </w:pPr>
            <w:r w:rsidRPr="00CA0AE3">
              <w:rPr>
                <w:sz w:val="16"/>
                <w:szCs w:val="16"/>
              </w:rPr>
              <w:t>Expand patient panel  subpopulations or practice sites whose patients receive social determinant screening</w:t>
            </w:r>
          </w:p>
        </w:tc>
        <w:tc>
          <w:tcPr>
            <w:tcW w:w="1080"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sz w:val="16"/>
                <w:szCs w:val="16"/>
              </w:rPr>
            </w:pPr>
            <w:r w:rsidRPr="00CA0AE3">
              <w:rPr>
                <w:sz w:val="16"/>
                <w:szCs w:val="16"/>
              </w:rPr>
              <w:t>Customized Measure</w:t>
            </w:r>
          </w:p>
        </w:tc>
        <w:tc>
          <w:tcPr>
            <w:tcW w:w="1350"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bCs/>
                <w:sz w:val="16"/>
                <w:szCs w:val="16"/>
              </w:rPr>
            </w:pPr>
            <w:r w:rsidRPr="00CA0AE3">
              <w:rPr>
                <w:sz w:val="16"/>
                <w:szCs w:val="16"/>
              </w:rPr>
              <w:t>No external benchmark; hospital specific target = Add at least 1 additional patient subpopulation or practice site per year</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sz w:val="16"/>
                <w:szCs w:val="16"/>
              </w:rPr>
            </w:pPr>
            <w:r w:rsidRPr="00CA0AE3">
              <w:rPr>
                <w:bCs/>
                <w:sz w:val="16"/>
                <w:szCs w:val="16"/>
              </w:rPr>
              <w:t>Defined Increase Per Year</w:t>
            </w:r>
          </w:p>
        </w:tc>
        <w:tc>
          <w:tcPr>
            <w:tcW w:w="900"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sz w:val="16"/>
                <w:szCs w:val="16"/>
              </w:rPr>
            </w:pPr>
            <w:r w:rsidRPr="00CA0AE3">
              <w:rPr>
                <w:sz w:val="16"/>
                <w:szCs w:val="16"/>
              </w:rPr>
              <w:t>B</w:t>
            </w:r>
          </w:p>
        </w:tc>
        <w:tc>
          <w:tcPr>
            <w:tcW w:w="1170"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sz w:val="16"/>
                <w:szCs w:val="16"/>
              </w:rPr>
            </w:pPr>
            <w:r w:rsidRPr="00CA0AE3">
              <w:rPr>
                <w:sz w:val="16"/>
                <w:szCs w:val="16"/>
              </w:rPr>
              <w:t>O</w:t>
            </w:r>
          </w:p>
        </w:tc>
        <w:tc>
          <w:tcPr>
            <w:tcW w:w="1170"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sz w:val="16"/>
                <w:szCs w:val="16"/>
              </w:rPr>
            </w:pPr>
            <w:r w:rsidRPr="00CA0AE3">
              <w:rPr>
                <w:sz w:val="16"/>
                <w:szCs w:val="16"/>
              </w:rPr>
              <w:t>O</w:t>
            </w:r>
          </w:p>
        </w:tc>
        <w:tc>
          <w:tcPr>
            <w:tcW w:w="1170"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sz w:val="16"/>
                <w:szCs w:val="16"/>
              </w:rPr>
            </w:pPr>
            <w:r w:rsidRPr="00CA0AE3">
              <w:rPr>
                <w:sz w:val="16"/>
                <w:szCs w:val="16"/>
              </w:rPr>
              <w:t>O</w:t>
            </w:r>
          </w:p>
        </w:tc>
        <w:tc>
          <w:tcPr>
            <w:tcW w:w="1170"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sz w:val="16"/>
                <w:szCs w:val="16"/>
              </w:rPr>
            </w:pPr>
            <w:r w:rsidRPr="00CA0AE3">
              <w:rPr>
                <w:sz w:val="16"/>
                <w:szCs w:val="16"/>
              </w:rPr>
              <w:t>O</w:t>
            </w:r>
          </w:p>
        </w:tc>
        <w:tc>
          <w:tcPr>
            <w:tcW w:w="1353" w:type="dxa"/>
            <w:tcBorders>
              <w:top w:val="single" w:sz="8" w:space="0" w:color="000000"/>
              <w:left w:val="single" w:sz="8" w:space="0" w:color="000000"/>
              <w:bottom w:val="single" w:sz="8" w:space="0" w:color="000000"/>
              <w:right w:val="single" w:sz="8" w:space="0" w:color="000000"/>
            </w:tcBorders>
            <w:vAlign w:val="center"/>
          </w:tcPr>
          <w:p w:rsidR="00CA2FE3" w:rsidRPr="00CA0AE3" w:rsidRDefault="00CA2FE3" w:rsidP="00D1633A">
            <w:pPr>
              <w:spacing w:after="0" w:line="240" w:lineRule="auto"/>
              <w:rPr>
                <w:rFonts w:eastAsia="Times New Roman"/>
                <w:sz w:val="16"/>
                <w:szCs w:val="16"/>
              </w:rPr>
            </w:pPr>
            <w:r w:rsidRPr="00CA0AE3">
              <w:rPr>
                <w:rFonts w:eastAsia="Times New Roman"/>
                <w:sz w:val="16"/>
                <w:szCs w:val="16"/>
              </w:rPr>
              <w:t xml:space="preserve">Target based on phased implementation of new social determinants initiative. </w:t>
            </w:r>
          </w:p>
        </w:tc>
      </w:tr>
      <w:tr w:rsidR="00CA2FE3" w:rsidRPr="00CA0AE3" w:rsidTr="003C48F3">
        <w:trPr>
          <w:cantSplit/>
          <w:trHeight w:val="1632"/>
        </w:trPr>
        <w:tc>
          <w:tcPr>
            <w:tcW w:w="316" w:type="dxa"/>
            <w:tcBorders>
              <w:top w:val="single" w:sz="8" w:space="0" w:color="000000"/>
              <w:left w:val="single" w:sz="8" w:space="0" w:color="000000"/>
              <w:bottom w:val="single" w:sz="8" w:space="0" w:color="000000"/>
              <w:right w:val="single" w:sz="8" w:space="0" w:color="000000"/>
            </w:tcBorders>
            <w:vAlign w:val="center"/>
          </w:tcPr>
          <w:p w:rsidR="00CA2FE3" w:rsidRPr="00CA0AE3" w:rsidRDefault="00CA2FE3" w:rsidP="00D1633A">
            <w:pPr>
              <w:spacing w:after="0" w:line="240" w:lineRule="auto"/>
              <w:jc w:val="center"/>
              <w:rPr>
                <w:sz w:val="16"/>
                <w:szCs w:val="16"/>
              </w:rPr>
            </w:pPr>
            <w:r w:rsidRPr="00CA0AE3">
              <w:rPr>
                <w:sz w:val="16"/>
                <w:szCs w:val="16"/>
              </w:rPr>
              <w:t>4</w:t>
            </w:r>
          </w:p>
        </w:tc>
        <w:tc>
          <w:tcPr>
            <w:tcW w:w="1937"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rPr>
                <w:sz w:val="16"/>
                <w:szCs w:val="16"/>
              </w:rPr>
            </w:pPr>
            <w:r w:rsidRPr="00CA0AE3">
              <w:rPr>
                <w:b/>
                <w:bCs/>
                <w:kern w:val="24"/>
                <w:sz w:val="16"/>
                <w:szCs w:val="16"/>
              </w:rPr>
              <w:t>Follow-up Social Determinant Screening:</w:t>
            </w:r>
            <w:r w:rsidRPr="00CA0AE3">
              <w:rPr>
                <w:bCs/>
                <w:kern w:val="24"/>
                <w:sz w:val="16"/>
                <w:szCs w:val="16"/>
              </w:rPr>
              <w:t xml:space="preserve"> </w:t>
            </w:r>
            <w:r w:rsidRPr="00CA0AE3">
              <w:rPr>
                <w:bCs/>
                <w:sz w:val="16"/>
                <w:szCs w:val="16"/>
              </w:rPr>
              <w:t>Percentage of identified &amp; active patient panel populations with follow-up social determinant(s) rescreening for appropriate determinants</w:t>
            </w:r>
          </w:p>
        </w:tc>
        <w:tc>
          <w:tcPr>
            <w:tcW w:w="1080"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sz w:val="16"/>
                <w:szCs w:val="16"/>
              </w:rPr>
            </w:pPr>
            <w:r w:rsidRPr="00CA0AE3">
              <w:rPr>
                <w:sz w:val="16"/>
                <w:szCs w:val="16"/>
              </w:rPr>
              <w:t>Customized Measure</w:t>
            </w:r>
          </w:p>
        </w:tc>
        <w:tc>
          <w:tcPr>
            <w:tcW w:w="1350"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sz w:val="16"/>
                <w:szCs w:val="16"/>
              </w:rPr>
            </w:pPr>
            <w:r w:rsidRPr="00CA0AE3">
              <w:rPr>
                <w:sz w:val="16"/>
                <w:szCs w:val="16"/>
              </w:rPr>
              <w:t>No external benchmark;</w:t>
            </w:r>
          </w:p>
          <w:p w:rsidR="00CA2FE3" w:rsidRPr="00CA0AE3" w:rsidRDefault="00CA2FE3" w:rsidP="00D1633A">
            <w:pPr>
              <w:spacing w:after="0" w:line="240" w:lineRule="auto"/>
              <w:jc w:val="center"/>
              <w:rPr>
                <w:sz w:val="16"/>
                <w:szCs w:val="16"/>
              </w:rPr>
            </w:pPr>
            <w:r w:rsidRPr="00CA0AE3">
              <w:rPr>
                <w:sz w:val="16"/>
                <w:szCs w:val="16"/>
              </w:rPr>
              <w:t>hospital specific improvement</w:t>
            </w:r>
          </w:p>
          <w:p w:rsidR="00CA2FE3" w:rsidRPr="00CA0AE3" w:rsidRDefault="00CA2FE3" w:rsidP="00D1633A">
            <w:pPr>
              <w:spacing w:after="0" w:line="240" w:lineRule="auto"/>
              <w:jc w:val="center"/>
              <w:rPr>
                <w:color w:val="00B050"/>
                <w:sz w:val="16"/>
                <w:szCs w:val="16"/>
              </w:rPr>
            </w:pPr>
            <w:r w:rsidRPr="00CA0AE3">
              <w:rPr>
                <w:sz w:val="16"/>
                <w:szCs w:val="16"/>
              </w:rPr>
              <w:t>Target= 50%</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bCs/>
                <w:sz w:val="16"/>
                <w:szCs w:val="16"/>
              </w:rPr>
            </w:pPr>
            <w:r w:rsidRPr="00CA0AE3">
              <w:rPr>
                <w:bCs/>
                <w:sz w:val="16"/>
                <w:szCs w:val="16"/>
              </w:rPr>
              <w:t>Gap to Goal (10%) or attainment at target</w:t>
            </w:r>
          </w:p>
          <w:p w:rsidR="00CA2FE3" w:rsidRPr="00CA0AE3" w:rsidRDefault="00CA2FE3" w:rsidP="00D1633A">
            <w:pPr>
              <w:spacing w:after="0" w:line="240" w:lineRule="auto"/>
              <w:jc w:val="center"/>
              <w:rPr>
                <w:bCs/>
                <w:sz w:val="16"/>
                <w:szCs w:val="16"/>
              </w:rPr>
            </w:pPr>
          </w:p>
        </w:tc>
        <w:tc>
          <w:tcPr>
            <w:tcW w:w="900"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sz w:val="16"/>
                <w:szCs w:val="16"/>
              </w:rPr>
            </w:pPr>
          </w:p>
        </w:tc>
        <w:tc>
          <w:tcPr>
            <w:tcW w:w="1170"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sz w:val="16"/>
                <w:szCs w:val="16"/>
              </w:rPr>
            </w:pPr>
            <w:r w:rsidRPr="00CA0AE3">
              <w:rPr>
                <w:sz w:val="16"/>
                <w:szCs w:val="16"/>
              </w:rPr>
              <w:t>B</w:t>
            </w:r>
          </w:p>
        </w:tc>
        <w:tc>
          <w:tcPr>
            <w:tcW w:w="1170"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sz w:val="16"/>
                <w:szCs w:val="16"/>
              </w:rPr>
            </w:pPr>
            <w:r w:rsidRPr="00CA0AE3">
              <w:rPr>
                <w:sz w:val="16"/>
                <w:szCs w:val="16"/>
              </w:rPr>
              <w:t>O</w:t>
            </w:r>
          </w:p>
        </w:tc>
        <w:tc>
          <w:tcPr>
            <w:tcW w:w="1170"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sz w:val="16"/>
                <w:szCs w:val="16"/>
              </w:rPr>
            </w:pPr>
            <w:r w:rsidRPr="00CA0AE3">
              <w:rPr>
                <w:sz w:val="16"/>
                <w:szCs w:val="16"/>
              </w:rPr>
              <w:t>O</w:t>
            </w:r>
          </w:p>
        </w:tc>
        <w:tc>
          <w:tcPr>
            <w:tcW w:w="1170"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hideMark/>
          </w:tcPr>
          <w:p w:rsidR="00CA2FE3" w:rsidRPr="00CA0AE3" w:rsidRDefault="00CA2FE3" w:rsidP="00D1633A">
            <w:pPr>
              <w:spacing w:after="0" w:line="240" w:lineRule="auto"/>
              <w:jc w:val="center"/>
              <w:rPr>
                <w:sz w:val="16"/>
                <w:szCs w:val="16"/>
              </w:rPr>
            </w:pPr>
            <w:r w:rsidRPr="00CA0AE3">
              <w:rPr>
                <w:sz w:val="16"/>
                <w:szCs w:val="16"/>
              </w:rPr>
              <w:t>O</w:t>
            </w:r>
          </w:p>
        </w:tc>
        <w:tc>
          <w:tcPr>
            <w:tcW w:w="1353" w:type="dxa"/>
            <w:tcBorders>
              <w:top w:val="single" w:sz="8" w:space="0" w:color="000000"/>
              <w:left w:val="single" w:sz="8" w:space="0" w:color="000000"/>
              <w:bottom w:val="single" w:sz="8" w:space="0" w:color="000000"/>
              <w:right w:val="single" w:sz="8" w:space="0" w:color="000000"/>
            </w:tcBorders>
            <w:vAlign w:val="center"/>
          </w:tcPr>
          <w:p w:rsidR="00CA2FE3" w:rsidRPr="00CA0AE3" w:rsidRDefault="00CA2FE3" w:rsidP="00D1633A">
            <w:pPr>
              <w:spacing w:after="0" w:line="240" w:lineRule="auto"/>
              <w:rPr>
                <w:rFonts w:eastAsia="Times New Roman"/>
                <w:sz w:val="16"/>
                <w:szCs w:val="16"/>
              </w:rPr>
            </w:pPr>
            <w:r w:rsidRPr="00CA0AE3">
              <w:rPr>
                <w:rFonts w:eastAsia="Times New Roman"/>
                <w:sz w:val="16"/>
                <w:szCs w:val="16"/>
              </w:rPr>
              <w:t>Rescreening rates to begin in year two to measure presence or resolution of social determinants</w:t>
            </w:r>
          </w:p>
        </w:tc>
      </w:tr>
      <w:tr w:rsidR="00CA2FE3" w:rsidRPr="00CA0AE3" w:rsidTr="003C48F3">
        <w:trPr>
          <w:cantSplit/>
          <w:trHeight w:val="948"/>
        </w:trPr>
        <w:tc>
          <w:tcPr>
            <w:tcW w:w="316" w:type="dxa"/>
            <w:tcBorders>
              <w:top w:val="single" w:sz="8" w:space="0" w:color="000000"/>
              <w:left w:val="single" w:sz="8" w:space="0" w:color="000000"/>
              <w:bottom w:val="single" w:sz="8" w:space="0" w:color="000000"/>
              <w:right w:val="single" w:sz="8" w:space="0" w:color="000000"/>
            </w:tcBorders>
            <w:vAlign w:val="center"/>
          </w:tcPr>
          <w:p w:rsidR="00CA2FE3" w:rsidRPr="00CA0AE3" w:rsidRDefault="00CA2FE3" w:rsidP="00D1633A">
            <w:pPr>
              <w:spacing w:after="0" w:line="240" w:lineRule="auto"/>
              <w:jc w:val="center"/>
              <w:rPr>
                <w:sz w:val="16"/>
                <w:szCs w:val="16"/>
              </w:rPr>
            </w:pPr>
            <w:r w:rsidRPr="00CA0AE3">
              <w:rPr>
                <w:sz w:val="16"/>
                <w:szCs w:val="16"/>
              </w:rPr>
              <w:t>5</w:t>
            </w:r>
          </w:p>
        </w:tc>
        <w:tc>
          <w:tcPr>
            <w:tcW w:w="1937"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A2FE3" w:rsidRPr="00CA0AE3" w:rsidRDefault="00CA2FE3" w:rsidP="00D1633A">
            <w:pPr>
              <w:pStyle w:val="NormalWeb"/>
              <w:spacing w:before="0" w:beforeAutospacing="0" w:after="0" w:afterAutospacing="0"/>
              <w:rPr>
                <w:sz w:val="16"/>
                <w:szCs w:val="16"/>
              </w:rPr>
            </w:pPr>
            <w:r w:rsidRPr="00CA0AE3">
              <w:rPr>
                <w:b/>
                <w:bCs/>
                <w:kern w:val="24"/>
                <w:sz w:val="16"/>
                <w:szCs w:val="16"/>
              </w:rPr>
              <w:t>Reducing Health Disparities for Hypertension:</w:t>
            </w:r>
            <w:r w:rsidRPr="00CA0AE3">
              <w:rPr>
                <w:bCs/>
                <w:kern w:val="24"/>
                <w:sz w:val="16"/>
                <w:szCs w:val="16"/>
              </w:rPr>
              <w:t xml:space="preserve"> Controlling High Blood Pressure Measure (2015 HEDIS Definition) for defined patient panel population(s) with disproportionately poorer outcomes for good control of hypertension</w:t>
            </w:r>
          </w:p>
        </w:tc>
        <w:tc>
          <w:tcPr>
            <w:tcW w:w="1080"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sz w:val="16"/>
                <w:szCs w:val="16"/>
              </w:rPr>
            </w:pPr>
            <w:r w:rsidRPr="00CA0AE3">
              <w:rPr>
                <w:sz w:val="16"/>
                <w:szCs w:val="16"/>
              </w:rPr>
              <w:t>NQF 0018</w:t>
            </w:r>
          </w:p>
          <w:p w:rsidR="00CA2FE3" w:rsidRPr="00CA0AE3" w:rsidRDefault="00CA2FE3" w:rsidP="00D1633A">
            <w:pPr>
              <w:spacing w:after="0" w:line="240" w:lineRule="auto"/>
              <w:jc w:val="center"/>
              <w:rPr>
                <w:sz w:val="16"/>
                <w:szCs w:val="16"/>
              </w:rPr>
            </w:pPr>
            <w:r w:rsidRPr="00CA0AE3">
              <w:rPr>
                <w:sz w:val="16"/>
                <w:szCs w:val="16"/>
              </w:rPr>
              <w:t>(for hospital-defined patient panel population(s) with health disparities</w:t>
            </w:r>
          </w:p>
        </w:tc>
        <w:tc>
          <w:tcPr>
            <w:tcW w:w="1350"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bCs/>
                <w:sz w:val="16"/>
                <w:szCs w:val="16"/>
              </w:rPr>
            </w:pPr>
            <w:r w:rsidRPr="00CA0AE3">
              <w:rPr>
                <w:sz w:val="16"/>
                <w:szCs w:val="16"/>
              </w:rPr>
              <w:t>MA Medicaid (HEDIS) 2014 90</w:t>
            </w:r>
            <w:r w:rsidRPr="00CA0AE3">
              <w:rPr>
                <w:sz w:val="16"/>
                <w:szCs w:val="16"/>
                <w:vertAlign w:val="superscript"/>
              </w:rPr>
              <w:t>th</w:t>
            </w:r>
            <w:r w:rsidRPr="00CA0AE3">
              <w:rPr>
                <w:sz w:val="16"/>
                <w:szCs w:val="16"/>
              </w:rPr>
              <w:t xml:space="preserve"> percentile = 85.67%</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sz w:val="16"/>
                <w:szCs w:val="16"/>
              </w:rPr>
            </w:pPr>
            <w:r w:rsidRPr="00CA0AE3">
              <w:rPr>
                <w:bCs/>
                <w:sz w:val="16"/>
                <w:szCs w:val="16"/>
              </w:rPr>
              <w:t>Gap to Goal (5%) or attainment at target</w:t>
            </w:r>
          </w:p>
        </w:tc>
        <w:tc>
          <w:tcPr>
            <w:tcW w:w="900"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sz w:val="16"/>
                <w:szCs w:val="16"/>
              </w:rPr>
            </w:pPr>
            <w:r w:rsidRPr="00CA0AE3">
              <w:rPr>
                <w:sz w:val="16"/>
                <w:szCs w:val="16"/>
              </w:rPr>
              <w:t>B</w:t>
            </w:r>
          </w:p>
        </w:tc>
        <w:tc>
          <w:tcPr>
            <w:tcW w:w="1170"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sz w:val="16"/>
                <w:szCs w:val="16"/>
              </w:rPr>
            </w:pPr>
            <w:r w:rsidRPr="00CA0AE3">
              <w:rPr>
                <w:sz w:val="16"/>
                <w:szCs w:val="16"/>
              </w:rPr>
              <w:t>O</w:t>
            </w:r>
          </w:p>
        </w:tc>
        <w:tc>
          <w:tcPr>
            <w:tcW w:w="1170"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sz w:val="16"/>
                <w:szCs w:val="16"/>
              </w:rPr>
            </w:pPr>
            <w:r w:rsidRPr="00CA0AE3">
              <w:rPr>
                <w:sz w:val="16"/>
                <w:szCs w:val="16"/>
              </w:rPr>
              <w:t>O</w:t>
            </w:r>
          </w:p>
        </w:tc>
        <w:tc>
          <w:tcPr>
            <w:tcW w:w="1170"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sz w:val="16"/>
                <w:szCs w:val="16"/>
              </w:rPr>
            </w:pPr>
            <w:r w:rsidRPr="00CA0AE3">
              <w:rPr>
                <w:sz w:val="16"/>
                <w:szCs w:val="16"/>
              </w:rPr>
              <w:t>O</w:t>
            </w:r>
          </w:p>
        </w:tc>
        <w:tc>
          <w:tcPr>
            <w:tcW w:w="1170"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sz w:val="16"/>
                <w:szCs w:val="16"/>
              </w:rPr>
            </w:pPr>
            <w:r w:rsidRPr="00CA0AE3">
              <w:rPr>
                <w:sz w:val="16"/>
                <w:szCs w:val="16"/>
              </w:rPr>
              <w:t>O</w:t>
            </w:r>
          </w:p>
        </w:tc>
        <w:tc>
          <w:tcPr>
            <w:tcW w:w="1353" w:type="dxa"/>
            <w:tcBorders>
              <w:top w:val="single" w:sz="8" w:space="0" w:color="000000"/>
              <w:left w:val="single" w:sz="8" w:space="0" w:color="000000"/>
              <w:bottom w:val="single" w:sz="8" w:space="0" w:color="000000"/>
              <w:right w:val="single" w:sz="8" w:space="0" w:color="000000"/>
            </w:tcBorders>
            <w:vAlign w:val="center"/>
          </w:tcPr>
          <w:p w:rsidR="00CA2FE3" w:rsidRPr="00CA0AE3" w:rsidRDefault="00CA2FE3" w:rsidP="00D1633A">
            <w:pPr>
              <w:spacing w:after="0" w:line="240" w:lineRule="auto"/>
              <w:rPr>
                <w:rFonts w:eastAsia="Times New Roman"/>
                <w:sz w:val="16"/>
                <w:szCs w:val="16"/>
              </w:rPr>
            </w:pPr>
            <w:r w:rsidRPr="00CA0AE3">
              <w:rPr>
                <w:rFonts w:eastAsia="Times New Roman"/>
                <w:sz w:val="16"/>
                <w:szCs w:val="16"/>
              </w:rPr>
              <w:t xml:space="preserve">Gap to Goal adjusted to reflect populations with health disparities. </w:t>
            </w:r>
          </w:p>
        </w:tc>
      </w:tr>
      <w:tr w:rsidR="00CA2FE3" w:rsidRPr="00CA0AE3" w:rsidTr="003C48F3">
        <w:trPr>
          <w:cantSplit/>
          <w:trHeight w:val="948"/>
        </w:trPr>
        <w:tc>
          <w:tcPr>
            <w:tcW w:w="316" w:type="dxa"/>
            <w:tcBorders>
              <w:top w:val="single" w:sz="8" w:space="0" w:color="000000"/>
              <w:left w:val="single" w:sz="8" w:space="0" w:color="000000"/>
              <w:bottom w:val="single" w:sz="8" w:space="0" w:color="000000"/>
              <w:right w:val="single" w:sz="8" w:space="0" w:color="000000"/>
            </w:tcBorders>
            <w:vAlign w:val="center"/>
          </w:tcPr>
          <w:p w:rsidR="00CA2FE3" w:rsidRPr="00CA0AE3" w:rsidRDefault="00CA2FE3" w:rsidP="00D1633A">
            <w:pPr>
              <w:spacing w:after="0" w:line="240" w:lineRule="auto"/>
              <w:jc w:val="center"/>
              <w:rPr>
                <w:sz w:val="16"/>
                <w:szCs w:val="16"/>
              </w:rPr>
            </w:pPr>
            <w:r w:rsidRPr="00CA0AE3">
              <w:rPr>
                <w:sz w:val="16"/>
                <w:szCs w:val="16"/>
              </w:rPr>
              <w:lastRenderedPageBreak/>
              <w:t>6</w:t>
            </w:r>
          </w:p>
        </w:tc>
        <w:tc>
          <w:tcPr>
            <w:tcW w:w="1937"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A2FE3" w:rsidRPr="00CA0AE3" w:rsidRDefault="00CA2FE3" w:rsidP="00D1633A">
            <w:pPr>
              <w:pStyle w:val="NormalWeb"/>
              <w:spacing w:before="0" w:beforeAutospacing="0" w:after="0" w:afterAutospacing="0"/>
              <w:rPr>
                <w:bCs/>
                <w:kern w:val="24"/>
                <w:sz w:val="16"/>
                <w:szCs w:val="16"/>
              </w:rPr>
            </w:pPr>
            <w:r w:rsidRPr="00CA0AE3">
              <w:rPr>
                <w:b/>
                <w:bCs/>
                <w:kern w:val="24"/>
                <w:sz w:val="16"/>
                <w:szCs w:val="16"/>
              </w:rPr>
              <w:t>Reducing Health Disparities for Hypertension Control in Patients with Diabetes:</w:t>
            </w:r>
            <w:r w:rsidRPr="00CA0AE3">
              <w:rPr>
                <w:bCs/>
                <w:kern w:val="24"/>
                <w:sz w:val="16"/>
                <w:szCs w:val="16"/>
              </w:rPr>
              <w:t xml:space="preserve"> </w:t>
            </w:r>
          </w:p>
          <w:p w:rsidR="00CA2FE3" w:rsidRPr="00CA0AE3" w:rsidRDefault="00CA2FE3" w:rsidP="00D1633A">
            <w:pPr>
              <w:pStyle w:val="NormalWeb"/>
              <w:spacing w:before="0" w:beforeAutospacing="0" w:after="0" w:afterAutospacing="0"/>
              <w:rPr>
                <w:sz w:val="16"/>
                <w:szCs w:val="16"/>
              </w:rPr>
            </w:pPr>
            <w:r w:rsidRPr="00CA0AE3">
              <w:rPr>
                <w:sz w:val="16"/>
                <w:szCs w:val="16"/>
              </w:rPr>
              <w:t>Comprehensive Diabetes Care:  Blood Pressure Control (&lt;140/90)</w:t>
            </w:r>
          </w:p>
          <w:p w:rsidR="00CA2FE3" w:rsidRPr="00CA0AE3" w:rsidRDefault="00CA2FE3" w:rsidP="00D1633A">
            <w:pPr>
              <w:pStyle w:val="NormalWeb"/>
              <w:spacing w:before="0" w:beforeAutospacing="0" w:after="0" w:afterAutospacing="0"/>
              <w:rPr>
                <w:sz w:val="16"/>
                <w:szCs w:val="16"/>
              </w:rPr>
            </w:pPr>
            <w:r w:rsidRPr="00CA0AE3">
              <w:rPr>
                <w:bCs/>
                <w:kern w:val="24"/>
                <w:sz w:val="16"/>
                <w:szCs w:val="16"/>
              </w:rPr>
              <w:t>for defined patient panel population(s) with diabetes and disproportionately poorer outcomes  for good control of hypertension</w:t>
            </w:r>
          </w:p>
        </w:tc>
        <w:tc>
          <w:tcPr>
            <w:tcW w:w="1080"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sz w:val="16"/>
                <w:szCs w:val="16"/>
              </w:rPr>
            </w:pPr>
            <w:r w:rsidRPr="00CA0AE3">
              <w:rPr>
                <w:sz w:val="16"/>
                <w:szCs w:val="16"/>
              </w:rPr>
              <w:t>NQF 0061</w:t>
            </w:r>
          </w:p>
          <w:p w:rsidR="00CA2FE3" w:rsidRPr="00CA0AE3" w:rsidRDefault="00CA2FE3" w:rsidP="00D1633A">
            <w:pPr>
              <w:spacing w:after="0" w:line="240" w:lineRule="auto"/>
              <w:jc w:val="center"/>
              <w:rPr>
                <w:sz w:val="16"/>
                <w:szCs w:val="16"/>
              </w:rPr>
            </w:pPr>
            <w:r w:rsidRPr="00CA0AE3">
              <w:rPr>
                <w:sz w:val="16"/>
                <w:szCs w:val="16"/>
              </w:rPr>
              <w:t>(for hospital-defined patient panel population(s) with health disparities</w:t>
            </w:r>
          </w:p>
        </w:tc>
        <w:tc>
          <w:tcPr>
            <w:tcW w:w="1350"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bCs/>
                <w:sz w:val="16"/>
                <w:szCs w:val="16"/>
              </w:rPr>
            </w:pPr>
            <w:r w:rsidRPr="00CA0AE3">
              <w:rPr>
                <w:sz w:val="16"/>
                <w:szCs w:val="16"/>
              </w:rPr>
              <w:t>MA Medicaid (HEDIS) 2014 90</w:t>
            </w:r>
            <w:r w:rsidRPr="00CA0AE3">
              <w:rPr>
                <w:sz w:val="16"/>
                <w:szCs w:val="16"/>
                <w:vertAlign w:val="superscript"/>
              </w:rPr>
              <w:t>th</w:t>
            </w:r>
            <w:r w:rsidRPr="00CA0AE3">
              <w:rPr>
                <w:sz w:val="16"/>
                <w:szCs w:val="16"/>
              </w:rPr>
              <w:t xml:space="preserve"> percentile = 82.74%</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sz w:val="16"/>
                <w:szCs w:val="16"/>
              </w:rPr>
            </w:pPr>
            <w:r w:rsidRPr="00CA0AE3">
              <w:rPr>
                <w:bCs/>
                <w:sz w:val="16"/>
                <w:szCs w:val="16"/>
              </w:rPr>
              <w:t>Gap to Goal (5%) or attainment at target</w:t>
            </w:r>
          </w:p>
        </w:tc>
        <w:tc>
          <w:tcPr>
            <w:tcW w:w="900"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sz w:val="16"/>
                <w:szCs w:val="16"/>
              </w:rPr>
            </w:pPr>
            <w:r w:rsidRPr="00CA0AE3">
              <w:rPr>
                <w:sz w:val="16"/>
                <w:szCs w:val="16"/>
              </w:rPr>
              <w:t>B</w:t>
            </w:r>
          </w:p>
        </w:tc>
        <w:tc>
          <w:tcPr>
            <w:tcW w:w="1170"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sz w:val="16"/>
                <w:szCs w:val="16"/>
              </w:rPr>
            </w:pPr>
            <w:r w:rsidRPr="00CA0AE3">
              <w:rPr>
                <w:sz w:val="16"/>
                <w:szCs w:val="16"/>
              </w:rPr>
              <w:t>O</w:t>
            </w:r>
          </w:p>
        </w:tc>
        <w:tc>
          <w:tcPr>
            <w:tcW w:w="1170"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sz w:val="16"/>
                <w:szCs w:val="16"/>
              </w:rPr>
            </w:pPr>
            <w:r w:rsidRPr="00CA0AE3">
              <w:rPr>
                <w:sz w:val="16"/>
                <w:szCs w:val="16"/>
              </w:rPr>
              <w:t>O</w:t>
            </w:r>
          </w:p>
        </w:tc>
        <w:tc>
          <w:tcPr>
            <w:tcW w:w="1170"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sz w:val="16"/>
                <w:szCs w:val="16"/>
              </w:rPr>
            </w:pPr>
            <w:r w:rsidRPr="00CA0AE3">
              <w:rPr>
                <w:sz w:val="16"/>
                <w:szCs w:val="16"/>
              </w:rPr>
              <w:t>O</w:t>
            </w:r>
          </w:p>
        </w:tc>
        <w:tc>
          <w:tcPr>
            <w:tcW w:w="1170"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sz w:val="16"/>
                <w:szCs w:val="16"/>
              </w:rPr>
            </w:pPr>
            <w:r w:rsidRPr="00CA0AE3">
              <w:rPr>
                <w:sz w:val="16"/>
                <w:szCs w:val="16"/>
              </w:rPr>
              <w:t>O</w:t>
            </w:r>
          </w:p>
        </w:tc>
        <w:tc>
          <w:tcPr>
            <w:tcW w:w="1353" w:type="dxa"/>
            <w:tcBorders>
              <w:top w:val="single" w:sz="8" w:space="0" w:color="000000"/>
              <w:left w:val="single" w:sz="8" w:space="0" w:color="000000"/>
              <w:bottom w:val="single" w:sz="8" w:space="0" w:color="000000"/>
              <w:right w:val="single" w:sz="8" w:space="0" w:color="000000"/>
            </w:tcBorders>
            <w:vAlign w:val="center"/>
          </w:tcPr>
          <w:p w:rsidR="00CA2FE3" w:rsidRPr="00CA0AE3" w:rsidRDefault="00CA2FE3" w:rsidP="00D1633A">
            <w:pPr>
              <w:spacing w:after="0" w:line="240" w:lineRule="auto"/>
              <w:rPr>
                <w:rFonts w:eastAsia="Times New Roman"/>
                <w:sz w:val="16"/>
                <w:szCs w:val="16"/>
              </w:rPr>
            </w:pPr>
            <w:r w:rsidRPr="00CA0AE3">
              <w:rPr>
                <w:rFonts w:eastAsia="Times New Roman"/>
                <w:sz w:val="16"/>
                <w:szCs w:val="16"/>
              </w:rPr>
              <w:t>Gap to Goal adjusted to reflect populations with health disparities.</w:t>
            </w:r>
          </w:p>
        </w:tc>
      </w:tr>
      <w:tr w:rsidR="00CA2FE3" w:rsidRPr="00CA0AE3" w:rsidTr="003C48F3">
        <w:trPr>
          <w:cantSplit/>
          <w:trHeight w:val="507"/>
        </w:trPr>
        <w:tc>
          <w:tcPr>
            <w:tcW w:w="316" w:type="dxa"/>
            <w:tcBorders>
              <w:top w:val="single" w:sz="8" w:space="0" w:color="000000"/>
              <w:left w:val="single" w:sz="8" w:space="0" w:color="000000"/>
              <w:bottom w:val="single" w:sz="8" w:space="0" w:color="000000"/>
              <w:right w:val="single" w:sz="8" w:space="0" w:color="000000"/>
            </w:tcBorders>
            <w:vAlign w:val="center"/>
          </w:tcPr>
          <w:p w:rsidR="00CA2FE3" w:rsidRPr="00CA0AE3" w:rsidRDefault="00CA2FE3" w:rsidP="00D1633A">
            <w:pPr>
              <w:spacing w:after="0" w:line="240" w:lineRule="auto"/>
              <w:jc w:val="center"/>
              <w:rPr>
                <w:sz w:val="16"/>
                <w:szCs w:val="16"/>
              </w:rPr>
            </w:pPr>
            <w:r w:rsidRPr="00CA0AE3">
              <w:rPr>
                <w:sz w:val="16"/>
                <w:szCs w:val="16"/>
              </w:rPr>
              <w:t>7</w:t>
            </w:r>
          </w:p>
        </w:tc>
        <w:tc>
          <w:tcPr>
            <w:tcW w:w="1937"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A2FE3" w:rsidRPr="00CA0AE3" w:rsidRDefault="00CA2FE3" w:rsidP="00D1633A">
            <w:pPr>
              <w:spacing w:after="0" w:line="240" w:lineRule="auto"/>
              <w:rPr>
                <w:sz w:val="16"/>
                <w:szCs w:val="16"/>
              </w:rPr>
            </w:pPr>
            <w:r w:rsidRPr="00CA0AE3">
              <w:rPr>
                <w:b/>
                <w:sz w:val="16"/>
                <w:szCs w:val="16"/>
              </w:rPr>
              <w:t xml:space="preserve">Comprehensive Diabetes Care: </w:t>
            </w:r>
            <w:r w:rsidRPr="00CA0AE3">
              <w:rPr>
                <w:sz w:val="16"/>
                <w:szCs w:val="16"/>
              </w:rPr>
              <w:t xml:space="preserve"> A1c Poor Control or A1c Good Control for defined patient panel population(s) with disproportionately poorer outcomes for diabetes blood glucose control</w:t>
            </w:r>
          </w:p>
        </w:tc>
        <w:tc>
          <w:tcPr>
            <w:tcW w:w="1080"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sz w:val="16"/>
                <w:szCs w:val="16"/>
              </w:rPr>
            </w:pPr>
            <w:r w:rsidRPr="00CA0AE3">
              <w:rPr>
                <w:sz w:val="16"/>
                <w:szCs w:val="16"/>
              </w:rPr>
              <w:t xml:space="preserve">NQF 0059 or </w:t>
            </w:r>
          </w:p>
          <w:p w:rsidR="00CA2FE3" w:rsidRPr="00CA0AE3" w:rsidRDefault="00CA2FE3" w:rsidP="00D1633A">
            <w:pPr>
              <w:spacing w:after="0" w:line="240" w:lineRule="auto"/>
              <w:jc w:val="center"/>
              <w:rPr>
                <w:sz w:val="16"/>
                <w:szCs w:val="16"/>
              </w:rPr>
            </w:pPr>
            <w:r w:rsidRPr="00CA0AE3">
              <w:rPr>
                <w:sz w:val="16"/>
                <w:szCs w:val="16"/>
              </w:rPr>
              <w:t>NQF 0575</w:t>
            </w:r>
          </w:p>
          <w:p w:rsidR="00CA2FE3" w:rsidRPr="00CA0AE3" w:rsidRDefault="00CA2FE3" w:rsidP="00D1633A">
            <w:pPr>
              <w:spacing w:after="0" w:line="240" w:lineRule="auto"/>
              <w:jc w:val="center"/>
              <w:rPr>
                <w:sz w:val="16"/>
                <w:szCs w:val="16"/>
              </w:rPr>
            </w:pPr>
            <w:r w:rsidRPr="00CA0AE3">
              <w:rPr>
                <w:sz w:val="16"/>
                <w:szCs w:val="16"/>
              </w:rPr>
              <w:t>(</w:t>
            </w:r>
            <w:proofErr w:type="gramStart"/>
            <w:r w:rsidRPr="00CA0AE3">
              <w:rPr>
                <w:sz w:val="16"/>
                <w:szCs w:val="16"/>
              </w:rPr>
              <w:t>one</w:t>
            </w:r>
            <w:proofErr w:type="gramEnd"/>
            <w:r w:rsidRPr="00CA0AE3">
              <w:rPr>
                <w:sz w:val="16"/>
                <w:szCs w:val="16"/>
              </w:rPr>
              <w:t xml:space="preserve"> of the two measures above will be selected and confirmed in the baseline year based on hospital evaluation of health disparities.</w:t>
            </w:r>
          </w:p>
          <w:p w:rsidR="00CA2FE3" w:rsidRPr="00CA0AE3" w:rsidRDefault="00CA2FE3" w:rsidP="00D1633A">
            <w:pPr>
              <w:spacing w:after="0" w:line="240" w:lineRule="auto"/>
              <w:jc w:val="center"/>
              <w:rPr>
                <w:sz w:val="16"/>
                <w:szCs w:val="16"/>
              </w:rPr>
            </w:pPr>
            <w:r w:rsidRPr="00CA0AE3">
              <w:rPr>
                <w:sz w:val="16"/>
                <w:szCs w:val="16"/>
              </w:rPr>
              <w:t>(for hospital-defined patient panel population(s) with health disparities</w:t>
            </w:r>
          </w:p>
        </w:tc>
        <w:tc>
          <w:tcPr>
            <w:tcW w:w="1350"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sz w:val="16"/>
                <w:szCs w:val="16"/>
              </w:rPr>
            </w:pPr>
            <w:r w:rsidRPr="00CA0AE3">
              <w:rPr>
                <w:sz w:val="16"/>
                <w:szCs w:val="16"/>
              </w:rPr>
              <w:t>NQF 0059 MA Medicaid (HEDIS) 2014 90</w:t>
            </w:r>
            <w:r w:rsidRPr="00CA0AE3">
              <w:rPr>
                <w:sz w:val="16"/>
                <w:szCs w:val="16"/>
                <w:vertAlign w:val="superscript"/>
              </w:rPr>
              <w:t>th</w:t>
            </w:r>
            <w:r w:rsidRPr="00CA0AE3">
              <w:rPr>
                <w:sz w:val="16"/>
                <w:szCs w:val="16"/>
              </w:rPr>
              <w:t xml:space="preserve"> percentile = 18.57% </w:t>
            </w:r>
          </w:p>
          <w:p w:rsidR="00CA2FE3" w:rsidRPr="00CA0AE3" w:rsidRDefault="00CA2FE3" w:rsidP="00D1633A">
            <w:pPr>
              <w:spacing w:after="0" w:line="240" w:lineRule="auto"/>
              <w:jc w:val="center"/>
              <w:rPr>
                <w:sz w:val="16"/>
                <w:szCs w:val="16"/>
              </w:rPr>
            </w:pPr>
            <w:r w:rsidRPr="00CA0AE3">
              <w:rPr>
                <w:sz w:val="16"/>
                <w:szCs w:val="16"/>
              </w:rPr>
              <w:t>or</w:t>
            </w:r>
          </w:p>
          <w:p w:rsidR="00CA2FE3" w:rsidRPr="00CA0AE3" w:rsidRDefault="00CA2FE3" w:rsidP="00D1633A">
            <w:pPr>
              <w:spacing w:after="0" w:line="240" w:lineRule="auto"/>
              <w:jc w:val="center"/>
              <w:rPr>
                <w:sz w:val="16"/>
                <w:szCs w:val="16"/>
              </w:rPr>
            </w:pPr>
            <w:r w:rsidRPr="00CA0AE3">
              <w:rPr>
                <w:sz w:val="16"/>
                <w:szCs w:val="16"/>
              </w:rPr>
              <w:t>NQF 0575 MA Medicaid (HEDIS) 2014 90</w:t>
            </w:r>
            <w:r w:rsidRPr="00CA0AE3">
              <w:rPr>
                <w:sz w:val="16"/>
                <w:szCs w:val="16"/>
                <w:vertAlign w:val="superscript"/>
              </w:rPr>
              <w:t>th</w:t>
            </w:r>
            <w:r w:rsidRPr="00CA0AE3">
              <w:rPr>
                <w:sz w:val="16"/>
                <w:szCs w:val="16"/>
              </w:rPr>
              <w:t xml:space="preserve"> percentile = 59.37%</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bCs/>
                <w:sz w:val="16"/>
                <w:szCs w:val="16"/>
              </w:rPr>
            </w:pPr>
            <w:r w:rsidRPr="00CA0AE3">
              <w:rPr>
                <w:bCs/>
                <w:sz w:val="16"/>
                <w:szCs w:val="16"/>
              </w:rPr>
              <w:t>Gap to Goal (5%) or attainment at target</w:t>
            </w:r>
          </w:p>
        </w:tc>
        <w:tc>
          <w:tcPr>
            <w:tcW w:w="900"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sz w:val="16"/>
                <w:szCs w:val="16"/>
              </w:rPr>
            </w:pPr>
            <w:r w:rsidRPr="00CA0AE3">
              <w:rPr>
                <w:sz w:val="16"/>
                <w:szCs w:val="16"/>
              </w:rPr>
              <w:t>B</w:t>
            </w:r>
          </w:p>
        </w:tc>
        <w:tc>
          <w:tcPr>
            <w:tcW w:w="1170"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sz w:val="16"/>
                <w:szCs w:val="16"/>
              </w:rPr>
            </w:pPr>
            <w:r w:rsidRPr="00CA0AE3">
              <w:rPr>
                <w:sz w:val="16"/>
                <w:szCs w:val="16"/>
              </w:rPr>
              <w:t>O</w:t>
            </w:r>
          </w:p>
        </w:tc>
        <w:tc>
          <w:tcPr>
            <w:tcW w:w="1170"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sz w:val="16"/>
                <w:szCs w:val="16"/>
              </w:rPr>
            </w:pPr>
            <w:r w:rsidRPr="00CA0AE3">
              <w:rPr>
                <w:sz w:val="16"/>
                <w:szCs w:val="16"/>
              </w:rPr>
              <w:t>O</w:t>
            </w:r>
          </w:p>
        </w:tc>
        <w:tc>
          <w:tcPr>
            <w:tcW w:w="1170"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sz w:val="16"/>
                <w:szCs w:val="16"/>
              </w:rPr>
            </w:pPr>
            <w:r w:rsidRPr="00CA0AE3">
              <w:rPr>
                <w:sz w:val="16"/>
                <w:szCs w:val="16"/>
              </w:rPr>
              <w:t>O</w:t>
            </w:r>
          </w:p>
        </w:tc>
        <w:tc>
          <w:tcPr>
            <w:tcW w:w="1170"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sz w:val="16"/>
                <w:szCs w:val="16"/>
              </w:rPr>
            </w:pPr>
            <w:r w:rsidRPr="00CA0AE3">
              <w:rPr>
                <w:sz w:val="16"/>
                <w:szCs w:val="16"/>
              </w:rPr>
              <w:t>O</w:t>
            </w:r>
          </w:p>
        </w:tc>
        <w:tc>
          <w:tcPr>
            <w:tcW w:w="1353" w:type="dxa"/>
            <w:tcBorders>
              <w:top w:val="single" w:sz="8" w:space="0" w:color="000000"/>
              <w:left w:val="single" w:sz="8" w:space="0" w:color="000000"/>
              <w:bottom w:val="single" w:sz="8" w:space="0" w:color="000000"/>
              <w:right w:val="single" w:sz="8" w:space="0" w:color="000000"/>
            </w:tcBorders>
            <w:vAlign w:val="center"/>
          </w:tcPr>
          <w:p w:rsidR="00CA2FE3" w:rsidRPr="00CA0AE3" w:rsidRDefault="00CA2FE3" w:rsidP="00D1633A">
            <w:pPr>
              <w:spacing w:after="0" w:line="240" w:lineRule="auto"/>
              <w:rPr>
                <w:rFonts w:eastAsia="Times New Roman"/>
                <w:sz w:val="16"/>
                <w:szCs w:val="16"/>
              </w:rPr>
            </w:pPr>
            <w:r w:rsidRPr="00CA0AE3">
              <w:rPr>
                <w:rFonts w:eastAsia="Times New Roman"/>
                <w:sz w:val="16"/>
                <w:szCs w:val="16"/>
              </w:rPr>
              <w:t>Gap to Goal adjusted to reflect populations with health disparities.</w:t>
            </w:r>
          </w:p>
        </w:tc>
      </w:tr>
      <w:tr w:rsidR="00CA2FE3" w:rsidRPr="00CA0AE3" w:rsidTr="003C48F3">
        <w:trPr>
          <w:cantSplit/>
          <w:trHeight w:val="1218"/>
        </w:trPr>
        <w:tc>
          <w:tcPr>
            <w:tcW w:w="316" w:type="dxa"/>
            <w:tcBorders>
              <w:top w:val="single" w:sz="8" w:space="0" w:color="000000"/>
              <w:left w:val="single" w:sz="8" w:space="0" w:color="000000"/>
              <w:bottom w:val="single" w:sz="8" w:space="0" w:color="000000"/>
              <w:right w:val="single" w:sz="8" w:space="0" w:color="000000"/>
            </w:tcBorders>
            <w:vAlign w:val="center"/>
          </w:tcPr>
          <w:p w:rsidR="00CA2FE3" w:rsidRPr="00CA0AE3" w:rsidRDefault="00CA2FE3" w:rsidP="00D1633A">
            <w:pPr>
              <w:spacing w:after="0" w:line="240" w:lineRule="auto"/>
              <w:jc w:val="center"/>
              <w:rPr>
                <w:sz w:val="16"/>
                <w:szCs w:val="16"/>
              </w:rPr>
            </w:pPr>
            <w:r w:rsidRPr="00CA0AE3">
              <w:rPr>
                <w:sz w:val="16"/>
                <w:szCs w:val="16"/>
              </w:rPr>
              <w:t>8</w:t>
            </w:r>
          </w:p>
        </w:tc>
        <w:tc>
          <w:tcPr>
            <w:tcW w:w="1937"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A2FE3" w:rsidRPr="00CA0AE3" w:rsidRDefault="00CA2FE3" w:rsidP="00D1633A">
            <w:pPr>
              <w:pStyle w:val="NormalWeb"/>
              <w:spacing w:before="0" w:beforeAutospacing="0" w:after="0" w:afterAutospacing="0"/>
              <w:rPr>
                <w:bCs/>
                <w:kern w:val="24"/>
                <w:sz w:val="16"/>
                <w:szCs w:val="16"/>
              </w:rPr>
            </w:pPr>
            <w:r w:rsidRPr="00CA0AE3">
              <w:rPr>
                <w:b/>
                <w:bCs/>
                <w:kern w:val="24"/>
                <w:sz w:val="16"/>
                <w:szCs w:val="16"/>
              </w:rPr>
              <w:t>Composite Diabetes &amp; Hypertension Patient Education, outreach or Intervention:</w:t>
            </w:r>
            <w:r w:rsidRPr="00CA0AE3">
              <w:rPr>
                <w:bCs/>
                <w:kern w:val="24"/>
                <w:sz w:val="16"/>
                <w:szCs w:val="16"/>
              </w:rPr>
              <w:t xml:space="preserve"> </w:t>
            </w:r>
          </w:p>
          <w:p w:rsidR="00CA2FE3" w:rsidRPr="00CA0AE3" w:rsidRDefault="00CA2FE3" w:rsidP="00D1633A">
            <w:pPr>
              <w:pStyle w:val="NormalWeb"/>
              <w:spacing w:before="0" w:beforeAutospacing="0" w:after="0" w:afterAutospacing="0"/>
              <w:rPr>
                <w:sz w:val="16"/>
                <w:szCs w:val="16"/>
              </w:rPr>
            </w:pPr>
            <w:r w:rsidRPr="00CA0AE3">
              <w:rPr>
                <w:bCs/>
                <w:kern w:val="24"/>
                <w:sz w:val="16"/>
                <w:szCs w:val="16"/>
              </w:rPr>
              <w:t>Proportion of patients in defined patient panel population(s) with disproportionately poorer health outcomes for hypertension and diabetes control in measures 5, 6, and 7 above that received patient education, outreach, or another intervention to support chronic health condition management</w:t>
            </w:r>
          </w:p>
        </w:tc>
        <w:tc>
          <w:tcPr>
            <w:tcW w:w="1080"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sz w:val="16"/>
                <w:szCs w:val="16"/>
              </w:rPr>
            </w:pPr>
            <w:r w:rsidRPr="00CA0AE3">
              <w:rPr>
                <w:sz w:val="16"/>
                <w:szCs w:val="16"/>
              </w:rPr>
              <w:t>Customized Measure</w:t>
            </w:r>
          </w:p>
          <w:p w:rsidR="00CA2FE3" w:rsidRPr="00CA0AE3" w:rsidRDefault="00CA2FE3" w:rsidP="00D1633A">
            <w:pPr>
              <w:spacing w:after="0" w:line="240" w:lineRule="auto"/>
              <w:jc w:val="center"/>
              <w:rPr>
                <w:sz w:val="16"/>
                <w:szCs w:val="16"/>
              </w:rPr>
            </w:pPr>
            <w:r w:rsidRPr="00CA0AE3">
              <w:rPr>
                <w:sz w:val="16"/>
                <w:szCs w:val="16"/>
              </w:rPr>
              <w:t>(for hospital-defined patient panel population(s) with health disparities</w:t>
            </w:r>
          </w:p>
        </w:tc>
        <w:tc>
          <w:tcPr>
            <w:tcW w:w="1350"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bCs/>
                <w:sz w:val="16"/>
                <w:szCs w:val="16"/>
              </w:rPr>
            </w:pPr>
            <w:r w:rsidRPr="00CA0AE3">
              <w:rPr>
                <w:sz w:val="16"/>
                <w:szCs w:val="16"/>
              </w:rPr>
              <w:t xml:space="preserve">No external benchmark; hospital specific improvement target = 60% </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sz w:val="16"/>
                <w:szCs w:val="16"/>
              </w:rPr>
            </w:pPr>
            <w:r w:rsidRPr="00CA0AE3">
              <w:rPr>
                <w:bCs/>
                <w:sz w:val="16"/>
                <w:szCs w:val="16"/>
              </w:rPr>
              <w:t>Gap to Goal (10%) or attainment at target</w:t>
            </w:r>
          </w:p>
        </w:tc>
        <w:tc>
          <w:tcPr>
            <w:tcW w:w="900"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sz w:val="16"/>
                <w:szCs w:val="16"/>
              </w:rPr>
            </w:pPr>
            <w:r w:rsidRPr="00CA0AE3">
              <w:rPr>
                <w:sz w:val="16"/>
                <w:szCs w:val="16"/>
              </w:rPr>
              <w:t>B</w:t>
            </w:r>
          </w:p>
        </w:tc>
        <w:tc>
          <w:tcPr>
            <w:tcW w:w="1170"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sz w:val="16"/>
                <w:szCs w:val="16"/>
              </w:rPr>
            </w:pPr>
            <w:r w:rsidRPr="00CA0AE3">
              <w:rPr>
                <w:sz w:val="16"/>
                <w:szCs w:val="16"/>
              </w:rPr>
              <w:t>O</w:t>
            </w:r>
          </w:p>
        </w:tc>
        <w:tc>
          <w:tcPr>
            <w:tcW w:w="1170"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sz w:val="16"/>
                <w:szCs w:val="16"/>
              </w:rPr>
            </w:pPr>
            <w:r w:rsidRPr="00CA0AE3">
              <w:rPr>
                <w:sz w:val="16"/>
                <w:szCs w:val="16"/>
              </w:rPr>
              <w:t>O</w:t>
            </w:r>
          </w:p>
        </w:tc>
        <w:tc>
          <w:tcPr>
            <w:tcW w:w="1170"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sz w:val="16"/>
                <w:szCs w:val="16"/>
              </w:rPr>
            </w:pPr>
            <w:r w:rsidRPr="00CA0AE3">
              <w:rPr>
                <w:sz w:val="16"/>
                <w:szCs w:val="16"/>
              </w:rPr>
              <w:t>O</w:t>
            </w:r>
          </w:p>
        </w:tc>
        <w:tc>
          <w:tcPr>
            <w:tcW w:w="1170"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sz w:val="16"/>
                <w:szCs w:val="16"/>
              </w:rPr>
            </w:pPr>
            <w:r w:rsidRPr="00CA0AE3">
              <w:rPr>
                <w:sz w:val="16"/>
                <w:szCs w:val="16"/>
              </w:rPr>
              <w:t>O</w:t>
            </w:r>
          </w:p>
        </w:tc>
        <w:tc>
          <w:tcPr>
            <w:tcW w:w="1353" w:type="dxa"/>
            <w:tcBorders>
              <w:top w:val="single" w:sz="8" w:space="0" w:color="000000"/>
              <w:left w:val="single" w:sz="8" w:space="0" w:color="000000"/>
              <w:bottom w:val="single" w:sz="8" w:space="0" w:color="000000"/>
              <w:right w:val="single" w:sz="8" w:space="0" w:color="000000"/>
            </w:tcBorders>
            <w:vAlign w:val="center"/>
          </w:tcPr>
          <w:p w:rsidR="00CA2FE3" w:rsidRPr="00CA0AE3" w:rsidRDefault="00CA2FE3" w:rsidP="00D1633A">
            <w:pPr>
              <w:spacing w:after="0" w:line="240" w:lineRule="auto"/>
              <w:rPr>
                <w:rFonts w:eastAsia="Times New Roman"/>
                <w:sz w:val="16"/>
                <w:szCs w:val="16"/>
              </w:rPr>
            </w:pPr>
            <w:r w:rsidRPr="00CA0AE3">
              <w:rPr>
                <w:rFonts w:eastAsia="Times New Roman"/>
                <w:sz w:val="16"/>
                <w:szCs w:val="16"/>
              </w:rPr>
              <w:t xml:space="preserve">Target derived to improve patient education, outreach, and/or interventions for patients with disproportionately poorer health outcomes. </w:t>
            </w:r>
          </w:p>
        </w:tc>
      </w:tr>
      <w:tr w:rsidR="00CA2FE3" w:rsidRPr="00CA0AE3" w:rsidTr="003C48F3">
        <w:trPr>
          <w:cantSplit/>
          <w:trHeight w:val="1218"/>
        </w:trPr>
        <w:tc>
          <w:tcPr>
            <w:tcW w:w="316" w:type="dxa"/>
            <w:tcBorders>
              <w:top w:val="single" w:sz="8" w:space="0" w:color="000000"/>
              <w:left w:val="single" w:sz="8" w:space="0" w:color="000000"/>
              <w:bottom w:val="single" w:sz="8" w:space="0" w:color="000000"/>
              <w:right w:val="single" w:sz="8" w:space="0" w:color="000000"/>
            </w:tcBorders>
            <w:vAlign w:val="center"/>
          </w:tcPr>
          <w:p w:rsidR="00CA2FE3" w:rsidRPr="00CA0AE3" w:rsidRDefault="00CA2FE3" w:rsidP="00D1633A">
            <w:pPr>
              <w:spacing w:after="0" w:line="240" w:lineRule="auto"/>
              <w:jc w:val="center"/>
              <w:rPr>
                <w:sz w:val="16"/>
                <w:szCs w:val="16"/>
              </w:rPr>
            </w:pPr>
            <w:r w:rsidRPr="00CA0AE3">
              <w:rPr>
                <w:sz w:val="16"/>
                <w:szCs w:val="16"/>
              </w:rPr>
              <w:lastRenderedPageBreak/>
              <w:t>9</w:t>
            </w:r>
          </w:p>
        </w:tc>
        <w:tc>
          <w:tcPr>
            <w:tcW w:w="1937"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A2FE3" w:rsidRPr="00CA0AE3" w:rsidRDefault="00CA2FE3" w:rsidP="00D1633A">
            <w:pPr>
              <w:pStyle w:val="NormalWeb"/>
              <w:spacing w:before="0" w:beforeAutospacing="0" w:after="0" w:afterAutospacing="0"/>
              <w:rPr>
                <w:bCs/>
                <w:kern w:val="24"/>
                <w:sz w:val="16"/>
                <w:szCs w:val="16"/>
              </w:rPr>
            </w:pPr>
            <w:r w:rsidRPr="00CA0AE3">
              <w:rPr>
                <w:b/>
                <w:bCs/>
                <w:kern w:val="24"/>
                <w:sz w:val="16"/>
                <w:szCs w:val="16"/>
              </w:rPr>
              <w:t xml:space="preserve">Primary Care and Ambulatory Care Utilization Among Panel Population(s) with Health Disparities:  </w:t>
            </w:r>
            <w:r w:rsidRPr="00CA0AE3">
              <w:rPr>
                <w:bCs/>
                <w:kern w:val="24"/>
                <w:sz w:val="16"/>
                <w:szCs w:val="16"/>
              </w:rPr>
              <w:t>Increase the proportion of patients in defined patient panel population(s) with disproportionately poorer health outcomes for hypertension and diabetes control in measures 5, 6, and 7 above who had at least one community health, primary care  and/or other ambulatory care visit during the measurement period</w:t>
            </w:r>
          </w:p>
        </w:tc>
        <w:tc>
          <w:tcPr>
            <w:tcW w:w="1080"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sz w:val="16"/>
                <w:szCs w:val="16"/>
              </w:rPr>
            </w:pPr>
            <w:r w:rsidRPr="00CA0AE3">
              <w:rPr>
                <w:sz w:val="16"/>
                <w:szCs w:val="16"/>
              </w:rPr>
              <w:t>Customized Measure</w:t>
            </w:r>
          </w:p>
          <w:p w:rsidR="00CA2FE3" w:rsidRPr="00CA0AE3" w:rsidRDefault="00CA2FE3" w:rsidP="00D1633A">
            <w:pPr>
              <w:spacing w:after="0" w:line="240" w:lineRule="auto"/>
              <w:jc w:val="center"/>
              <w:rPr>
                <w:sz w:val="16"/>
                <w:szCs w:val="16"/>
              </w:rPr>
            </w:pPr>
            <w:r w:rsidRPr="00CA0AE3">
              <w:rPr>
                <w:sz w:val="16"/>
                <w:szCs w:val="16"/>
              </w:rPr>
              <w:t>(for hospital-defined patient panel population(s) with health disparities</w:t>
            </w:r>
          </w:p>
        </w:tc>
        <w:tc>
          <w:tcPr>
            <w:tcW w:w="1350"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sz w:val="16"/>
                <w:szCs w:val="16"/>
              </w:rPr>
            </w:pPr>
            <w:r w:rsidRPr="00CA0AE3">
              <w:rPr>
                <w:sz w:val="16"/>
                <w:szCs w:val="16"/>
              </w:rPr>
              <w:t>No external benchmark;</w:t>
            </w:r>
          </w:p>
          <w:p w:rsidR="00CA2FE3" w:rsidRPr="00CA0AE3" w:rsidRDefault="00CA2FE3" w:rsidP="00D1633A">
            <w:pPr>
              <w:spacing w:after="0" w:line="240" w:lineRule="auto"/>
              <w:jc w:val="center"/>
              <w:rPr>
                <w:sz w:val="16"/>
                <w:szCs w:val="16"/>
              </w:rPr>
            </w:pPr>
            <w:r w:rsidRPr="00CA0AE3">
              <w:rPr>
                <w:sz w:val="16"/>
                <w:szCs w:val="16"/>
              </w:rPr>
              <w:t>Improvement over SFY 2018 baseline by defined % point(s)</w:t>
            </w:r>
          </w:p>
        </w:tc>
        <w:tc>
          <w:tcPr>
            <w:tcW w:w="1530"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bCs/>
                <w:sz w:val="16"/>
                <w:szCs w:val="16"/>
              </w:rPr>
            </w:pPr>
          </w:p>
          <w:p w:rsidR="00CA2FE3" w:rsidRPr="00CA0AE3" w:rsidRDefault="00CA2FE3" w:rsidP="00D1633A">
            <w:pPr>
              <w:spacing w:after="0" w:line="240" w:lineRule="auto"/>
              <w:jc w:val="center"/>
              <w:rPr>
                <w:bCs/>
                <w:sz w:val="16"/>
                <w:szCs w:val="16"/>
              </w:rPr>
            </w:pPr>
            <w:r w:rsidRPr="00CA0AE3">
              <w:rPr>
                <w:bCs/>
                <w:sz w:val="16"/>
                <w:szCs w:val="16"/>
              </w:rPr>
              <w:t>Improvement compared to SFY 2018 baseline.</w:t>
            </w:r>
          </w:p>
        </w:tc>
        <w:tc>
          <w:tcPr>
            <w:tcW w:w="900"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sz w:val="16"/>
                <w:szCs w:val="16"/>
              </w:rPr>
            </w:pPr>
            <w:r w:rsidRPr="00CA0AE3">
              <w:rPr>
                <w:sz w:val="16"/>
                <w:szCs w:val="16"/>
              </w:rPr>
              <w:t>B</w:t>
            </w:r>
          </w:p>
        </w:tc>
        <w:tc>
          <w:tcPr>
            <w:tcW w:w="1170"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sz w:val="16"/>
                <w:szCs w:val="16"/>
              </w:rPr>
            </w:pPr>
            <w:r w:rsidRPr="00CA0AE3">
              <w:rPr>
                <w:sz w:val="16"/>
                <w:szCs w:val="16"/>
              </w:rPr>
              <w:t>O</w:t>
            </w:r>
          </w:p>
          <w:p w:rsidR="00CA2FE3" w:rsidRPr="00CA0AE3" w:rsidRDefault="00CA2FE3" w:rsidP="00D1633A">
            <w:pPr>
              <w:spacing w:after="0" w:line="240" w:lineRule="auto"/>
              <w:jc w:val="center"/>
              <w:rPr>
                <w:sz w:val="16"/>
                <w:szCs w:val="16"/>
              </w:rPr>
            </w:pPr>
            <w:r w:rsidRPr="00CA0AE3">
              <w:rPr>
                <w:bCs/>
                <w:sz w:val="16"/>
                <w:szCs w:val="16"/>
              </w:rPr>
              <w:t>Improve by at least 1% point above the SFY 2018</w:t>
            </w:r>
          </w:p>
        </w:tc>
        <w:tc>
          <w:tcPr>
            <w:tcW w:w="1170"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sz w:val="16"/>
                <w:szCs w:val="16"/>
              </w:rPr>
            </w:pPr>
            <w:r w:rsidRPr="00CA0AE3">
              <w:rPr>
                <w:sz w:val="16"/>
                <w:szCs w:val="16"/>
              </w:rPr>
              <w:t>O</w:t>
            </w:r>
          </w:p>
          <w:p w:rsidR="00CA2FE3" w:rsidRPr="00CA0AE3" w:rsidRDefault="00CA2FE3" w:rsidP="00D1633A">
            <w:pPr>
              <w:spacing w:after="0" w:line="240" w:lineRule="auto"/>
              <w:jc w:val="center"/>
              <w:rPr>
                <w:sz w:val="16"/>
                <w:szCs w:val="16"/>
              </w:rPr>
            </w:pPr>
            <w:r w:rsidRPr="00CA0AE3">
              <w:rPr>
                <w:bCs/>
                <w:sz w:val="16"/>
                <w:szCs w:val="16"/>
              </w:rPr>
              <w:t>Improve by at least 2% point above the SFY 2018</w:t>
            </w:r>
          </w:p>
        </w:tc>
        <w:tc>
          <w:tcPr>
            <w:tcW w:w="1170"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sz w:val="16"/>
                <w:szCs w:val="16"/>
              </w:rPr>
            </w:pPr>
          </w:p>
          <w:p w:rsidR="00CA2FE3" w:rsidRPr="00CA0AE3" w:rsidRDefault="00CA2FE3" w:rsidP="00D1633A">
            <w:pPr>
              <w:spacing w:after="0" w:line="240" w:lineRule="auto"/>
              <w:jc w:val="center"/>
              <w:rPr>
                <w:bCs/>
                <w:sz w:val="16"/>
                <w:szCs w:val="16"/>
              </w:rPr>
            </w:pPr>
            <w:r w:rsidRPr="00CA0AE3">
              <w:rPr>
                <w:sz w:val="16"/>
                <w:szCs w:val="16"/>
              </w:rPr>
              <w:t>O</w:t>
            </w:r>
            <w:r w:rsidRPr="00CA0AE3">
              <w:rPr>
                <w:bCs/>
                <w:sz w:val="16"/>
                <w:szCs w:val="16"/>
              </w:rPr>
              <w:t xml:space="preserve"> </w:t>
            </w:r>
          </w:p>
          <w:p w:rsidR="00CA2FE3" w:rsidRPr="00CA0AE3" w:rsidRDefault="00CA2FE3" w:rsidP="00D1633A">
            <w:pPr>
              <w:spacing w:after="0" w:line="240" w:lineRule="auto"/>
              <w:jc w:val="center"/>
              <w:rPr>
                <w:sz w:val="16"/>
                <w:szCs w:val="16"/>
              </w:rPr>
            </w:pPr>
            <w:r w:rsidRPr="00CA0AE3">
              <w:rPr>
                <w:bCs/>
                <w:sz w:val="16"/>
                <w:szCs w:val="16"/>
              </w:rPr>
              <w:t>Improve by at least 3% points above the SFY 2018</w:t>
            </w:r>
          </w:p>
          <w:p w:rsidR="00CA2FE3" w:rsidRPr="00CA0AE3" w:rsidRDefault="00CA2FE3" w:rsidP="00D1633A">
            <w:pPr>
              <w:spacing w:after="0" w:line="240" w:lineRule="auto"/>
              <w:jc w:val="center"/>
              <w:rPr>
                <w:sz w:val="16"/>
                <w:szCs w:val="16"/>
              </w:rPr>
            </w:pPr>
          </w:p>
        </w:tc>
        <w:tc>
          <w:tcPr>
            <w:tcW w:w="1170" w:type="dxa"/>
            <w:tcBorders>
              <w:top w:val="single" w:sz="8" w:space="0" w:color="000000"/>
              <w:left w:val="single" w:sz="8" w:space="0" w:color="000000"/>
              <w:bottom w:val="single" w:sz="8" w:space="0" w:color="000000"/>
              <w:right w:val="single" w:sz="8" w:space="0" w:color="000000"/>
            </w:tcBorders>
            <w:shd w:val="clear" w:color="auto" w:fill="auto"/>
            <w:tcMar>
              <w:top w:w="13" w:type="dxa"/>
              <w:left w:w="93" w:type="dxa"/>
              <w:bottom w:w="0" w:type="dxa"/>
              <w:right w:w="93" w:type="dxa"/>
            </w:tcMar>
            <w:vAlign w:val="center"/>
          </w:tcPr>
          <w:p w:rsidR="00CA2FE3" w:rsidRPr="00CA0AE3" w:rsidRDefault="00CA2FE3" w:rsidP="00D1633A">
            <w:pPr>
              <w:spacing w:after="0" w:line="240" w:lineRule="auto"/>
              <w:jc w:val="center"/>
              <w:rPr>
                <w:sz w:val="16"/>
                <w:szCs w:val="16"/>
              </w:rPr>
            </w:pPr>
            <w:r w:rsidRPr="00CA0AE3">
              <w:rPr>
                <w:sz w:val="16"/>
                <w:szCs w:val="16"/>
              </w:rPr>
              <w:t>O</w:t>
            </w:r>
          </w:p>
          <w:p w:rsidR="00CA2FE3" w:rsidRPr="00CA0AE3" w:rsidRDefault="00CA2FE3" w:rsidP="00D1633A">
            <w:pPr>
              <w:spacing w:after="0" w:line="240" w:lineRule="auto"/>
              <w:jc w:val="center"/>
              <w:rPr>
                <w:sz w:val="16"/>
                <w:szCs w:val="16"/>
              </w:rPr>
            </w:pPr>
            <w:r w:rsidRPr="00CA0AE3">
              <w:rPr>
                <w:bCs/>
                <w:sz w:val="16"/>
                <w:szCs w:val="16"/>
              </w:rPr>
              <w:t>Improve by at least 4% points above the SFY 2018</w:t>
            </w:r>
          </w:p>
        </w:tc>
        <w:tc>
          <w:tcPr>
            <w:tcW w:w="1353" w:type="dxa"/>
            <w:tcBorders>
              <w:top w:val="single" w:sz="8" w:space="0" w:color="000000"/>
              <w:left w:val="single" w:sz="8" w:space="0" w:color="000000"/>
              <w:bottom w:val="single" w:sz="8" w:space="0" w:color="000000"/>
              <w:right w:val="single" w:sz="8" w:space="0" w:color="000000"/>
            </w:tcBorders>
            <w:vAlign w:val="center"/>
          </w:tcPr>
          <w:p w:rsidR="00CA2FE3" w:rsidRPr="00CA0AE3" w:rsidRDefault="00CA2FE3" w:rsidP="00D1633A">
            <w:pPr>
              <w:spacing w:after="0" w:line="240" w:lineRule="auto"/>
              <w:rPr>
                <w:rFonts w:eastAsia="Times New Roman"/>
                <w:sz w:val="16"/>
                <w:szCs w:val="16"/>
              </w:rPr>
            </w:pPr>
            <w:r w:rsidRPr="00CA0AE3">
              <w:rPr>
                <w:rFonts w:eastAsia="Times New Roman"/>
                <w:sz w:val="16"/>
                <w:szCs w:val="16"/>
              </w:rPr>
              <w:t xml:space="preserve">Target derived to improve utilization of primary care and ambulatory care for patients with disproportionately poorer health outcomes. </w:t>
            </w:r>
          </w:p>
        </w:tc>
      </w:tr>
    </w:tbl>
    <w:p w:rsidR="00CA2FE3" w:rsidRDefault="00CA2FE3">
      <w:pPr>
        <w:pStyle w:val="ListParagraph"/>
        <w:autoSpaceDE w:val="0"/>
        <w:autoSpaceDN w:val="0"/>
        <w:adjustRightInd w:val="0"/>
        <w:spacing w:after="0" w:line="240" w:lineRule="auto"/>
        <w:ind w:left="1080"/>
        <w:contextualSpacing w:val="0"/>
        <w:jc w:val="both"/>
      </w:pPr>
    </w:p>
    <w:tbl>
      <w:tblPr>
        <w:tblStyle w:val="TableGrid"/>
        <w:tblW w:w="5000" w:type="pct"/>
        <w:tblLook w:val="04A0" w:firstRow="1" w:lastRow="0" w:firstColumn="1" w:lastColumn="0" w:noHBand="0" w:noVBand="1"/>
      </w:tblPr>
      <w:tblGrid>
        <w:gridCol w:w="1019"/>
        <w:gridCol w:w="3678"/>
        <w:gridCol w:w="1458"/>
        <w:gridCol w:w="1510"/>
        <w:gridCol w:w="1057"/>
        <w:gridCol w:w="1057"/>
        <w:gridCol w:w="1057"/>
        <w:gridCol w:w="1057"/>
        <w:gridCol w:w="1057"/>
      </w:tblGrid>
      <w:tr w:rsidR="00CA2FE3" w:rsidRPr="00CA0AE3" w:rsidTr="003C48F3">
        <w:trPr>
          <w:cantSplit/>
        </w:trPr>
        <w:tc>
          <w:tcPr>
            <w:tcW w:w="2960" w:type="pct"/>
            <w:gridSpan w:val="4"/>
            <w:shd w:val="clear" w:color="auto" w:fill="C6D9F1" w:themeFill="text2" w:themeFillTint="33"/>
            <w:vAlign w:val="center"/>
          </w:tcPr>
          <w:p w:rsidR="00CA2FE3" w:rsidRPr="00CA0AE3" w:rsidRDefault="00CA2FE3" w:rsidP="00D1633A">
            <w:pPr>
              <w:spacing w:after="0" w:line="240" w:lineRule="auto"/>
              <w:jc w:val="center"/>
              <w:rPr>
                <w:b/>
                <w:sz w:val="20"/>
                <w:szCs w:val="16"/>
              </w:rPr>
            </w:pPr>
          </w:p>
        </w:tc>
        <w:tc>
          <w:tcPr>
            <w:tcW w:w="2040" w:type="pct"/>
            <w:gridSpan w:val="5"/>
            <w:shd w:val="clear" w:color="auto" w:fill="C6D9F1" w:themeFill="text2" w:themeFillTint="33"/>
            <w:vAlign w:val="center"/>
          </w:tcPr>
          <w:p w:rsidR="00CA2FE3" w:rsidRPr="00CA2FE3" w:rsidRDefault="00CA2FE3" w:rsidP="00CA2FE3">
            <w:pPr>
              <w:spacing w:after="0" w:line="240" w:lineRule="auto"/>
              <w:rPr>
                <w:rFonts w:ascii="Times New Roman" w:hAnsi="Times New Roman" w:cs="Times New Roman"/>
                <w:b/>
                <w:bCs/>
                <w:sz w:val="20"/>
                <w:szCs w:val="16"/>
              </w:rPr>
            </w:pPr>
            <w:r w:rsidRPr="00CA2FE3">
              <w:rPr>
                <w:rFonts w:ascii="Times New Roman" w:hAnsi="Times New Roman" w:cs="Times New Roman"/>
                <w:b/>
                <w:bCs/>
                <w:sz w:val="20"/>
                <w:szCs w:val="16"/>
              </w:rPr>
              <w:t>Baseline (B)</w:t>
            </w:r>
            <w:r>
              <w:rPr>
                <w:rFonts w:ascii="Times New Roman" w:hAnsi="Times New Roman" w:cs="Times New Roman"/>
                <w:b/>
                <w:bCs/>
                <w:sz w:val="20"/>
                <w:szCs w:val="16"/>
              </w:rPr>
              <w:t xml:space="preserve">, </w:t>
            </w:r>
            <w:r w:rsidRPr="00CA2FE3">
              <w:rPr>
                <w:rFonts w:ascii="Times New Roman" w:hAnsi="Times New Roman" w:cs="Times New Roman"/>
                <w:b/>
                <w:bCs/>
                <w:sz w:val="20"/>
                <w:szCs w:val="16"/>
              </w:rPr>
              <w:t>Outcome (O)</w:t>
            </w:r>
            <w:r>
              <w:rPr>
                <w:rFonts w:ascii="Times New Roman" w:hAnsi="Times New Roman" w:cs="Times New Roman"/>
                <w:b/>
                <w:bCs/>
                <w:sz w:val="20"/>
                <w:szCs w:val="16"/>
              </w:rPr>
              <w:t xml:space="preserve">, </w:t>
            </w:r>
            <w:r w:rsidRPr="00CA2FE3">
              <w:rPr>
                <w:rFonts w:ascii="Times New Roman" w:hAnsi="Times New Roman" w:cs="Times New Roman"/>
                <w:b/>
                <w:bCs/>
                <w:sz w:val="20"/>
                <w:szCs w:val="16"/>
              </w:rPr>
              <w:t>Reporting (R)</w:t>
            </w:r>
          </w:p>
        </w:tc>
      </w:tr>
      <w:tr w:rsidR="00CA2FE3" w:rsidRPr="00CA0AE3" w:rsidTr="003C48F3">
        <w:trPr>
          <w:cantSplit/>
        </w:trPr>
        <w:tc>
          <w:tcPr>
            <w:tcW w:w="394" w:type="pct"/>
            <w:shd w:val="clear" w:color="auto" w:fill="C6D9F1" w:themeFill="text2" w:themeFillTint="33"/>
            <w:vAlign w:val="center"/>
          </w:tcPr>
          <w:p w:rsidR="00CA2FE3" w:rsidRPr="00CA0AE3" w:rsidRDefault="00CA2FE3" w:rsidP="00D1633A">
            <w:pPr>
              <w:spacing w:after="0" w:line="240" w:lineRule="auto"/>
              <w:jc w:val="center"/>
              <w:rPr>
                <w:rFonts w:ascii="Times New Roman" w:hAnsi="Times New Roman" w:cs="Times New Roman"/>
                <w:b/>
                <w:sz w:val="20"/>
                <w:szCs w:val="16"/>
              </w:rPr>
            </w:pPr>
            <w:r w:rsidRPr="00CA0AE3">
              <w:rPr>
                <w:rFonts w:ascii="Times New Roman" w:eastAsia="Times New Roman" w:hAnsi="Times New Roman" w:cs="Times New Roman"/>
                <w:b/>
                <w:bCs/>
                <w:color w:val="000000"/>
                <w:kern w:val="24"/>
                <w:sz w:val="20"/>
                <w:szCs w:val="16"/>
              </w:rPr>
              <w:t>Measure Slate 6</w:t>
            </w:r>
          </w:p>
        </w:tc>
        <w:tc>
          <w:tcPr>
            <w:tcW w:w="1420" w:type="pct"/>
            <w:shd w:val="clear" w:color="auto" w:fill="C6D9F1" w:themeFill="text2" w:themeFillTint="33"/>
            <w:vAlign w:val="center"/>
          </w:tcPr>
          <w:p w:rsidR="00CA2FE3" w:rsidRPr="00CA0AE3" w:rsidRDefault="00CA2FE3" w:rsidP="00D1633A">
            <w:pPr>
              <w:spacing w:after="0" w:line="240" w:lineRule="auto"/>
              <w:jc w:val="center"/>
              <w:rPr>
                <w:rFonts w:ascii="Times New Roman" w:hAnsi="Times New Roman" w:cs="Times New Roman"/>
                <w:b/>
                <w:sz w:val="20"/>
                <w:szCs w:val="16"/>
              </w:rPr>
            </w:pPr>
            <w:r w:rsidRPr="00CA0AE3">
              <w:rPr>
                <w:rFonts w:ascii="Times New Roman" w:eastAsia="Times New Roman" w:hAnsi="Times New Roman" w:cs="Times New Roman"/>
                <w:b/>
                <w:bCs/>
                <w:color w:val="000000"/>
                <w:kern w:val="24"/>
                <w:sz w:val="20"/>
                <w:szCs w:val="16"/>
              </w:rPr>
              <w:t>Population-Wide Community and Public Health Indicators</w:t>
            </w:r>
          </w:p>
        </w:tc>
        <w:tc>
          <w:tcPr>
            <w:tcW w:w="563" w:type="pct"/>
            <w:shd w:val="clear" w:color="auto" w:fill="C6D9F1" w:themeFill="text2" w:themeFillTint="33"/>
            <w:vAlign w:val="center"/>
          </w:tcPr>
          <w:p w:rsidR="00CA2FE3" w:rsidRPr="00CA0AE3" w:rsidRDefault="00CA2FE3" w:rsidP="00D1633A">
            <w:pPr>
              <w:spacing w:after="0" w:line="240" w:lineRule="auto"/>
              <w:jc w:val="center"/>
              <w:rPr>
                <w:rFonts w:ascii="Times New Roman" w:hAnsi="Times New Roman" w:cs="Times New Roman"/>
                <w:bCs/>
                <w:sz w:val="20"/>
                <w:szCs w:val="16"/>
              </w:rPr>
            </w:pPr>
            <w:r w:rsidRPr="00CA0AE3">
              <w:rPr>
                <w:rFonts w:ascii="Times New Roman" w:hAnsi="Times New Roman" w:cs="Times New Roman"/>
                <w:b/>
                <w:bCs/>
                <w:sz w:val="20"/>
                <w:szCs w:val="16"/>
              </w:rPr>
              <w:t>Source</w:t>
            </w:r>
          </w:p>
        </w:tc>
        <w:tc>
          <w:tcPr>
            <w:tcW w:w="583" w:type="pct"/>
            <w:shd w:val="clear" w:color="auto" w:fill="C6D9F1" w:themeFill="text2" w:themeFillTint="33"/>
            <w:vAlign w:val="center"/>
          </w:tcPr>
          <w:p w:rsidR="00CA2FE3" w:rsidRPr="00CA0AE3" w:rsidRDefault="00CA2FE3" w:rsidP="00D1633A">
            <w:pPr>
              <w:spacing w:after="0" w:line="240" w:lineRule="auto"/>
              <w:jc w:val="center"/>
              <w:rPr>
                <w:rFonts w:ascii="Times New Roman" w:hAnsi="Times New Roman" w:cs="Times New Roman"/>
                <w:b/>
                <w:sz w:val="20"/>
                <w:szCs w:val="16"/>
              </w:rPr>
            </w:pPr>
            <w:r w:rsidRPr="00CA0AE3">
              <w:rPr>
                <w:rFonts w:ascii="Times New Roman" w:hAnsi="Times New Roman" w:cs="Times New Roman"/>
                <w:b/>
                <w:sz w:val="20"/>
                <w:szCs w:val="16"/>
              </w:rPr>
              <w:t>Geography</w:t>
            </w:r>
          </w:p>
        </w:tc>
        <w:tc>
          <w:tcPr>
            <w:tcW w:w="408" w:type="pct"/>
            <w:shd w:val="clear" w:color="auto" w:fill="C6D9F1" w:themeFill="text2" w:themeFillTint="33"/>
            <w:vAlign w:val="center"/>
          </w:tcPr>
          <w:p w:rsidR="00CA2FE3" w:rsidRPr="00CA0AE3" w:rsidRDefault="00CA2FE3" w:rsidP="00D1633A">
            <w:pPr>
              <w:spacing w:after="0" w:line="240" w:lineRule="auto"/>
              <w:jc w:val="center"/>
              <w:rPr>
                <w:rFonts w:ascii="Times New Roman" w:hAnsi="Times New Roman" w:cs="Times New Roman"/>
                <w:b/>
                <w:bCs/>
                <w:sz w:val="20"/>
                <w:szCs w:val="16"/>
              </w:rPr>
            </w:pPr>
            <w:r w:rsidRPr="00CA0AE3">
              <w:rPr>
                <w:rFonts w:ascii="Times New Roman" w:hAnsi="Times New Roman" w:cs="Times New Roman"/>
                <w:b/>
                <w:bCs/>
                <w:sz w:val="20"/>
                <w:szCs w:val="16"/>
              </w:rPr>
              <w:t>Year 1</w:t>
            </w:r>
          </w:p>
          <w:p w:rsidR="00CA2FE3" w:rsidRPr="00CA0AE3" w:rsidRDefault="00CA2FE3" w:rsidP="00D1633A">
            <w:pPr>
              <w:spacing w:after="0" w:line="240" w:lineRule="auto"/>
              <w:jc w:val="center"/>
              <w:rPr>
                <w:rFonts w:ascii="Times New Roman" w:hAnsi="Times New Roman" w:cs="Times New Roman"/>
                <w:bCs/>
                <w:sz w:val="20"/>
                <w:szCs w:val="16"/>
              </w:rPr>
            </w:pPr>
            <w:r w:rsidRPr="00CA0AE3">
              <w:rPr>
                <w:rFonts w:ascii="Times New Roman" w:hAnsi="Times New Roman" w:cs="Times New Roman"/>
                <w:bCs/>
                <w:sz w:val="20"/>
                <w:szCs w:val="16"/>
              </w:rPr>
              <w:t>SFY</w:t>
            </w:r>
          </w:p>
          <w:p w:rsidR="00CA2FE3" w:rsidRPr="00CA0AE3" w:rsidRDefault="00CA2FE3" w:rsidP="00D1633A">
            <w:pPr>
              <w:spacing w:after="0" w:line="240" w:lineRule="auto"/>
              <w:jc w:val="center"/>
              <w:rPr>
                <w:rFonts w:ascii="Times New Roman" w:hAnsi="Times New Roman" w:cs="Times New Roman"/>
                <w:bCs/>
                <w:sz w:val="20"/>
                <w:szCs w:val="16"/>
              </w:rPr>
            </w:pPr>
            <w:r w:rsidRPr="00CA0AE3">
              <w:rPr>
                <w:rFonts w:ascii="Times New Roman" w:hAnsi="Times New Roman" w:cs="Times New Roman"/>
                <w:bCs/>
                <w:sz w:val="20"/>
                <w:szCs w:val="16"/>
              </w:rPr>
              <w:t>2018</w:t>
            </w:r>
          </w:p>
        </w:tc>
        <w:tc>
          <w:tcPr>
            <w:tcW w:w="408" w:type="pct"/>
            <w:shd w:val="clear" w:color="auto" w:fill="C6D9F1" w:themeFill="text2" w:themeFillTint="33"/>
            <w:vAlign w:val="center"/>
          </w:tcPr>
          <w:p w:rsidR="00CA2FE3" w:rsidRPr="00CA0AE3" w:rsidRDefault="00CA2FE3" w:rsidP="00D1633A">
            <w:pPr>
              <w:spacing w:after="0" w:line="240" w:lineRule="auto"/>
              <w:jc w:val="center"/>
              <w:rPr>
                <w:rFonts w:ascii="Times New Roman" w:hAnsi="Times New Roman" w:cs="Times New Roman"/>
                <w:b/>
                <w:bCs/>
                <w:sz w:val="20"/>
                <w:szCs w:val="16"/>
              </w:rPr>
            </w:pPr>
            <w:r w:rsidRPr="00CA0AE3">
              <w:rPr>
                <w:rFonts w:ascii="Times New Roman" w:hAnsi="Times New Roman" w:cs="Times New Roman"/>
                <w:b/>
                <w:bCs/>
                <w:sz w:val="20"/>
                <w:szCs w:val="16"/>
              </w:rPr>
              <w:t>Year 2</w:t>
            </w:r>
          </w:p>
          <w:p w:rsidR="00CA2FE3" w:rsidRPr="00CA0AE3" w:rsidRDefault="00CA2FE3" w:rsidP="00D1633A">
            <w:pPr>
              <w:spacing w:after="0" w:line="240" w:lineRule="auto"/>
              <w:jc w:val="center"/>
              <w:rPr>
                <w:rFonts w:ascii="Times New Roman" w:hAnsi="Times New Roman" w:cs="Times New Roman"/>
                <w:bCs/>
                <w:sz w:val="20"/>
                <w:szCs w:val="16"/>
              </w:rPr>
            </w:pPr>
            <w:r w:rsidRPr="00CA0AE3">
              <w:rPr>
                <w:rFonts w:ascii="Times New Roman" w:hAnsi="Times New Roman" w:cs="Times New Roman"/>
                <w:bCs/>
                <w:sz w:val="20"/>
                <w:szCs w:val="16"/>
              </w:rPr>
              <w:t>SFY</w:t>
            </w:r>
          </w:p>
          <w:p w:rsidR="00CA2FE3" w:rsidRPr="00CA0AE3" w:rsidRDefault="00CA2FE3" w:rsidP="00D1633A">
            <w:pPr>
              <w:spacing w:after="0" w:line="240" w:lineRule="auto"/>
              <w:jc w:val="center"/>
              <w:rPr>
                <w:rFonts w:ascii="Times New Roman" w:hAnsi="Times New Roman" w:cs="Times New Roman"/>
                <w:bCs/>
                <w:sz w:val="20"/>
                <w:szCs w:val="16"/>
              </w:rPr>
            </w:pPr>
            <w:r w:rsidRPr="00CA0AE3">
              <w:rPr>
                <w:rFonts w:ascii="Times New Roman" w:hAnsi="Times New Roman" w:cs="Times New Roman"/>
                <w:bCs/>
                <w:sz w:val="20"/>
                <w:szCs w:val="16"/>
              </w:rPr>
              <w:t>2019</w:t>
            </w:r>
          </w:p>
        </w:tc>
        <w:tc>
          <w:tcPr>
            <w:tcW w:w="408" w:type="pct"/>
            <w:shd w:val="clear" w:color="auto" w:fill="C6D9F1" w:themeFill="text2" w:themeFillTint="33"/>
            <w:vAlign w:val="center"/>
          </w:tcPr>
          <w:p w:rsidR="00CA2FE3" w:rsidRPr="00CA0AE3" w:rsidRDefault="00CA2FE3" w:rsidP="00D1633A">
            <w:pPr>
              <w:spacing w:after="0" w:line="240" w:lineRule="auto"/>
              <w:jc w:val="center"/>
              <w:rPr>
                <w:rFonts w:ascii="Times New Roman" w:hAnsi="Times New Roman" w:cs="Times New Roman"/>
                <w:b/>
                <w:bCs/>
                <w:sz w:val="20"/>
                <w:szCs w:val="16"/>
              </w:rPr>
            </w:pPr>
            <w:r w:rsidRPr="00CA0AE3">
              <w:rPr>
                <w:rFonts w:ascii="Times New Roman" w:hAnsi="Times New Roman" w:cs="Times New Roman"/>
                <w:b/>
                <w:bCs/>
                <w:sz w:val="20"/>
                <w:szCs w:val="16"/>
              </w:rPr>
              <w:t>Year 3</w:t>
            </w:r>
          </w:p>
          <w:p w:rsidR="00CA2FE3" w:rsidRPr="00CA0AE3" w:rsidRDefault="00CA2FE3" w:rsidP="00D1633A">
            <w:pPr>
              <w:spacing w:after="0" w:line="240" w:lineRule="auto"/>
              <w:jc w:val="center"/>
              <w:rPr>
                <w:rFonts w:ascii="Times New Roman" w:hAnsi="Times New Roman" w:cs="Times New Roman"/>
                <w:bCs/>
                <w:sz w:val="20"/>
                <w:szCs w:val="16"/>
              </w:rPr>
            </w:pPr>
            <w:r w:rsidRPr="00CA0AE3">
              <w:rPr>
                <w:rFonts w:ascii="Times New Roman" w:hAnsi="Times New Roman" w:cs="Times New Roman"/>
                <w:bCs/>
                <w:sz w:val="20"/>
                <w:szCs w:val="16"/>
              </w:rPr>
              <w:t>SFY</w:t>
            </w:r>
          </w:p>
          <w:p w:rsidR="00CA2FE3" w:rsidRPr="00CA0AE3" w:rsidRDefault="00CA2FE3" w:rsidP="00D1633A">
            <w:pPr>
              <w:spacing w:after="0" w:line="240" w:lineRule="auto"/>
              <w:jc w:val="center"/>
              <w:rPr>
                <w:rFonts w:ascii="Times New Roman" w:hAnsi="Times New Roman" w:cs="Times New Roman"/>
                <w:b/>
                <w:bCs/>
                <w:sz w:val="20"/>
                <w:szCs w:val="16"/>
              </w:rPr>
            </w:pPr>
            <w:r w:rsidRPr="00CA0AE3">
              <w:rPr>
                <w:rFonts w:ascii="Times New Roman" w:hAnsi="Times New Roman" w:cs="Times New Roman"/>
                <w:bCs/>
                <w:sz w:val="20"/>
                <w:szCs w:val="16"/>
              </w:rPr>
              <w:t>2020</w:t>
            </w:r>
          </w:p>
        </w:tc>
        <w:tc>
          <w:tcPr>
            <w:tcW w:w="408" w:type="pct"/>
            <w:shd w:val="clear" w:color="auto" w:fill="C6D9F1" w:themeFill="text2" w:themeFillTint="33"/>
            <w:vAlign w:val="center"/>
          </w:tcPr>
          <w:p w:rsidR="00CA2FE3" w:rsidRPr="00CA0AE3" w:rsidRDefault="00CA2FE3" w:rsidP="00D1633A">
            <w:pPr>
              <w:spacing w:after="0" w:line="240" w:lineRule="auto"/>
              <w:jc w:val="center"/>
              <w:rPr>
                <w:rFonts w:ascii="Times New Roman" w:hAnsi="Times New Roman" w:cs="Times New Roman"/>
                <w:b/>
                <w:bCs/>
                <w:sz w:val="20"/>
                <w:szCs w:val="16"/>
              </w:rPr>
            </w:pPr>
            <w:r w:rsidRPr="00CA0AE3">
              <w:rPr>
                <w:rFonts w:ascii="Times New Roman" w:hAnsi="Times New Roman" w:cs="Times New Roman"/>
                <w:b/>
                <w:bCs/>
                <w:sz w:val="20"/>
                <w:szCs w:val="16"/>
              </w:rPr>
              <w:t>Year 4</w:t>
            </w:r>
          </w:p>
          <w:p w:rsidR="00CA2FE3" w:rsidRPr="00CA0AE3" w:rsidRDefault="00CA2FE3" w:rsidP="00D1633A">
            <w:pPr>
              <w:spacing w:after="0" w:line="240" w:lineRule="auto"/>
              <w:jc w:val="center"/>
              <w:rPr>
                <w:rFonts w:ascii="Times New Roman" w:hAnsi="Times New Roman" w:cs="Times New Roman"/>
                <w:bCs/>
                <w:sz w:val="20"/>
                <w:szCs w:val="16"/>
              </w:rPr>
            </w:pPr>
            <w:r w:rsidRPr="00CA0AE3">
              <w:rPr>
                <w:rFonts w:ascii="Times New Roman" w:hAnsi="Times New Roman" w:cs="Times New Roman"/>
                <w:bCs/>
                <w:sz w:val="20"/>
                <w:szCs w:val="16"/>
              </w:rPr>
              <w:t>SFY</w:t>
            </w:r>
          </w:p>
          <w:p w:rsidR="00CA2FE3" w:rsidRPr="00CA0AE3" w:rsidRDefault="00CA2FE3" w:rsidP="00D1633A">
            <w:pPr>
              <w:spacing w:after="0" w:line="240" w:lineRule="auto"/>
              <w:jc w:val="center"/>
              <w:rPr>
                <w:rFonts w:ascii="Times New Roman" w:hAnsi="Times New Roman" w:cs="Times New Roman"/>
                <w:b/>
                <w:bCs/>
                <w:sz w:val="20"/>
                <w:szCs w:val="16"/>
              </w:rPr>
            </w:pPr>
            <w:r w:rsidRPr="00CA0AE3">
              <w:rPr>
                <w:rFonts w:ascii="Times New Roman" w:hAnsi="Times New Roman" w:cs="Times New Roman"/>
                <w:bCs/>
                <w:sz w:val="20"/>
                <w:szCs w:val="16"/>
              </w:rPr>
              <w:t>2021</w:t>
            </w:r>
          </w:p>
        </w:tc>
        <w:tc>
          <w:tcPr>
            <w:tcW w:w="408" w:type="pct"/>
            <w:shd w:val="clear" w:color="auto" w:fill="C6D9F1" w:themeFill="text2" w:themeFillTint="33"/>
            <w:vAlign w:val="center"/>
          </w:tcPr>
          <w:p w:rsidR="00CA2FE3" w:rsidRPr="00CA0AE3" w:rsidRDefault="00CA2FE3" w:rsidP="00D1633A">
            <w:pPr>
              <w:spacing w:after="0" w:line="240" w:lineRule="auto"/>
              <w:jc w:val="center"/>
              <w:rPr>
                <w:rFonts w:ascii="Times New Roman" w:hAnsi="Times New Roman" w:cs="Times New Roman"/>
                <w:b/>
                <w:bCs/>
                <w:sz w:val="20"/>
                <w:szCs w:val="16"/>
              </w:rPr>
            </w:pPr>
            <w:r w:rsidRPr="00CA0AE3">
              <w:rPr>
                <w:rFonts w:ascii="Times New Roman" w:hAnsi="Times New Roman" w:cs="Times New Roman"/>
                <w:b/>
                <w:bCs/>
                <w:sz w:val="20"/>
                <w:szCs w:val="16"/>
              </w:rPr>
              <w:t>Year 5</w:t>
            </w:r>
          </w:p>
          <w:p w:rsidR="00CA2FE3" w:rsidRPr="00CA0AE3" w:rsidRDefault="00CA2FE3" w:rsidP="00D1633A">
            <w:pPr>
              <w:spacing w:after="0" w:line="240" w:lineRule="auto"/>
              <w:jc w:val="center"/>
              <w:rPr>
                <w:rFonts w:ascii="Times New Roman" w:hAnsi="Times New Roman" w:cs="Times New Roman"/>
                <w:bCs/>
                <w:sz w:val="20"/>
                <w:szCs w:val="16"/>
              </w:rPr>
            </w:pPr>
            <w:r w:rsidRPr="00CA0AE3">
              <w:rPr>
                <w:rFonts w:ascii="Times New Roman" w:hAnsi="Times New Roman" w:cs="Times New Roman"/>
                <w:bCs/>
                <w:sz w:val="20"/>
                <w:szCs w:val="16"/>
              </w:rPr>
              <w:t>SFY</w:t>
            </w:r>
          </w:p>
          <w:p w:rsidR="00CA2FE3" w:rsidRPr="00CA0AE3" w:rsidRDefault="00CA2FE3" w:rsidP="00D1633A">
            <w:pPr>
              <w:spacing w:after="0" w:line="240" w:lineRule="auto"/>
              <w:jc w:val="center"/>
              <w:rPr>
                <w:rFonts w:ascii="Times New Roman" w:hAnsi="Times New Roman" w:cs="Times New Roman"/>
                <w:b/>
                <w:bCs/>
                <w:sz w:val="20"/>
                <w:szCs w:val="16"/>
              </w:rPr>
            </w:pPr>
            <w:r w:rsidRPr="00CA0AE3">
              <w:rPr>
                <w:rFonts w:ascii="Times New Roman" w:hAnsi="Times New Roman" w:cs="Times New Roman"/>
                <w:bCs/>
                <w:sz w:val="20"/>
                <w:szCs w:val="16"/>
              </w:rPr>
              <w:t>2022</w:t>
            </w:r>
          </w:p>
        </w:tc>
      </w:tr>
      <w:tr w:rsidR="00CA2FE3" w:rsidRPr="00CA0AE3" w:rsidTr="003C48F3">
        <w:trPr>
          <w:cantSplit/>
        </w:trPr>
        <w:tc>
          <w:tcPr>
            <w:tcW w:w="394" w:type="pct"/>
            <w:shd w:val="clear" w:color="auto" w:fill="auto"/>
            <w:noWrap/>
            <w:vAlign w:val="center"/>
          </w:tcPr>
          <w:p w:rsidR="00CA2FE3" w:rsidRPr="00CA0AE3" w:rsidRDefault="00CA2FE3" w:rsidP="00D1633A">
            <w:pPr>
              <w:spacing w:after="0" w:line="240" w:lineRule="auto"/>
              <w:jc w:val="center"/>
              <w:rPr>
                <w:rFonts w:ascii="Times New Roman" w:hAnsi="Times New Roman" w:cs="Times New Roman"/>
                <w:sz w:val="16"/>
                <w:szCs w:val="16"/>
              </w:rPr>
            </w:pPr>
            <w:r w:rsidRPr="00CA0AE3">
              <w:rPr>
                <w:rFonts w:ascii="Times New Roman" w:hAnsi="Times New Roman" w:cs="Times New Roman"/>
                <w:sz w:val="16"/>
                <w:szCs w:val="16"/>
              </w:rPr>
              <w:t>1</w:t>
            </w:r>
          </w:p>
        </w:tc>
        <w:tc>
          <w:tcPr>
            <w:tcW w:w="1420" w:type="pct"/>
            <w:shd w:val="clear" w:color="auto" w:fill="auto"/>
            <w:vAlign w:val="center"/>
          </w:tcPr>
          <w:p w:rsidR="00CA2FE3" w:rsidRPr="00CA0AE3" w:rsidRDefault="00CA2FE3" w:rsidP="00D1633A">
            <w:pPr>
              <w:spacing w:after="0" w:line="240" w:lineRule="auto"/>
              <w:jc w:val="center"/>
              <w:rPr>
                <w:rFonts w:ascii="Times New Roman" w:hAnsi="Times New Roman" w:cs="Times New Roman"/>
                <w:sz w:val="16"/>
                <w:szCs w:val="16"/>
              </w:rPr>
            </w:pPr>
            <w:r w:rsidRPr="00CA0AE3">
              <w:rPr>
                <w:rFonts w:ascii="Times New Roman" w:hAnsi="Times New Roman" w:cs="Times New Roman"/>
                <w:sz w:val="16"/>
                <w:szCs w:val="16"/>
              </w:rPr>
              <w:t>Age-adjusted rate* per 100,000 for premature death (below age 75),</w:t>
            </w:r>
            <w:r w:rsidRPr="00CA0AE3">
              <w:rPr>
                <w:rFonts w:ascii="Times New Roman" w:hAnsi="Times New Roman" w:cs="Times New Roman"/>
                <w:i/>
                <w:sz w:val="16"/>
                <w:szCs w:val="16"/>
              </w:rPr>
              <w:t xml:space="preserve"> by race and ethnicity, as available</w:t>
            </w:r>
          </w:p>
        </w:tc>
        <w:tc>
          <w:tcPr>
            <w:tcW w:w="563" w:type="pct"/>
            <w:shd w:val="clear" w:color="auto" w:fill="auto"/>
            <w:vAlign w:val="center"/>
          </w:tcPr>
          <w:p w:rsidR="00CA2FE3" w:rsidRPr="00CA0AE3" w:rsidRDefault="00CA2FE3" w:rsidP="00D1633A">
            <w:pPr>
              <w:spacing w:after="0" w:line="240" w:lineRule="auto"/>
              <w:jc w:val="center"/>
              <w:rPr>
                <w:rFonts w:ascii="Times New Roman" w:hAnsi="Times New Roman" w:cs="Times New Roman"/>
                <w:sz w:val="16"/>
                <w:szCs w:val="16"/>
              </w:rPr>
            </w:pPr>
            <w:r w:rsidRPr="00CA0AE3">
              <w:rPr>
                <w:rFonts w:ascii="Times New Roman" w:hAnsi="Times New Roman" w:cs="Times New Roman"/>
                <w:sz w:val="16"/>
                <w:szCs w:val="16"/>
              </w:rPr>
              <w:t>MA Department of Public Health</w:t>
            </w:r>
          </w:p>
          <w:p w:rsidR="00CA2FE3" w:rsidRPr="00CA0AE3" w:rsidRDefault="00CA2FE3" w:rsidP="00D1633A">
            <w:pPr>
              <w:spacing w:after="0" w:line="240" w:lineRule="auto"/>
              <w:jc w:val="center"/>
              <w:rPr>
                <w:rFonts w:ascii="Times New Roman" w:hAnsi="Times New Roman" w:cs="Times New Roman"/>
                <w:sz w:val="16"/>
                <w:szCs w:val="16"/>
              </w:rPr>
            </w:pPr>
            <w:r w:rsidRPr="00CA0AE3">
              <w:rPr>
                <w:rFonts w:ascii="Times New Roman" w:hAnsi="Times New Roman" w:cs="Times New Roman"/>
                <w:sz w:val="16"/>
                <w:szCs w:val="16"/>
              </w:rPr>
              <w:t xml:space="preserve">(Annual) </w:t>
            </w:r>
          </w:p>
        </w:tc>
        <w:tc>
          <w:tcPr>
            <w:tcW w:w="583" w:type="pct"/>
            <w:vAlign w:val="center"/>
          </w:tcPr>
          <w:p w:rsidR="00CA2FE3" w:rsidRPr="00CA0AE3" w:rsidRDefault="00CA2FE3" w:rsidP="00D1633A">
            <w:pPr>
              <w:spacing w:after="0" w:line="240" w:lineRule="auto"/>
              <w:jc w:val="center"/>
              <w:rPr>
                <w:rFonts w:ascii="Times New Roman" w:hAnsi="Times New Roman" w:cs="Times New Roman"/>
                <w:color w:val="000000"/>
                <w:sz w:val="16"/>
                <w:szCs w:val="16"/>
              </w:rPr>
            </w:pPr>
            <w:r w:rsidRPr="00CA0AE3">
              <w:rPr>
                <w:rFonts w:ascii="Times New Roman" w:hAnsi="Times New Roman" w:cs="Times New Roman"/>
                <w:color w:val="000000"/>
                <w:sz w:val="16"/>
                <w:szCs w:val="16"/>
              </w:rPr>
              <w:t>Cambridge, Somerville, Everett, Malden, Revere, Statewide</w:t>
            </w:r>
          </w:p>
        </w:tc>
        <w:tc>
          <w:tcPr>
            <w:tcW w:w="408" w:type="pct"/>
            <w:shd w:val="clear" w:color="auto" w:fill="auto"/>
            <w:vAlign w:val="center"/>
          </w:tcPr>
          <w:p w:rsidR="00CA2FE3" w:rsidRPr="00CA0AE3" w:rsidRDefault="00CA2FE3" w:rsidP="00D1633A">
            <w:pPr>
              <w:spacing w:after="0" w:line="240" w:lineRule="auto"/>
              <w:jc w:val="center"/>
              <w:rPr>
                <w:rFonts w:ascii="Times New Roman" w:hAnsi="Times New Roman" w:cs="Times New Roman"/>
                <w:sz w:val="16"/>
                <w:szCs w:val="16"/>
              </w:rPr>
            </w:pPr>
            <w:r w:rsidRPr="00CA0AE3">
              <w:rPr>
                <w:rFonts w:ascii="Times New Roman" w:hAnsi="Times New Roman" w:cs="Times New Roman"/>
                <w:sz w:val="16"/>
                <w:szCs w:val="16"/>
              </w:rPr>
              <w:t>R</w:t>
            </w:r>
          </w:p>
        </w:tc>
        <w:tc>
          <w:tcPr>
            <w:tcW w:w="408" w:type="pct"/>
            <w:shd w:val="clear" w:color="auto" w:fill="auto"/>
            <w:vAlign w:val="center"/>
          </w:tcPr>
          <w:p w:rsidR="00CA2FE3" w:rsidRPr="00CA0AE3" w:rsidRDefault="00CA2FE3" w:rsidP="00D1633A">
            <w:pPr>
              <w:spacing w:after="0" w:line="240" w:lineRule="auto"/>
              <w:jc w:val="center"/>
              <w:rPr>
                <w:rFonts w:ascii="Times New Roman" w:eastAsia="Times New Roman" w:hAnsi="Times New Roman" w:cs="Times New Roman"/>
                <w:sz w:val="16"/>
                <w:szCs w:val="16"/>
              </w:rPr>
            </w:pPr>
            <w:r w:rsidRPr="00CA0AE3">
              <w:rPr>
                <w:rFonts w:ascii="Times New Roman" w:eastAsia="Times New Roman" w:hAnsi="Times New Roman" w:cs="Times New Roman"/>
                <w:sz w:val="16"/>
                <w:szCs w:val="16"/>
              </w:rPr>
              <w:t>R</w:t>
            </w:r>
          </w:p>
        </w:tc>
        <w:tc>
          <w:tcPr>
            <w:tcW w:w="408" w:type="pct"/>
            <w:shd w:val="clear" w:color="auto" w:fill="auto"/>
            <w:vAlign w:val="center"/>
          </w:tcPr>
          <w:p w:rsidR="00CA2FE3" w:rsidRPr="00CA0AE3" w:rsidRDefault="00CA2FE3" w:rsidP="00D1633A">
            <w:pPr>
              <w:spacing w:after="0" w:line="240" w:lineRule="auto"/>
              <w:jc w:val="center"/>
              <w:rPr>
                <w:rFonts w:ascii="Times New Roman" w:eastAsia="Times New Roman" w:hAnsi="Times New Roman" w:cs="Times New Roman"/>
                <w:sz w:val="16"/>
                <w:szCs w:val="16"/>
              </w:rPr>
            </w:pPr>
            <w:r w:rsidRPr="00CA0AE3">
              <w:rPr>
                <w:rFonts w:ascii="Times New Roman" w:eastAsia="Times New Roman" w:hAnsi="Times New Roman" w:cs="Times New Roman"/>
                <w:sz w:val="16"/>
                <w:szCs w:val="16"/>
              </w:rPr>
              <w:t>R</w:t>
            </w:r>
          </w:p>
        </w:tc>
        <w:tc>
          <w:tcPr>
            <w:tcW w:w="408" w:type="pct"/>
            <w:vAlign w:val="center"/>
          </w:tcPr>
          <w:p w:rsidR="00CA2FE3" w:rsidRPr="00CA0AE3" w:rsidRDefault="00CA2FE3" w:rsidP="00D1633A">
            <w:pPr>
              <w:spacing w:after="0" w:line="240" w:lineRule="auto"/>
              <w:jc w:val="center"/>
              <w:rPr>
                <w:rFonts w:ascii="Times New Roman" w:eastAsia="Times New Roman" w:hAnsi="Times New Roman" w:cs="Times New Roman"/>
                <w:sz w:val="16"/>
                <w:szCs w:val="16"/>
              </w:rPr>
            </w:pPr>
            <w:r w:rsidRPr="00CA0AE3">
              <w:rPr>
                <w:rFonts w:ascii="Times New Roman" w:eastAsia="Times New Roman" w:hAnsi="Times New Roman" w:cs="Times New Roman"/>
                <w:sz w:val="16"/>
                <w:szCs w:val="16"/>
              </w:rPr>
              <w:t>R</w:t>
            </w:r>
          </w:p>
        </w:tc>
        <w:tc>
          <w:tcPr>
            <w:tcW w:w="408" w:type="pct"/>
            <w:vAlign w:val="center"/>
          </w:tcPr>
          <w:p w:rsidR="00CA2FE3" w:rsidRPr="00CA0AE3" w:rsidRDefault="00CA2FE3" w:rsidP="00D1633A">
            <w:pPr>
              <w:spacing w:after="0" w:line="240" w:lineRule="auto"/>
              <w:jc w:val="center"/>
              <w:rPr>
                <w:rFonts w:ascii="Times New Roman" w:eastAsia="Times New Roman" w:hAnsi="Times New Roman" w:cs="Times New Roman"/>
                <w:sz w:val="16"/>
                <w:szCs w:val="16"/>
              </w:rPr>
            </w:pPr>
            <w:r w:rsidRPr="00CA0AE3">
              <w:rPr>
                <w:rFonts w:ascii="Times New Roman" w:eastAsia="Times New Roman" w:hAnsi="Times New Roman" w:cs="Times New Roman"/>
                <w:sz w:val="16"/>
                <w:szCs w:val="16"/>
              </w:rPr>
              <w:t>R</w:t>
            </w:r>
          </w:p>
        </w:tc>
      </w:tr>
      <w:tr w:rsidR="00CA2FE3" w:rsidRPr="00CA0AE3" w:rsidTr="003C48F3">
        <w:trPr>
          <w:cantSplit/>
        </w:trPr>
        <w:tc>
          <w:tcPr>
            <w:tcW w:w="394" w:type="pct"/>
            <w:shd w:val="clear" w:color="auto" w:fill="auto"/>
            <w:noWrap/>
            <w:vAlign w:val="center"/>
          </w:tcPr>
          <w:p w:rsidR="00CA2FE3" w:rsidRPr="00CA0AE3" w:rsidRDefault="00CA2FE3" w:rsidP="00D1633A">
            <w:pPr>
              <w:spacing w:after="0" w:line="240" w:lineRule="auto"/>
              <w:jc w:val="center"/>
              <w:rPr>
                <w:rFonts w:ascii="Times New Roman" w:hAnsi="Times New Roman" w:cs="Times New Roman"/>
                <w:sz w:val="16"/>
                <w:szCs w:val="16"/>
              </w:rPr>
            </w:pPr>
            <w:r w:rsidRPr="00CA0AE3">
              <w:rPr>
                <w:rFonts w:ascii="Times New Roman" w:hAnsi="Times New Roman" w:cs="Times New Roman"/>
                <w:sz w:val="16"/>
                <w:szCs w:val="16"/>
              </w:rPr>
              <w:t>2</w:t>
            </w:r>
          </w:p>
        </w:tc>
        <w:tc>
          <w:tcPr>
            <w:tcW w:w="1420" w:type="pct"/>
            <w:shd w:val="clear" w:color="auto" w:fill="auto"/>
            <w:vAlign w:val="center"/>
          </w:tcPr>
          <w:p w:rsidR="00CA2FE3" w:rsidRPr="00CA0AE3" w:rsidRDefault="00CA2FE3" w:rsidP="00D1633A">
            <w:pPr>
              <w:spacing w:after="0" w:line="240" w:lineRule="auto"/>
              <w:jc w:val="center"/>
              <w:rPr>
                <w:rFonts w:ascii="Times New Roman" w:hAnsi="Times New Roman" w:cs="Times New Roman"/>
                <w:b/>
                <w:color w:val="FF0000"/>
                <w:sz w:val="16"/>
                <w:szCs w:val="16"/>
              </w:rPr>
            </w:pPr>
            <w:r w:rsidRPr="00CA0AE3">
              <w:rPr>
                <w:rFonts w:ascii="Times New Roman" w:hAnsi="Times New Roman" w:cs="Times New Roman"/>
                <w:sz w:val="16"/>
                <w:szCs w:val="16"/>
              </w:rPr>
              <w:t xml:space="preserve">Age-adjusted rate* per 100,000 for hospital discharges for primary care manageable conditions:  asthma - </w:t>
            </w:r>
            <w:r w:rsidRPr="00CA0AE3">
              <w:rPr>
                <w:rFonts w:ascii="Times New Roman" w:hAnsi="Times New Roman" w:cs="Times New Roman"/>
                <w:i/>
                <w:sz w:val="16"/>
                <w:szCs w:val="16"/>
              </w:rPr>
              <w:t>by age,</w:t>
            </w:r>
            <w:r w:rsidRPr="00CA0AE3">
              <w:rPr>
                <w:rFonts w:ascii="Times New Roman" w:hAnsi="Times New Roman" w:cs="Times New Roman"/>
                <w:sz w:val="16"/>
                <w:szCs w:val="16"/>
              </w:rPr>
              <w:t xml:space="preserve"> </w:t>
            </w:r>
            <w:r w:rsidRPr="00CA0AE3">
              <w:rPr>
                <w:rFonts w:ascii="Times New Roman" w:hAnsi="Times New Roman" w:cs="Times New Roman"/>
                <w:i/>
                <w:sz w:val="16"/>
                <w:szCs w:val="16"/>
              </w:rPr>
              <w:t>race and ethnicity as available</w:t>
            </w:r>
          </w:p>
        </w:tc>
        <w:tc>
          <w:tcPr>
            <w:tcW w:w="563" w:type="pct"/>
            <w:shd w:val="clear" w:color="auto" w:fill="auto"/>
            <w:vAlign w:val="center"/>
          </w:tcPr>
          <w:p w:rsidR="00CA2FE3" w:rsidRPr="00CA0AE3" w:rsidRDefault="00CA2FE3" w:rsidP="00D1633A">
            <w:pPr>
              <w:spacing w:after="0" w:line="240" w:lineRule="auto"/>
              <w:jc w:val="center"/>
              <w:rPr>
                <w:rFonts w:ascii="Times New Roman" w:hAnsi="Times New Roman" w:cs="Times New Roman"/>
                <w:sz w:val="16"/>
                <w:szCs w:val="16"/>
              </w:rPr>
            </w:pPr>
            <w:r w:rsidRPr="00CA0AE3">
              <w:rPr>
                <w:rFonts w:ascii="Times New Roman" w:hAnsi="Times New Roman" w:cs="Times New Roman"/>
                <w:sz w:val="16"/>
                <w:szCs w:val="16"/>
              </w:rPr>
              <w:t>MA Department of Public Health</w:t>
            </w:r>
          </w:p>
          <w:p w:rsidR="00CA2FE3" w:rsidRPr="00CA0AE3" w:rsidRDefault="00CA2FE3" w:rsidP="00D1633A">
            <w:pPr>
              <w:spacing w:after="0" w:line="240" w:lineRule="auto"/>
              <w:jc w:val="center"/>
              <w:rPr>
                <w:rFonts w:ascii="Times New Roman" w:hAnsi="Times New Roman" w:cs="Times New Roman"/>
                <w:sz w:val="16"/>
                <w:szCs w:val="16"/>
              </w:rPr>
            </w:pPr>
            <w:r w:rsidRPr="00CA0AE3">
              <w:rPr>
                <w:rFonts w:ascii="Times New Roman" w:hAnsi="Times New Roman" w:cs="Times New Roman"/>
                <w:sz w:val="16"/>
                <w:szCs w:val="16"/>
              </w:rPr>
              <w:t xml:space="preserve">(Annual) </w:t>
            </w:r>
          </w:p>
        </w:tc>
        <w:tc>
          <w:tcPr>
            <w:tcW w:w="583" w:type="pct"/>
            <w:vAlign w:val="center"/>
          </w:tcPr>
          <w:p w:rsidR="00CA2FE3" w:rsidRPr="00CA0AE3" w:rsidRDefault="00CA2FE3" w:rsidP="00D1633A">
            <w:pPr>
              <w:spacing w:after="0" w:line="240" w:lineRule="auto"/>
              <w:jc w:val="center"/>
              <w:rPr>
                <w:rFonts w:ascii="Times New Roman" w:hAnsi="Times New Roman" w:cs="Times New Roman"/>
                <w:color w:val="000000"/>
                <w:sz w:val="16"/>
                <w:szCs w:val="16"/>
              </w:rPr>
            </w:pPr>
            <w:r w:rsidRPr="00CA0AE3">
              <w:rPr>
                <w:rFonts w:ascii="Times New Roman" w:hAnsi="Times New Roman" w:cs="Times New Roman"/>
                <w:color w:val="000000"/>
                <w:sz w:val="16"/>
                <w:szCs w:val="16"/>
              </w:rPr>
              <w:t>Cambridge, Somerville, Everett, Malden, Revere, Statewide</w:t>
            </w:r>
          </w:p>
        </w:tc>
        <w:tc>
          <w:tcPr>
            <w:tcW w:w="408" w:type="pct"/>
            <w:shd w:val="clear" w:color="auto" w:fill="auto"/>
            <w:vAlign w:val="center"/>
          </w:tcPr>
          <w:p w:rsidR="00CA2FE3" w:rsidRPr="00CA0AE3" w:rsidRDefault="00CA2FE3" w:rsidP="00D1633A">
            <w:pPr>
              <w:spacing w:after="0" w:line="240" w:lineRule="auto"/>
              <w:jc w:val="center"/>
              <w:rPr>
                <w:rFonts w:ascii="Times New Roman" w:hAnsi="Times New Roman" w:cs="Times New Roman"/>
                <w:sz w:val="16"/>
                <w:szCs w:val="16"/>
              </w:rPr>
            </w:pPr>
            <w:r w:rsidRPr="00CA0AE3">
              <w:rPr>
                <w:rFonts w:ascii="Times New Roman" w:hAnsi="Times New Roman" w:cs="Times New Roman"/>
                <w:sz w:val="16"/>
                <w:szCs w:val="16"/>
              </w:rPr>
              <w:t>R</w:t>
            </w:r>
          </w:p>
        </w:tc>
        <w:tc>
          <w:tcPr>
            <w:tcW w:w="408" w:type="pct"/>
            <w:shd w:val="clear" w:color="auto" w:fill="auto"/>
            <w:vAlign w:val="center"/>
          </w:tcPr>
          <w:p w:rsidR="00CA2FE3" w:rsidRPr="00CA0AE3" w:rsidRDefault="00CA2FE3" w:rsidP="00D1633A">
            <w:pPr>
              <w:spacing w:after="0" w:line="240" w:lineRule="auto"/>
              <w:jc w:val="center"/>
              <w:rPr>
                <w:rFonts w:ascii="Times New Roman" w:eastAsia="Times New Roman" w:hAnsi="Times New Roman" w:cs="Times New Roman"/>
                <w:sz w:val="16"/>
                <w:szCs w:val="16"/>
              </w:rPr>
            </w:pPr>
            <w:r w:rsidRPr="00CA0AE3">
              <w:rPr>
                <w:rFonts w:ascii="Times New Roman" w:eastAsia="Times New Roman" w:hAnsi="Times New Roman" w:cs="Times New Roman"/>
                <w:sz w:val="16"/>
                <w:szCs w:val="16"/>
              </w:rPr>
              <w:t>R</w:t>
            </w:r>
          </w:p>
        </w:tc>
        <w:tc>
          <w:tcPr>
            <w:tcW w:w="408" w:type="pct"/>
            <w:shd w:val="clear" w:color="auto" w:fill="auto"/>
            <w:vAlign w:val="center"/>
          </w:tcPr>
          <w:p w:rsidR="00CA2FE3" w:rsidRPr="00CA0AE3" w:rsidRDefault="00CA2FE3" w:rsidP="00D1633A">
            <w:pPr>
              <w:spacing w:after="0" w:line="240" w:lineRule="auto"/>
              <w:jc w:val="center"/>
              <w:rPr>
                <w:rFonts w:ascii="Times New Roman" w:eastAsia="Times New Roman" w:hAnsi="Times New Roman" w:cs="Times New Roman"/>
                <w:sz w:val="16"/>
                <w:szCs w:val="16"/>
              </w:rPr>
            </w:pPr>
            <w:r w:rsidRPr="00CA0AE3">
              <w:rPr>
                <w:rFonts w:ascii="Times New Roman" w:eastAsia="Times New Roman" w:hAnsi="Times New Roman" w:cs="Times New Roman"/>
                <w:sz w:val="16"/>
                <w:szCs w:val="16"/>
              </w:rPr>
              <w:t>R</w:t>
            </w:r>
          </w:p>
        </w:tc>
        <w:tc>
          <w:tcPr>
            <w:tcW w:w="408" w:type="pct"/>
            <w:vAlign w:val="center"/>
          </w:tcPr>
          <w:p w:rsidR="00CA2FE3" w:rsidRPr="00CA0AE3" w:rsidRDefault="00CA2FE3" w:rsidP="00D1633A">
            <w:pPr>
              <w:spacing w:after="0" w:line="240" w:lineRule="auto"/>
              <w:jc w:val="center"/>
              <w:rPr>
                <w:rFonts w:ascii="Times New Roman" w:eastAsia="Times New Roman" w:hAnsi="Times New Roman" w:cs="Times New Roman"/>
                <w:sz w:val="16"/>
                <w:szCs w:val="16"/>
              </w:rPr>
            </w:pPr>
            <w:r w:rsidRPr="00CA0AE3">
              <w:rPr>
                <w:rFonts w:ascii="Times New Roman" w:eastAsia="Times New Roman" w:hAnsi="Times New Roman" w:cs="Times New Roman"/>
                <w:sz w:val="16"/>
                <w:szCs w:val="16"/>
              </w:rPr>
              <w:t>R</w:t>
            </w:r>
          </w:p>
        </w:tc>
        <w:tc>
          <w:tcPr>
            <w:tcW w:w="408" w:type="pct"/>
            <w:vAlign w:val="center"/>
          </w:tcPr>
          <w:p w:rsidR="00CA2FE3" w:rsidRPr="00CA0AE3" w:rsidRDefault="00CA2FE3" w:rsidP="00D1633A">
            <w:pPr>
              <w:spacing w:after="0" w:line="240" w:lineRule="auto"/>
              <w:jc w:val="center"/>
              <w:rPr>
                <w:rFonts w:ascii="Times New Roman" w:eastAsia="Times New Roman" w:hAnsi="Times New Roman" w:cs="Times New Roman"/>
                <w:sz w:val="16"/>
                <w:szCs w:val="16"/>
              </w:rPr>
            </w:pPr>
            <w:r w:rsidRPr="00CA0AE3">
              <w:rPr>
                <w:rFonts w:ascii="Times New Roman" w:eastAsia="Times New Roman" w:hAnsi="Times New Roman" w:cs="Times New Roman"/>
                <w:sz w:val="16"/>
                <w:szCs w:val="16"/>
              </w:rPr>
              <w:t>R</w:t>
            </w:r>
          </w:p>
        </w:tc>
      </w:tr>
      <w:tr w:rsidR="00CA2FE3" w:rsidRPr="00CA0AE3" w:rsidTr="003C48F3">
        <w:trPr>
          <w:cantSplit/>
        </w:trPr>
        <w:tc>
          <w:tcPr>
            <w:tcW w:w="394" w:type="pct"/>
            <w:shd w:val="clear" w:color="auto" w:fill="auto"/>
            <w:noWrap/>
            <w:vAlign w:val="center"/>
          </w:tcPr>
          <w:p w:rsidR="00CA2FE3" w:rsidRPr="00CA0AE3" w:rsidRDefault="00CA2FE3" w:rsidP="00D1633A">
            <w:pPr>
              <w:spacing w:after="0" w:line="240" w:lineRule="auto"/>
              <w:jc w:val="center"/>
              <w:rPr>
                <w:rFonts w:ascii="Times New Roman" w:hAnsi="Times New Roman" w:cs="Times New Roman"/>
                <w:sz w:val="16"/>
                <w:szCs w:val="16"/>
              </w:rPr>
            </w:pPr>
            <w:r w:rsidRPr="00CA0AE3">
              <w:rPr>
                <w:rFonts w:ascii="Times New Roman" w:hAnsi="Times New Roman" w:cs="Times New Roman"/>
                <w:sz w:val="16"/>
                <w:szCs w:val="16"/>
              </w:rPr>
              <w:t>3</w:t>
            </w:r>
          </w:p>
        </w:tc>
        <w:tc>
          <w:tcPr>
            <w:tcW w:w="1420" w:type="pct"/>
            <w:shd w:val="clear" w:color="auto" w:fill="auto"/>
            <w:vAlign w:val="center"/>
          </w:tcPr>
          <w:p w:rsidR="00CA2FE3" w:rsidRPr="00CA0AE3" w:rsidRDefault="00CA2FE3" w:rsidP="00D1633A">
            <w:pPr>
              <w:spacing w:after="0" w:line="240" w:lineRule="auto"/>
              <w:jc w:val="center"/>
              <w:rPr>
                <w:rFonts w:ascii="Times New Roman" w:hAnsi="Times New Roman" w:cs="Times New Roman"/>
                <w:color w:val="000000"/>
                <w:sz w:val="16"/>
                <w:szCs w:val="16"/>
              </w:rPr>
            </w:pPr>
            <w:r w:rsidRPr="00CA0AE3">
              <w:rPr>
                <w:rFonts w:ascii="Times New Roman" w:hAnsi="Times New Roman" w:cs="Times New Roman"/>
                <w:color w:val="000000"/>
                <w:sz w:val="16"/>
                <w:szCs w:val="16"/>
              </w:rPr>
              <w:t>Age-adjusted rate* per 100,000 for suicide mortality</w:t>
            </w:r>
          </w:p>
        </w:tc>
        <w:tc>
          <w:tcPr>
            <w:tcW w:w="563" w:type="pct"/>
            <w:shd w:val="clear" w:color="auto" w:fill="auto"/>
            <w:vAlign w:val="center"/>
          </w:tcPr>
          <w:p w:rsidR="00CA2FE3" w:rsidRPr="00CA0AE3" w:rsidRDefault="00CA2FE3" w:rsidP="00D1633A">
            <w:pPr>
              <w:spacing w:after="0" w:line="240" w:lineRule="auto"/>
              <w:jc w:val="center"/>
              <w:rPr>
                <w:rFonts w:ascii="Times New Roman" w:hAnsi="Times New Roman" w:cs="Times New Roman"/>
                <w:sz w:val="16"/>
                <w:szCs w:val="16"/>
              </w:rPr>
            </w:pPr>
            <w:r w:rsidRPr="00CA0AE3">
              <w:rPr>
                <w:rFonts w:ascii="Times New Roman" w:hAnsi="Times New Roman" w:cs="Times New Roman"/>
                <w:sz w:val="16"/>
                <w:szCs w:val="16"/>
              </w:rPr>
              <w:t>MA Department of Public Health</w:t>
            </w:r>
          </w:p>
          <w:p w:rsidR="00CA2FE3" w:rsidRPr="00CA0AE3" w:rsidRDefault="00CA2FE3" w:rsidP="00D1633A">
            <w:pPr>
              <w:spacing w:after="0" w:line="240" w:lineRule="auto"/>
              <w:jc w:val="center"/>
              <w:rPr>
                <w:rFonts w:ascii="Times New Roman" w:hAnsi="Times New Roman" w:cs="Times New Roman"/>
                <w:sz w:val="16"/>
                <w:szCs w:val="16"/>
              </w:rPr>
            </w:pPr>
            <w:r w:rsidRPr="00CA0AE3">
              <w:rPr>
                <w:rFonts w:ascii="Times New Roman" w:hAnsi="Times New Roman" w:cs="Times New Roman"/>
                <w:sz w:val="16"/>
                <w:szCs w:val="16"/>
              </w:rPr>
              <w:t xml:space="preserve">(Annual) </w:t>
            </w:r>
          </w:p>
        </w:tc>
        <w:tc>
          <w:tcPr>
            <w:tcW w:w="583" w:type="pct"/>
            <w:vAlign w:val="center"/>
          </w:tcPr>
          <w:p w:rsidR="00CA2FE3" w:rsidRPr="00CA0AE3" w:rsidRDefault="00CA2FE3" w:rsidP="00D1633A">
            <w:pPr>
              <w:spacing w:after="0" w:line="240" w:lineRule="auto"/>
              <w:jc w:val="center"/>
              <w:rPr>
                <w:rFonts w:ascii="Times New Roman" w:hAnsi="Times New Roman" w:cs="Times New Roman"/>
                <w:color w:val="000000"/>
                <w:sz w:val="16"/>
                <w:szCs w:val="16"/>
              </w:rPr>
            </w:pPr>
            <w:r w:rsidRPr="00CA0AE3">
              <w:rPr>
                <w:rFonts w:ascii="Times New Roman" w:hAnsi="Times New Roman" w:cs="Times New Roman"/>
                <w:color w:val="000000"/>
                <w:sz w:val="16"/>
                <w:szCs w:val="16"/>
              </w:rPr>
              <w:t>Cambridge, Somerville, Everett, Malden, Revere, Statewide</w:t>
            </w:r>
          </w:p>
        </w:tc>
        <w:tc>
          <w:tcPr>
            <w:tcW w:w="408" w:type="pct"/>
            <w:shd w:val="clear" w:color="auto" w:fill="auto"/>
            <w:vAlign w:val="center"/>
          </w:tcPr>
          <w:p w:rsidR="00CA2FE3" w:rsidRPr="00CA0AE3" w:rsidRDefault="00CA2FE3" w:rsidP="00D1633A">
            <w:pPr>
              <w:spacing w:after="0" w:line="240" w:lineRule="auto"/>
              <w:jc w:val="center"/>
              <w:rPr>
                <w:rFonts w:ascii="Times New Roman" w:hAnsi="Times New Roman" w:cs="Times New Roman"/>
                <w:sz w:val="16"/>
                <w:szCs w:val="16"/>
              </w:rPr>
            </w:pPr>
            <w:r w:rsidRPr="00CA0AE3">
              <w:rPr>
                <w:rFonts w:ascii="Times New Roman" w:hAnsi="Times New Roman" w:cs="Times New Roman"/>
                <w:sz w:val="16"/>
                <w:szCs w:val="16"/>
              </w:rPr>
              <w:t>R</w:t>
            </w:r>
          </w:p>
        </w:tc>
        <w:tc>
          <w:tcPr>
            <w:tcW w:w="408" w:type="pct"/>
            <w:shd w:val="clear" w:color="auto" w:fill="auto"/>
            <w:vAlign w:val="center"/>
          </w:tcPr>
          <w:p w:rsidR="00CA2FE3" w:rsidRPr="00CA0AE3" w:rsidRDefault="00CA2FE3" w:rsidP="00D1633A">
            <w:pPr>
              <w:spacing w:after="0" w:line="240" w:lineRule="auto"/>
              <w:jc w:val="center"/>
              <w:rPr>
                <w:rFonts w:ascii="Times New Roman" w:eastAsia="Times New Roman" w:hAnsi="Times New Roman" w:cs="Times New Roman"/>
                <w:sz w:val="16"/>
                <w:szCs w:val="16"/>
              </w:rPr>
            </w:pPr>
            <w:r w:rsidRPr="00CA0AE3">
              <w:rPr>
                <w:rFonts w:ascii="Times New Roman" w:eastAsia="Times New Roman" w:hAnsi="Times New Roman" w:cs="Times New Roman"/>
                <w:sz w:val="16"/>
                <w:szCs w:val="16"/>
              </w:rPr>
              <w:t>R</w:t>
            </w:r>
          </w:p>
        </w:tc>
        <w:tc>
          <w:tcPr>
            <w:tcW w:w="408" w:type="pct"/>
            <w:shd w:val="clear" w:color="auto" w:fill="auto"/>
            <w:vAlign w:val="center"/>
          </w:tcPr>
          <w:p w:rsidR="00CA2FE3" w:rsidRPr="00CA0AE3" w:rsidRDefault="00CA2FE3" w:rsidP="00D1633A">
            <w:pPr>
              <w:spacing w:after="0" w:line="240" w:lineRule="auto"/>
              <w:jc w:val="center"/>
              <w:rPr>
                <w:rFonts w:ascii="Times New Roman" w:eastAsia="Times New Roman" w:hAnsi="Times New Roman" w:cs="Times New Roman"/>
                <w:sz w:val="16"/>
                <w:szCs w:val="16"/>
              </w:rPr>
            </w:pPr>
            <w:r w:rsidRPr="00CA0AE3">
              <w:rPr>
                <w:rFonts w:ascii="Times New Roman" w:eastAsia="Times New Roman" w:hAnsi="Times New Roman" w:cs="Times New Roman"/>
                <w:sz w:val="16"/>
                <w:szCs w:val="16"/>
              </w:rPr>
              <w:t>R</w:t>
            </w:r>
          </w:p>
        </w:tc>
        <w:tc>
          <w:tcPr>
            <w:tcW w:w="408" w:type="pct"/>
            <w:vAlign w:val="center"/>
          </w:tcPr>
          <w:p w:rsidR="00CA2FE3" w:rsidRPr="00CA0AE3" w:rsidRDefault="00CA2FE3" w:rsidP="00D1633A">
            <w:pPr>
              <w:spacing w:after="0" w:line="240" w:lineRule="auto"/>
              <w:jc w:val="center"/>
              <w:rPr>
                <w:rFonts w:ascii="Times New Roman" w:eastAsia="Times New Roman" w:hAnsi="Times New Roman" w:cs="Times New Roman"/>
                <w:sz w:val="16"/>
                <w:szCs w:val="16"/>
              </w:rPr>
            </w:pPr>
            <w:r w:rsidRPr="00CA0AE3">
              <w:rPr>
                <w:rFonts w:ascii="Times New Roman" w:eastAsia="Times New Roman" w:hAnsi="Times New Roman" w:cs="Times New Roman"/>
                <w:sz w:val="16"/>
                <w:szCs w:val="16"/>
              </w:rPr>
              <w:t>R</w:t>
            </w:r>
          </w:p>
        </w:tc>
        <w:tc>
          <w:tcPr>
            <w:tcW w:w="408" w:type="pct"/>
            <w:vAlign w:val="center"/>
          </w:tcPr>
          <w:p w:rsidR="00CA2FE3" w:rsidRPr="00CA0AE3" w:rsidRDefault="00CA2FE3" w:rsidP="00D1633A">
            <w:pPr>
              <w:spacing w:after="0" w:line="240" w:lineRule="auto"/>
              <w:jc w:val="center"/>
              <w:rPr>
                <w:rFonts w:ascii="Times New Roman" w:eastAsia="Times New Roman" w:hAnsi="Times New Roman" w:cs="Times New Roman"/>
                <w:sz w:val="16"/>
                <w:szCs w:val="16"/>
              </w:rPr>
            </w:pPr>
            <w:r w:rsidRPr="00CA0AE3">
              <w:rPr>
                <w:rFonts w:ascii="Times New Roman" w:eastAsia="Times New Roman" w:hAnsi="Times New Roman" w:cs="Times New Roman"/>
                <w:sz w:val="16"/>
                <w:szCs w:val="16"/>
              </w:rPr>
              <w:t>R</w:t>
            </w:r>
          </w:p>
        </w:tc>
      </w:tr>
      <w:tr w:rsidR="00CA2FE3" w:rsidRPr="00CA0AE3" w:rsidTr="003C48F3">
        <w:trPr>
          <w:cantSplit/>
        </w:trPr>
        <w:tc>
          <w:tcPr>
            <w:tcW w:w="394" w:type="pct"/>
            <w:shd w:val="clear" w:color="auto" w:fill="auto"/>
            <w:noWrap/>
            <w:vAlign w:val="center"/>
          </w:tcPr>
          <w:p w:rsidR="00CA2FE3" w:rsidRPr="00CA0AE3" w:rsidRDefault="00CA2FE3" w:rsidP="00D1633A">
            <w:pPr>
              <w:spacing w:after="0" w:line="240" w:lineRule="auto"/>
              <w:jc w:val="center"/>
              <w:rPr>
                <w:rFonts w:ascii="Times New Roman" w:hAnsi="Times New Roman" w:cs="Times New Roman"/>
                <w:sz w:val="16"/>
                <w:szCs w:val="16"/>
              </w:rPr>
            </w:pPr>
            <w:r w:rsidRPr="00CA0AE3">
              <w:rPr>
                <w:rFonts w:ascii="Times New Roman" w:hAnsi="Times New Roman" w:cs="Times New Roman"/>
                <w:sz w:val="16"/>
                <w:szCs w:val="16"/>
              </w:rPr>
              <w:t>4</w:t>
            </w:r>
          </w:p>
        </w:tc>
        <w:tc>
          <w:tcPr>
            <w:tcW w:w="1420" w:type="pct"/>
            <w:shd w:val="clear" w:color="auto" w:fill="auto"/>
            <w:vAlign w:val="center"/>
          </w:tcPr>
          <w:p w:rsidR="00CA2FE3" w:rsidRPr="00CA0AE3" w:rsidRDefault="00CA2FE3" w:rsidP="00D1633A">
            <w:pPr>
              <w:spacing w:after="0" w:line="240" w:lineRule="auto"/>
              <w:jc w:val="center"/>
              <w:rPr>
                <w:rFonts w:ascii="Times New Roman" w:hAnsi="Times New Roman" w:cs="Times New Roman"/>
                <w:color w:val="000000"/>
                <w:sz w:val="16"/>
                <w:szCs w:val="16"/>
              </w:rPr>
            </w:pPr>
            <w:r w:rsidRPr="00CA0AE3">
              <w:rPr>
                <w:rFonts w:ascii="Times New Roman" w:hAnsi="Times New Roman" w:cs="Times New Roman"/>
                <w:color w:val="000000"/>
                <w:sz w:val="16"/>
                <w:szCs w:val="16"/>
              </w:rPr>
              <w:t>Age-adjusted rate* per 100,000 for Hepatitis C incidence</w:t>
            </w:r>
          </w:p>
        </w:tc>
        <w:tc>
          <w:tcPr>
            <w:tcW w:w="563" w:type="pct"/>
            <w:shd w:val="clear" w:color="auto" w:fill="auto"/>
            <w:vAlign w:val="center"/>
          </w:tcPr>
          <w:p w:rsidR="00CA2FE3" w:rsidRPr="00CA0AE3" w:rsidRDefault="00CA2FE3" w:rsidP="00D1633A">
            <w:pPr>
              <w:spacing w:after="0" w:line="240" w:lineRule="auto"/>
              <w:jc w:val="center"/>
              <w:rPr>
                <w:rFonts w:ascii="Times New Roman" w:hAnsi="Times New Roman" w:cs="Times New Roman"/>
                <w:sz w:val="16"/>
                <w:szCs w:val="16"/>
              </w:rPr>
            </w:pPr>
            <w:r w:rsidRPr="00CA0AE3">
              <w:rPr>
                <w:rFonts w:ascii="Times New Roman" w:hAnsi="Times New Roman" w:cs="Times New Roman"/>
                <w:sz w:val="16"/>
                <w:szCs w:val="16"/>
              </w:rPr>
              <w:t>MA Department of Public Health</w:t>
            </w:r>
          </w:p>
          <w:p w:rsidR="00CA2FE3" w:rsidRPr="00CA0AE3" w:rsidRDefault="00CA2FE3" w:rsidP="00D1633A">
            <w:pPr>
              <w:spacing w:after="0" w:line="240" w:lineRule="auto"/>
              <w:jc w:val="center"/>
              <w:rPr>
                <w:rFonts w:ascii="Times New Roman" w:hAnsi="Times New Roman" w:cs="Times New Roman"/>
                <w:sz w:val="16"/>
                <w:szCs w:val="16"/>
              </w:rPr>
            </w:pPr>
            <w:r w:rsidRPr="00CA0AE3">
              <w:rPr>
                <w:rFonts w:ascii="Times New Roman" w:hAnsi="Times New Roman" w:cs="Times New Roman"/>
                <w:sz w:val="16"/>
                <w:szCs w:val="16"/>
              </w:rPr>
              <w:t xml:space="preserve">(Annual) </w:t>
            </w:r>
          </w:p>
        </w:tc>
        <w:tc>
          <w:tcPr>
            <w:tcW w:w="583" w:type="pct"/>
            <w:vAlign w:val="center"/>
          </w:tcPr>
          <w:p w:rsidR="00CA2FE3" w:rsidRPr="00CA0AE3" w:rsidRDefault="00CA2FE3" w:rsidP="00D1633A">
            <w:pPr>
              <w:spacing w:after="0" w:line="240" w:lineRule="auto"/>
              <w:jc w:val="center"/>
              <w:rPr>
                <w:rFonts w:ascii="Times New Roman" w:hAnsi="Times New Roman" w:cs="Times New Roman"/>
                <w:color w:val="000000"/>
                <w:sz w:val="16"/>
                <w:szCs w:val="16"/>
              </w:rPr>
            </w:pPr>
            <w:r w:rsidRPr="00CA0AE3">
              <w:rPr>
                <w:rFonts w:ascii="Times New Roman" w:hAnsi="Times New Roman" w:cs="Times New Roman"/>
                <w:color w:val="000000"/>
                <w:sz w:val="16"/>
                <w:szCs w:val="16"/>
              </w:rPr>
              <w:t>Cambridge, Somerville, Everett, Malden, Revere, Statewide</w:t>
            </w:r>
          </w:p>
        </w:tc>
        <w:tc>
          <w:tcPr>
            <w:tcW w:w="408" w:type="pct"/>
            <w:shd w:val="clear" w:color="auto" w:fill="auto"/>
            <w:vAlign w:val="center"/>
          </w:tcPr>
          <w:p w:rsidR="00CA2FE3" w:rsidRPr="00CA0AE3" w:rsidRDefault="00CA2FE3" w:rsidP="00D1633A">
            <w:pPr>
              <w:spacing w:after="0" w:line="240" w:lineRule="auto"/>
              <w:jc w:val="center"/>
              <w:rPr>
                <w:rFonts w:ascii="Times New Roman" w:hAnsi="Times New Roman" w:cs="Times New Roman"/>
                <w:sz w:val="16"/>
                <w:szCs w:val="16"/>
              </w:rPr>
            </w:pPr>
            <w:r w:rsidRPr="00CA0AE3">
              <w:rPr>
                <w:rFonts w:ascii="Times New Roman" w:hAnsi="Times New Roman" w:cs="Times New Roman"/>
                <w:sz w:val="16"/>
                <w:szCs w:val="16"/>
              </w:rPr>
              <w:t>R</w:t>
            </w:r>
          </w:p>
        </w:tc>
        <w:tc>
          <w:tcPr>
            <w:tcW w:w="408" w:type="pct"/>
            <w:shd w:val="clear" w:color="auto" w:fill="auto"/>
            <w:vAlign w:val="center"/>
          </w:tcPr>
          <w:p w:rsidR="00CA2FE3" w:rsidRPr="00CA0AE3" w:rsidRDefault="00CA2FE3" w:rsidP="00D1633A">
            <w:pPr>
              <w:spacing w:after="0" w:line="240" w:lineRule="auto"/>
              <w:jc w:val="center"/>
              <w:rPr>
                <w:rFonts w:ascii="Times New Roman" w:eastAsia="Times New Roman" w:hAnsi="Times New Roman" w:cs="Times New Roman"/>
                <w:sz w:val="16"/>
                <w:szCs w:val="16"/>
              </w:rPr>
            </w:pPr>
            <w:r w:rsidRPr="00CA0AE3">
              <w:rPr>
                <w:rFonts w:ascii="Times New Roman" w:eastAsia="Times New Roman" w:hAnsi="Times New Roman" w:cs="Times New Roman"/>
                <w:sz w:val="16"/>
                <w:szCs w:val="16"/>
              </w:rPr>
              <w:t>R</w:t>
            </w:r>
          </w:p>
        </w:tc>
        <w:tc>
          <w:tcPr>
            <w:tcW w:w="408" w:type="pct"/>
            <w:shd w:val="clear" w:color="auto" w:fill="auto"/>
            <w:vAlign w:val="center"/>
          </w:tcPr>
          <w:p w:rsidR="00CA2FE3" w:rsidRPr="00CA0AE3" w:rsidRDefault="00CA2FE3" w:rsidP="00D1633A">
            <w:pPr>
              <w:spacing w:after="0" w:line="240" w:lineRule="auto"/>
              <w:jc w:val="center"/>
              <w:rPr>
                <w:rFonts w:ascii="Times New Roman" w:eastAsia="Times New Roman" w:hAnsi="Times New Roman" w:cs="Times New Roman"/>
                <w:sz w:val="16"/>
                <w:szCs w:val="16"/>
              </w:rPr>
            </w:pPr>
            <w:r w:rsidRPr="00CA0AE3">
              <w:rPr>
                <w:rFonts w:ascii="Times New Roman" w:eastAsia="Times New Roman" w:hAnsi="Times New Roman" w:cs="Times New Roman"/>
                <w:sz w:val="16"/>
                <w:szCs w:val="16"/>
              </w:rPr>
              <w:t>R</w:t>
            </w:r>
          </w:p>
        </w:tc>
        <w:tc>
          <w:tcPr>
            <w:tcW w:w="408" w:type="pct"/>
            <w:vAlign w:val="center"/>
          </w:tcPr>
          <w:p w:rsidR="00CA2FE3" w:rsidRPr="00CA0AE3" w:rsidRDefault="00CA2FE3" w:rsidP="00D1633A">
            <w:pPr>
              <w:spacing w:after="0" w:line="240" w:lineRule="auto"/>
              <w:jc w:val="center"/>
              <w:rPr>
                <w:rFonts w:ascii="Times New Roman" w:eastAsia="Times New Roman" w:hAnsi="Times New Roman" w:cs="Times New Roman"/>
                <w:sz w:val="16"/>
                <w:szCs w:val="16"/>
              </w:rPr>
            </w:pPr>
            <w:r w:rsidRPr="00CA0AE3">
              <w:rPr>
                <w:rFonts w:ascii="Times New Roman" w:eastAsia="Times New Roman" w:hAnsi="Times New Roman" w:cs="Times New Roman"/>
                <w:sz w:val="16"/>
                <w:szCs w:val="16"/>
              </w:rPr>
              <w:t>R</w:t>
            </w:r>
          </w:p>
        </w:tc>
        <w:tc>
          <w:tcPr>
            <w:tcW w:w="408" w:type="pct"/>
            <w:vAlign w:val="center"/>
          </w:tcPr>
          <w:p w:rsidR="00CA2FE3" w:rsidRPr="00CA0AE3" w:rsidRDefault="00CA2FE3" w:rsidP="00D1633A">
            <w:pPr>
              <w:spacing w:after="0" w:line="240" w:lineRule="auto"/>
              <w:jc w:val="center"/>
              <w:rPr>
                <w:rFonts w:ascii="Times New Roman" w:eastAsia="Times New Roman" w:hAnsi="Times New Roman" w:cs="Times New Roman"/>
                <w:sz w:val="16"/>
                <w:szCs w:val="16"/>
              </w:rPr>
            </w:pPr>
            <w:r w:rsidRPr="00CA0AE3">
              <w:rPr>
                <w:rFonts w:ascii="Times New Roman" w:eastAsia="Times New Roman" w:hAnsi="Times New Roman" w:cs="Times New Roman"/>
                <w:sz w:val="16"/>
                <w:szCs w:val="16"/>
              </w:rPr>
              <w:t>R</w:t>
            </w:r>
          </w:p>
        </w:tc>
      </w:tr>
      <w:tr w:rsidR="00CA2FE3" w:rsidRPr="00CA0AE3" w:rsidTr="003C48F3">
        <w:trPr>
          <w:cantSplit/>
        </w:trPr>
        <w:tc>
          <w:tcPr>
            <w:tcW w:w="394" w:type="pct"/>
            <w:shd w:val="clear" w:color="auto" w:fill="auto"/>
            <w:noWrap/>
            <w:vAlign w:val="center"/>
          </w:tcPr>
          <w:p w:rsidR="00CA2FE3" w:rsidRPr="00CA0AE3" w:rsidRDefault="00CA2FE3" w:rsidP="00D1633A">
            <w:pPr>
              <w:spacing w:after="0" w:line="240" w:lineRule="auto"/>
              <w:jc w:val="center"/>
              <w:rPr>
                <w:rFonts w:ascii="Times New Roman" w:hAnsi="Times New Roman" w:cs="Times New Roman"/>
                <w:sz w:val="16"/>
                <w:szCs w:val="16"/>
              </w:rPr>
            </w:pPr>
            <w:r w:rsidRPr="00CA0AE3">
              <w:rPr>
                <w:rFonts w:ascii="Times New Roman" w:hAnsi="Times New Roman" w:cs="Times New Roman"/>
                <w:sz w:val="16"/>
                <w:szCs w:val="16"/>
              </w:rPr>
              <w:lastRenderedPageBreak/>
              <w:t>5</w:t>
            </w:r>
          </w:p>
        </w:tc>
        <w:tc>
          <w:tcPr>
            <w:tcW w:w="1420" w:type="pct"/>
            <w:shd w:val="clear" w:color="auto" w:fill="auto"/>
            <w:vAlign w:val="center"/>
          </w:tcPr>
          <w:p w:rsidR="00CA2FE3" w:rsidRPr="00CA0AE3" w:rsidRDefault="00CA2FE3" w:rsidP="00D1633A">
            <w:pPr>
              <w:spacing w:after="0" w:line="240" w:lineRule="auto"/>
              <w:jc w:val="center"/>
              <w:rPr>
                <w:rFonts w:ascii="Times New Roman" w:hAnsi="Times New Roman" w:cs="Times New Roman"/>
                <w:color w:val="000000"/>
                <w:sz w:val="16"/>
                <w:szCs w:val="16"/>
              </w:rPr>
            </w:pPr>
            <w:r w:rsidRPr="00CA0AE3">
              <w:rPr>
                <w:rFonts w:ascii="Times New Roman" w:hAnsi="Times New Roman" w:cs="Times New Roman"/>
                <w:color w:val="000000"/>
                <w:sz w:val="16"/>
                <w:szCs w:val="16"/>
              </w:rPr>
              <w:t>Percentage of children fully immunized at kindergarten entry</w:t>
            </w:r>
          </w:p>
        </w:tc>
        <w:tc>
          <w:tcPr>
            <w:tcW w:w="563" w:type="pct"/>
            <w:shd w:val="clear" w:color="auto" w:fill="auto"/>
            <w:vAlign w:val="center"/>
          </w:tcPr>
          <w:p w:rsidR="00CA2FE3" w:rsidRPr="00CA0AE3" w:rsidRDefault="00CA2FE3" w:rsidP="00D1633A">
            <w:pPr>
              <w:spacing w:after="0" w:line="240" w:lineRule="auto"/>
              <w:jc w:val="center"/>
              <w:rPr>
                <w:rFonts w:ascii="Times New Roman" w:hAnsi="Times New Roman" w:cs="Times New Roman"/>
                <w:sz w:val="16"/>
                <w:szCs w:val="16"/>
              </w:rPr>
            </w:pPr>
            <w:r w:rsidRPr="00CA0AE3">
              <w:rPr>
                <w:rFonts w:ascii="Times New Roman" w:hAnsi="Times New Roman" w:cs="Times New Roman"/>
                <w:sz w:val="16"/>
                <w:szCs w:val="16"/>
              </w:rPr>
              <w:t xml:space="preserve">Immunization Program, Massachusetts Department of Public Health and Massachusetts Department of Elementary and Secondary Education </w:t>
            </w:r>
          </w:p>
        </w:tc>
        <w:tc>
          <w:tcPr>
            <w:tcW w:w="583" w:type="pct"/>
            <w:vAlign w:val="center"/>
          </w:tcPr>
          <w:p w:rsidR="00CA2FE3" w:rsidRPr="00CA0AE3" w:rsidRDefault="00CA2FE3" w:rsidP="00D1633A">
            <w:pPr>
              <w:spacing w:after="0" w:line="240" w:lineRule="auto"/>
              <w:jc w:val="center"/>
              <w:rPr>
                <w:rFonts w:ascii="Times New Roman" w:hAnsi="Times New Roman" w:cs="Times New Roman"/>
                <w:color w:val="000000"/>
                <w:sz w:val="16"/>
                <w:szCs w:val="16"/>
              </w:rPr>
            </w:pPr>
            <w:r w:rsidRPr="00CA0AE3">
              <w:rPr>
                <w:rFonts w:ascii="Times New Roman" w:hAnsi="Times New Roman" w:cs="Times New Roman"/>
                <w:color w:val="000000"/>
                <w:sz w:val="16"/>
                <w:szCs w:val="16"/>
              </w:rPr>
              <w:t>Cambridge, Somerville, Everett, Malden, Statewide</w:t>
            </w:r>
          </w:p>
        </w:tc>
        <w:tc>
          <w:tcPr>
            <w:tcW w:w="408" w:type="pct"/>
            <w:shd w:val="clear" w:color="auto" w:fill="auto"/>
            <w:vAlign w:val="center"/>
          </w:tcPr>
          <w:p w:rsidR="00CA2FE3" w:rsidRPr="00CA0AE3" w:rsidRDefault="00CA2FE3" w:rsidP="00D1633A">
            <w:pPr>
              <w:spacing w:after="0" w:line="240" w:lineRule="auto"/>
              <w:jc w:val="center"/>
              <w:rPr>
                <w:rFonts w:ascii="Times New Roman" w:hAnsi="Times New Roman" w:cs="Times New Roman"/>
                <w:sz w:val="16"/>
                <w:szCs w:val="16"/>
              </w:rPr>
            </w:pPr>
            <w:r w:rsidRPr="00CA0AE3">
              <w:rPr>
                <w:rFonts w:ascii="Times New Roman" w:hAnsi="Times New Roman" w:cs="Times New Roman"/>
                <w:sz w:val="16"/>
                <w:szCs w:val="16"/>
              </w:rPr>
              <w:t>R</w:t>
            </w:r>
          </w:p>
        </w:tc>
        <w:tc>
          <w:tcPr>
            <w:tcW w:w="408" w:type="pct"/>
            <w:shd w:val="clear" w:color="auto" w:fill="auto"/>
            <w:vAlign w:val="center"/>
          </w:tcPr>
          <w:p w:rsidR="00CA2FE3" w:rsidRPr="00CA0AE3" w:rsidRDefault="00CA2FE3" w:rsidP="00D1633A">
            <w:pPr>
              <w:spacing w:after="0" w:line="240" w:lineRule="auto"/>
              <w:jc w:val="center"/>
              <w:rPr>
                <w:rFonts w:ascii="Times New Roman" w:eastAsia="Times New Roman" w:hAnsi="Times New Roman" w:cs="Times New Roman"/>
                <w:sz w:val="16"/>
                <w:szCs w:val="16"/>
              </w:rPr>
            </w:pPr>
            <w:r w:rsidRPr="00CA0AE3">
              <w:rPr>
                <w:rFonts w:ascii="Times New Roman" w:eastAsia="Times New Roman" w:hAnsi="Times New Roman" w:cs="Times New Roman"/>
                <w:sz w:val="16"/>
                <w:szCs w:val="16"/>
              </w:rPr>
              <w:t>R</w:t>
            </w:r>
          </w:p>
        </w:tc>
        <w:tc>
          <w:tcPr>
            <w:tcW w:w="408" w:type="pct"/>
            <w:shd w:val="clear" w:color="auto" w:fill="auto"/>
            <w:vAlign w:val="center"/>
          </w:tcPr>
          <w:p w:rsidR="00CA2FE3" w:rsidRPr="00CA0AE3" w:rsidRDefault="00CA2FE3" w:rsidP="00D1633A">
            <w:pPr>
              <w:spacing w:after="0" w:line="240" w:lineRule="auto"/>
              <w:jc w:val="center"/>
              <w:rPr>
                <w:rFonts w:ascii="Times New Roman" w:eastAsia="Times New Roman" w:hAnsi="Times New Roman" w:cs="Times New Roman"/>
                <w:sz w:val="16"/>
                <w:szCs w:val="16"/>
              </w:rPr>
            </w:pPr>
            <w:r w:rsidRPr="00CA0AE3">
              <w:rPr>
                <w:rFonts w:ascii="Times New Roman" w:eastAsia="Times New Roman" w:hAnsi="Times New Roman" w:cs="Times New Roman"/>
                <w:sz w:val="16"/>
                <w:szCs w:val="16"/>
              </w:rPr>
              <w:t>R</w:t>
            </w:r>
          </w:p>
        </w:tc>
        <w:tc>
          <w:tcPr>
            <w:tcW w:w="408" w:type="pct"/>
            <w:vAlign w:val="center"/>
          </w:tcPr>
          <w:p w:rsidR="00CA2FE3" w:rsidRPr="00CA0AE3" w:rsidRDefault="00CA2FE3" w:rsidP="00D1633A">
            <w:pPr>
              <w:spacing w:after="0" w:line="240" w:lineRule="auto"/>
              <w:jc w:val="center"/>
              <w:rPr>
                <w:rFonts w:ascii="Times New Roman" w:eastAsia="Times New Roman" w:hAnsi="Times New Roman" w:cs="Times New Roman"/>
                <w:sz w:val="16"/>
                <w:szCs w:val="16"/>
              </w:rPr>
            </w:pPr>
            <w:r w:rsidRPr="00CA0AE3">
              <w:rPr>
                <w:rFonts w:ascii="Times New Roman" w:eastAsia="Times New Roman" w:hAnsi="Times New Roman" w:cs="Times New Roman"/>
                <w:sz w:val="16"/>
                <w:szCs w:val="16"/>
              </w:rPr>
              <w:t>R</w:t>
            </w:r>
          </w:p>
        </w:tc>
        <w:tc>
          <w:tcPr>
            <w:tcW w:w="408" w:type="pct"/>
            <w:vAlign w:val="center"/>
          </w:tcPr>
          <w:p w:rsidR="00CA2FE3" w:rsidRPr="00CA0AE3" w:rsidRDefault="00CA2FE3" w:rsidP="00D1633A">
            <w:pPr>
              <w:spacing w:after="0" w:line="240" w:lineRule="auto"/>
              <w:jc w:val="center"/>
              <w:rPr>
                <w:rFonts w:ascii="Times New Roman" w:eastAsia="Times New Roman" w:hAnsi="Times New Roman" w:cs="Times New Roman"/>
                <w:sz w:val="16"/>
                <w:szCs w:val="16"/>
              </w:rPr>
            </w:pPr>
            <w:r w:rsidRPr="00CA0AE3">
              <w:rPr>
                <w:rFonts w:ascii="Times New Roman" w:eastAsia="Times New Roman" w:hAnsi="Times New Roman" w:cs="Times New Roman"/>
                <w:sz w:val="16"/>
                <w:szCs w:val="16"/>
              </w:rPr>
              <w:t>R</w:t>
            </w:r>
          </w:p>
        </w:tc>
      </w:tr>
      <w:tr w:rsidR="00CA2FE3" w:rsidRPr="00CA0AE3" w:rsidTr="003C48F3">
        <w:trPr>
          <w:cantSplit/>
        </w:trPr>
        <w:tc>
          <w:tcPr>
            <w:tcW w:w="394" w:type="pct"/>
            <w:shd w:val="clear" w:color="auto" w:fill="auto"/>
            <w:noWrap/>
            <w:vAlign w:val="center"/>
          </w:tcPr>
          <w:p w:rsidR="00CA2FE3" w:rsidRPr="00CA0AE3" w:rsidRDefault="00CA2FE3" w:rsidP="00D1633A">
            <w:pPr>
              <w:spacing w:after="0" w:line="240" w:lineRule="auto"/>
              <w:jc w:val="center"/>
              <w:rPr>
                <w:rFonts w:ascii="Times New Roman" w:hAnsi="Times New Roman" w:cs="Times New Roman"/>
                <w:bCs/>
                <w:sz w:val="16"/>
                <w:szCs w:val="16"/>
              </w:rPr>
            </w:pPr>
            <w:r w:rsidRPr="00CA0AE3">
              <w:rPr>
                <w:rFonts w:ascii="Times New Roman" w:hAnsi="Times New Roman" w:cs="Times New Roman"/>
                <w:sz w:val="16"/>
                <w:szCs w:val="16"/>
              </w:rPr>
              <w:t>6</w:t>
            </w:r>
          </w:p>
        </w:tc>
        <w:tc>
          <w:tcPr>
            <w:tcW w:w="1420" w:type="pct"/>
            <w:shd w:val="clear" w:color="auto" w:fill="auto"/>
            <w:vAlign w:val="center"/>
          </w:tcPr>
          <w:p w:rsidR="00CA2FE3" w:rsidRPr="00CA0AE3" w:rsidRDefault="00CA2FE3" w:rsidP="00D1633A">
            <w:pPr>
              <w:spacing w:after="0" w:line="240" w:lineRule="auto"/>
              <w:jc w:val="center"/>
              <w:rPr>
                <w:rFonts w:ascii="Times New Roman" w:hAnsi="Times New Roman" w:cs="Times New Roman"/>
                <w:sz w:val="16"/>
                <w:szCs w:val="16"/>
              </w:rPr>
            </w:pPr>
            <w:r w:rsidRPr="00CA0AE3">
              <w:rPr>
                <w:rFonts w:ascii="Times New Roman" w:hAnsi="Times New Roman" w:cs="Times New Roman"/>
                <w:sz w:val="16"/>
                <w:szCs w:val="16"/>
              </w:rPr>
              <w:t>Percent of adolescents reporting specific risk behaviors (as available), from the Youth Risk Behavior Survey (YRBS)- high school and middle school surveys</w:t>
            </w:r>
          </w:p>
        </w:tc>
        <w:tc>
          <w:tcPr>
            <w:tcW w:w="563" w:type="pct"/>
            <w:shd w:val="clear" w:color="auto" w:fill="auto"/>
            <w:vAlign w:val="center"/>
          </w:tcPr>
          <w:p w:rsidR="00CA2FE3" w:rsidRPr="00CA0AE3" w:rsidRDefault="00CA2FE3" w:rsidP="00D1633A">
            <w:pPr>
              <w:spacing w:after="0" w:line="240" w:lineRule="auto"/>
              <w:jc w:val="center"/>
              <w:rPr>
                <w:rFonts w:ascii="Times New Roman" w:hAnsi="Times New Roman" w:cs="Times New Roman"/>
                <w:sz w:val="16"/>
                <w:szCs w:val="16"/>
              </w:rPr>
            </w:pPr>
            <w:r w:rsidRPr="00CA0AE3">
              <w:rPr>
                <w:rFonts w:ascii="Times New Roman" w:hAnsi="Times New Roman" w:cs="Times New Roman"/>
                <w:sz w:val="16"/>
                <w:szCs w:val="16"/>
              </w:rPr>
              <w:t>Youth Risk Behavior  Survey (YRBS)</w:t>
            </w:r>
          </w:p>
          <w:p w:rsidR="00CA2FE3" w:rsidRPr="00CA0AE3" w:rsidRDefault="00CA2FE3" w:rsidP="00D1633A">
            <w:pPr>
              <w:spacing w:after="0" w:line="240" w:lineRule="auto"/>
              <w:jc w:val="center"/>
              <w:rPr>
                <w:rFonts w:ascii="Times New Roman" w:hAnsi="Times New Roman" w:cs="Times New Roman"/>
                <w:sz w:val="16"/>
                <w:szCs w:val="16"/>
              </w:rPr>
            </w:pPr>
            <w:r w:rsidRPr="00CA0AE3">
              <w:rPr>
                <w:rFonts w:ascii="Times New Roman" w:hAnsi="Times New Roman" w:cs="Times New Roman"/>
                <w:sz w:val="16"/>
                <w:szCs w:val="16"/>
              </w:rPr>
              <w:t xml:space="preserve">(Bi-Annual) </w:t>
            </w:r>
          </w:p>
        </w:tc>
        <w:tc>
          <w:tcPr>
            <w:tcW w:w="583" w:type="pct"/>
            <w:vAlign w:val="center"/>
          </w:tcPr>
          <w:p w:rsidR="00CA2FE3" w:rsidRPr="00CA0AE3" w:rsidRDefault="00CA2FE3" w:rsidP="00D1633A">
            <w:pPr>
              <w:spacing w:after="0" w:line="240" w:lineRule="auto"/>
              <w:jc w:val="center"/>
              <w:rPr>
                <w:rFonts w:ascii="Times New Roman" w:hAnsi="Times New Roman" w:cs="Times New Roman"/>
                <w:sz w:val="16"/>
                <w:szCs w:val="16"/>
              </w:rPr>
            </w:pPr>
            <w:r w:rsidRPr="00CA0AE3">
              <w:rPr>
                <w:rFonts w:ascii="Times New Roman" w:hAnsi="Times New Roman" w:cs="Times New Roman"/>
                <w:sz w:val="16"/>
                <w:szCs w:val="16"/>
              </w:rPr>
              <w:t xml:space="preserve">Cambridge, Somerville, Everett, Malden, (as available by community) </w:t>
            </w:r>
          </w:p>
          <w:p w:rsidR="00CA2FE3" w:rsidRPr="00CA0AE3" w:rsidRDefault="00CA2FE3" w:rsidP="00D1633A">
            <w:pPr>
              <w:spacing w:after="0" w:line="240" w:lineRule="auto"/>
              <w:jc w:val="center"/>
              <w:rPr>
                <w:rFonts w:ascii="Times New Roman" w:hAnsi="Times New Roman" w:cs="Times New Roman"/>
                <w:sz w:val="16"/>
                <w:szCs w:val="16"/>
              </w:rPr>
            </w:pPr>
            <w:r w:rsidRPr="00CA0AE3">
              <w:rPr>
                <w:rFonts w:ascii="Times New Roman" w:hAnsi="Times New Roman" w:cs="Times New Roman"/>
                <w:sz w:val="16"/>
                <w:szCs w:val="16"/>
              </w:rPr>
              <w:t>Statewide</w:t>
            </w:r>
          </w:p>
        </w:tc>
        <w:tc>
          <w:tcPr>
            <w:tcW w:w="408" w:type="pct"/>
            <w:shd w:val="clear" w:color="auto" w:fill="auto"/>
            <w:vAlign w:val="center"/>
          </w:tcPr>
          <w:p w:rsidR="00CA2FE3" w:rsidRPr="00CA0AE3" w:rsidRDefault="00CA2FE3" w:rsidP="00D1633A">
            <w:pPr>
              <w:spacing w:after="0" w:line="240" w:lineRule="auto"/>
              <w:jc w:val="center"/>
              <w:rPr>
                <w:rFonts w:ascii="Times New Roman" w:hAnsi="Times New Roman" w:cs="Times New Roman"/>
                <w:sz w:val="16"/>
                <w:szCs w:val="16"/>
              </w:rPr>
            </w:pPr>
            <w:r w:rsidRPr="00CA0AE3">
              <w:rPr>
                <w:rFonts w:ascii="Times New Roman" w:hAnsi="Times New Roman" w:cs="Times New Roman"/>
                <w:sz w:val="16"/>
                <w:szCs w:val="16"/>
              </w:rPr>
              <w:t>R</w:t>
            </w:r>
          </w:p>
        </w:tc>
        <w:tc>
          <w:tcPr>
            <w:tcW w:w="408" w:type="pct"/>
            <w:shd w:val="clear" w:color="auto" w:fill="auto"/>
            <w:vAlign w:val="center"/>
          </w:tcPr>
          <w:p w:rsidR="00CA2FE3" w:rsidRPr="00CA0AE3" w:rsidRDefault="00CA2FE3" w:rsidP="00D1633A">
            <w:pPr>
              <w:spacing w:after="0" w:line="240" w:lineRule="auto"/>
              <w:jc w:val="center"/>
              <w:rPr>
                <w:rFonts w:ascii="Times New Roman" w:eastAsia="Times New Roman" w:hAnsi="Times New Roman" w:cs="Times New Roman"/>
                <w:sz w:val="16"/>
                <w:szCs w:val="16"/>
              </w:rPr>
            </w:pPr>
            <w:r w:rsidRPr="00CA0AE3">
              <w:rPr>
                <w:rFonts w:ascii="Times New Roman" w:eastAsia="Times New Roman" w:hAnsi="Times New Roman" w:cs="Times New Roman"/>
                <w:sz w:val="16"/>
                <w:szCs w:val="16"/>
              </w:rPr>
              <w:t>R</w:t>
            </w:r>
          </w:p>
        </w:tc>
        <w:tc>
          <w:tcPr>
            <w:tcW w:w="408" w:type="pct"/>
            <w:shd w:val="clear" w:color="auto" w:fill="auto"/>
            <w:vAlign w:val="center"/>
          </w:tcPr>
          <w:p w:rsidR="00CA2FE3" w:rsidRPr="00CA0AE3" w:rsidRDefault="00CA2FE3" w:rsidP="00D1633A">
            <w:pPr>
              <w:spacing w:after="0" w:line="240" w:lineRule="auto"/>
              <w:jc w:val="center"/>
              <w:rPr>
                <w:rFonts w:ascii="Times New Roman" w:eastAsia="Times New Roman" w:hAnsi="Times New Roman" w:cs="Times New Roman"/>
                <w:sz w:val="16"/>
                <w:szCs w:val="16"/>
              </w:rPr>
            </w:pPr>
            <w:r w:rsidRPr="00CA0AE3">
              <w:rPr>
                <w:rFonts w:ascii="Times New Roman" w:eastAsia="Times New Roman" w:hAnsi="Times New Roman" w:cs="Times New Roman"/>
                <w:sz w:val="16"/>
                <w:szCs w:val="16"/>
              </w:rPr>
              <w:t>R</w:t>
            </w:r>
          </w:p>
        </w:tc>
        <w:tc>
          <w:tcPr>
            <w:tcW w:w="408" w:type="pct"/>
            <w:vAlign w:val="center"/>
          </w:tcPr>
          <w:p w:rsidR="00CA2FE3" w:rsidRPr="00CA0AE3" w:rsidRDefault="00CA2FE3" w:rsidP="00D1633A">
            <w:pPr>
              <w:spacing w:after="0" w:line="240" w:lineRule="auto"/>
              <w:jc w:val="center"/>
              <w:rPr>
                <w:rFonts w:ascii="Times New Roman" w:eastAsia="Times New Roman" w:hAnsi="Times New Roman" w:cs="Times New Roman"/>
                <w:sz w:val="16"/>
                <w:szCs w:val="16"/>
              </w:rPr>
            </w:pPr>
            <w:r w:rsidRPr="00CA0AE3">
              <w:rPr>
                <w:rFonts w:ascii="Times New Roman" w:eastAsia="Times New Roman" w:hAnsi="Times New Roman" w:cs="Times New Roman"/>
                <w:sz w:val="16"/>
                <w:szCs w:val="16"/>
              </w:rPr>
              <w:t>R</w:t>
            </w:r>
          </w:p>
        </w:tc>
        <w:tc>
          <w:tcPr>
            <w:tcW w:w="408" w:type="pct"/>
            <w:vAlign w:val="center"/>
          </w:tcPr>
          <w:p w:rsidR="00CA2FE3" w:rsidRPr="00CA0AE3" w:rsidRDefault="00CA2FE3" w:rsidP="00D1633A">
            <w:pPr>
              <w:spacing w:after="0" w:line="240" w:lineRule="auto"/>
              <w:jc w:val="center"/>
              <w:rPr>
                <w:rFonts w:ascii="Times New Roman" w:eastAsia="Times New Roman" w:hAnsi="Times New Roman" w:cs="Times New Roman"/>
                <w:sz w:val="16"/>
                <w:szCs w:val="16"/>
              </w:rPr>
            </w:pPr>
            <w:r w:rsidRPr="00CA0AE3">
              <w:rPr>
                <w:rFonts w:ascii="Times New Roman" w:eastAsia="Times New Roman" w:hAnsi="Times New Roman" w:cs="Times New Roman"/>
                <w:sz w:val="16"/>
                <w:szCs w:val="16"/>
              </w:rPr>
              <w:t>R</w:t>
            </w:r>
          </w:p>
        </w:tc>
      </w:tr>
      <w:tr w:rsidR="00CA2FE3" w:rsidRPr="00CA0AE3" w:rsidTr="003C48F3">
        <w:trPr>
          <w:cantSplit/>
        </w:trPr>
        <w:tc>
          <w:tcPr>
            <w:tcW w:w="394" w:type="pct"/>
            <w:shd w:val="clear" w:color="auto" w:fill="auto"/>
            <w:noWrap/>
            <w:vAlign w:val="center"/>
          </w:tcPr>
          <w:p w:rsidR="00CA2FE3" w:rsidRPr="00CA0AE3" w:rsidRDefault="00CA2FE3" w:rsidP="00D1633A">
            <w:pPr>
              <w:spacing w:after="0" w:line="240" w:lineRule="auto"/>
              <w:jc w:val="center"/>
              <w:rPr>
                <w:rFonts w:ascii="Times New Roman" w:hAnsi="Times New Roman" w:cs="Times New Roman"/>
                <w:bCs/>
                <w:sz w:val="16"/>
                <w:szCs w:val="16"/>
              </w:rPr>
            </w:pPr>
            <w:r w:rsidRPr="00CA0AE3">
              <w:rPr>
                <w:rFonts w:ascii="Times New Roman" w:hAnsi="Times New Roman" w:cs="Times New Roman"/>
                <w:sz w:val="16"/>
                <w:szCs w:val="16"/>
              </w:rPr>
              <w:t>7</w:t>
            </w:r>
          </w:p>
        </w:tc>
        <w:tc>
          <w:tcPr>
            <w:tcW w:w="1420" w:type="pct"/>
            <w:shd w:val="clear" w:color="auto" w:fill="auto"/>
            <w:vAlign w:val="center"/>
          </w:tcPr>
          <w:p w:rsidR="00CA2FE3" w:rsidRPr="00CA0AE3" w:rsidRDefault="00CA2FE3" w:rsidP="00D1633A">
            <w:pPr>
              <w:spacing w:after="0" w:line="240" w:lineRule="auto"/>
              <w:jc w:val="center"/>
              <w:rPr>
                <w:rFonts w:ascii="Times New Roman" w:hAnsi="Times New Roman" w:cs="Times New Roman"/>
                <w:color w:val="000000"/>
                <w:sz w:val="16"/>
                <w:szCs w:val="16"/>
              </w:rPr>
            </w:pPr>
            <w:r w:rsidRPr="00CA0AE3">
              <w:rPr>
                <w:rFonts w:ascii="Times New Roman" w:hAnsi="Times New Roman" w:cs="Times New Roman"/>
                <w:color w:val="000000"/>
                <w:sz w:val="16"/>
                <w:szCs w:val="16"/>
              </w:rPr>
              <w:t>Age-adjusted rate* per 100,000 for Opioid poisoning mortality</w:t>
            </w:r>
          </w:p>
        </w:tc>
        <w:tc>
          <w:tcPr>
            <w:tcW w:w="563" w:type="pct"/>
            <w:shd w:val="clear" w:color="auto" w:fill="auto"/>
            <w:vAlign w:val="center"/>
          </w:tcPr>
          <w:p w:rsidR="00CA2FE3" w:rsidRPr="00CA0AE3" w:rsidRDefault="00CA2FE3" w:rsidP="00D1633A">
            <w:pPr>
              <w:spacing w:after="0" w:line="240" w:lineRule="auto"/>
              <w:jc w:val="center"/>
              <w:rPr>
                <w:rFonts w:ascii="Times New Roman" w:hAnsi="Times New Roman" w:cs="Times New Roman"/>
                <w:sz w:val="16"/>
                <w:szCs w:val="16"/>
              </w:rPr>
            </w:pPr>
            <w:r w:rsidRPr="00CA0AE3">
              <w:rPr>
                <w:rFonts w:ascii="Times New Roman" w:hAnsi="Times New Roman" w:cs="Times New Roman"/>
                <w:sz w:val="16"/>
                <w:szCs w:val="16"/>
              </w:rPr>
              <w:t>MA Department of Public Health</w:t>
            </w:r>
          </w:p>
          <w:p w:rsidR="00CA2FE3" w:rsidRPr="00CA0AE3" w:rsidRDefault="00CA2FE3" w:rsidP="00D1633A">
            <w:pPr>
              <w:spacing w:after="0" w:line="240" w:lineRule="auto"/>
              <w:jc w:val="center"/>
              <w:rPr>
                <w:rFonts w:ascii="Times New Roman" w:hAnsi="Times New Roman" w:cs="Times New Roman"/>
                <w:sz w:val="16"/>
                <w:szCs w:val="16"/>
              </w:rPr>
            </w:pPr>
            <w:r w:rsidRPr="00CA0AE3">
              <w:rPr>
                <w:rFonts w:ascii="Times New Roman" w:hAnsi="Times New Roman" w:cs="Times New Roman"/>
                <w:sz w:val="16"/>
                <w:szCs w:val="16"/>
              </w:rPr>
              <w:t xml:space="preserve">(Annual)  </w:t>
            </w:r>
          </w:p>
        </w:tc>
        <w:tc>
          <w:tcPr>
            <w:tcW w:w="583" w:type="pct"/>
            <w:vAlign w:val="center"/>
          </w:tcPr>
          <w:p w:rsidR="00CA2FE3" w:rsidRPr="00CA0AE3" w:rsidRDefault="00CA2FE3" w:rsidP="00D1633A">
            <w:pPr>
              <w:spacing w:after="0" w:line="240" w:lineRule="auto"/>
              <w:jc w:val="center"/>
              <w:rPr>
                <w:rFonts w:ascii="Times New Roman" w:hAnsi="Times New Roman" w:cs="Times New Roman"/>
                <w:color w:val="000000"/>
                <w:sz w:val="16"/>
                <w:szCs w:val="16"/>
              </w:rPr>
            </w:pPr>
            <w:r w:rsidRPr="00CA0AE3">
              <w:rPr>
                <w:rFonts w:ascii="Times New Roman" w:hAnsi="Times New Roman" w:cs="Times New Roman"/>
                <w:color w:val="000000"/>
                <w:sz w:val="16"/>
                <w:szCs w:val="16"/>
              </w:rPr>
              <w:t>Cambridge, Somerville, Everett, Malden, Revere, Statewide</w:t>
            </w:r>
          </w:p>
        </w:tc>
        <w:tc>
          <w:tcPr>
            <w:tcW w:w="408" w:type="pct"/>
            <w:shd w:val="clear" w:color="auto" w:fill="auto"/>
            <w:vAlign w:val="center"/>
          </w:tcPr>
          <w:p w:rsidR="00CA2FE3" w:rsidRPr="00CA0AE3" w:rsidRDefault="00CA2FE3" w:rsidP="00D1633A">
            <w:pPr>
              <w:spacing w:after="0" w:line="240" w:lineRule="auto"/>
              <w:jc w:val="center"/>
              <w:rPr>
                <w:rFonts w:ascii="Times New Roman" w:hAnsi="Times New Roman" w:cs="Times New Roman"/>
                <w:sz w:val="16"/>
                <w:szCs w:val="16"/>
              </w:rPr>
            </w:pPr>
            <w:r w:rsidRPr="00CA0AE3">
              <w:rPr>
                <w:rFonts w:ascii="Times New Roman" w:eastAsia="Times New Roman" w:hAnsi="Times New Roman" w:cs="Times New Roman"/>
                <w:sz w:val="16"/>
                <w:szCs w:val="16"/>
              </w:rPr>
              <w:t>R</w:t>
            </w:r>
          </w:p>
        </w:tc>
        <w:tc>
          <w:tcPr>
            <w:tcW w:w="408" w:type="pct"/>
            <w:shd w:val="clear" w:color="auto" w:fill="auto"/>
            <w:vAlign w:val="center"/>
          </w:tcPr>
          <w:p w:rsidR="00CA2FE3" w:rsidRPr="00CA0AE3" w:rsidRDefault="00CA2FE3" w:rsidP="00D1633A">
            <w:pPr>
              <w:spacing w:after="0" w:line="240" w:lineRule="auto"/>
              <w:jc w:val="center"/>
              <w:rPr>
                <w:rFonts w:ascii="Times New Roman" w:eastAsia="Times New Roman" w:hAnsi="Times New Roman" w:cs="Times New Roman"/>
                <w:sz w:val="16"/>
                <w:szCs w:val="16"/>
              </w:rPr>
            </w:pPr>
            <w:r w:rsidRPr="00CA0AE3">
              <w:rPr>
                <w:rFonts w:ascii="Times New Roman" w:eastAsia="Times New Roman" w:hAnsi="Times New Roman" w:cs="Times New Roman"/>
                <w:sz w:val="16"/>
                <w:szCs w:val="16"/>
              </w:rPr>
              <w:t>R</w:t>
            </w:r>
          </w:p>
        </w:tc>
        <w:tc>
          <w:tcPr>
            <w:tcW w:w="408" w:type="pct"/>
            <w:shd w:val="clear" w:color="auto" w:fill="auto"/>
            <w:vAlign w:val="center"/>
          </w:tcPr>
          <w:p w:rsidR="00CA2FE3" w:rsidRPr="00CA0AE3" w:rsidRDefault="00CA2FE3" w:rsidP="00D1633A">
            <w:pPr>
              <w:spacing w:after="0" w:line="240" w:lineRule="auto"/>
              <w:jc w:val="center"/>
              <w:rPr>
                <w:rFonts w:ascii="Times New Roman" w:eastAsia="Times New Roman" w:hAnsi="Times New Roman" w:cs="Times New Roman"/>
                <w:sz w:val="16"/>
                <w:szCs w:val="16"/>
              </w:rPr>
            </w:pPr>
            <w:r w:rsidRPr="00CA0AE3">
              <w:rPr>
                <w:rFonts w:ascii="Times New Roman" w:eastAsia="Times New Roman" w:hAnsi="Times New Roman" w:cs="Times New Roman"/>
                <w:sz w:val="16"/>
                <w:szCs w:val="16"/>
              </w:rPr>
              <w:t>R</w:t>
            </w:r>
          </w:p>
        </w:tc>
        <w:tc>
          <w:tcPr>
            <w:tcW w:w="408" w:type="pct"/>
            <w:vAlign w:val="center"/>
          </w:tcPr>
          <w:p w:rsidR="00CA2FE3" w:rsidRPr="00CA0AE3" w:rsidRDefault="00CA2FE3" w:rsidP="00D1633A">
            <w:pPr>
              <w:spacing w:after="0" w:line="240" w:lineRule="auto"/>
              <w:jc w:val="center"/>
              <w:rPr>
                <w:rFonts w:ascii="Times New Roman" w:eastAsia="Times New Roman" w:hAnsi="Times New Roman" w:cs="Times New Roman"/>
                <w:sz w:val="16"/>
                <w:szCs w:val="16"/>
              </w:rPr>
            </w:pPr>
            <w:r w:rsidRPr="00CA0AE3">
              <w:rPr>
                <w:rFonts w:ascii="Times New Roman" w:eastAsia="Times New Roman" w:hAnsi="Times New Roman" w:cs="Times New Roman"/>
                <w:sz w:val="16"/>
                <w:szCs w:val="16"/>
              </w:rPr>
              <w:t>R</w:t>
            </w:r>
          </w:p>
        </w:tc>
        <w:tc>
          <w:tcPr>
            <w:tcW w:w="408" w:type="pct"/>
            <w:vAlign w:val="center"/>
          </w:tcPr>
          <w:p w:rsidR="00CA2FE3" w:rsidRPr="00CA0AE3" w:rsidRDefault="00CA2FE3" w:rsidP="00D1633A">
            <w:pPr>
              <w:spacing w:after="0" w:line="240" w:lineRule="auto"/>
              <w:jc w:val="center"/>
              <w:rPr>
                <w:rFonts w:ascii="Times New Roman" w:eastAsia="Times New Roman" w:hAnsi="Times New Roman" w:cs="Times New Roman"/>
                <w:sz w:val="16"/>
                <w:szCs w:val="16"/>
              </w:rPr>
            </w:pPr>
            <w:r w:rsidRPr="00CA0AE3">
              <w:rPr>
                <w:rFonts w:ascii="Times New Roman" w:eastAsia="Times New Roman" w:hAnsi="Times New Roman" w:cs="Times New Roman"/>
                <w:sz w:val="16"/>
                <w:szCs w:val="16"/>
              </w:rPr>
              <w:t>R</w:t>
            </w:r>
          </w:p>
        </w:tc>
      </w:tr>
      <w:tr w:rsidR="00CA2FE3" w:rsidRPr="00CA0AE3" w:rsidTr="003C48F3">
        <w:trPr>
          <w:cantSplit/>
        </w:trPr>
        <w:tc>
          <w:tcPr>
            <w:tcW w:w="394" w:type="pct"/>
            <w:noWrap/>
            <w:vAlign w:val="center"/>
          </w:tcPr>
          <w:p w:rsidR="00CA2FE3" w:rsidRPr="00CA0AE3" w:rsidRDefault="00CA2FE3" w:rsidP="00D1633A">
            <w:pPr>
              <w:spacing w:after="0" w:line="240" w:lineRule="auto"/>
              <w:jc w:val="center"/>
              <w:rPr>
                <w:rFonts w:ascii="Times New Roman" w:hAnsi="Times New Roman" w:cs="Times New Roman"/>
                <w:bCs/>
                <w:sz w:val="16"/>
                <w:szCs w:val="16"/>
              </w:rPr>
            </w:pPr>
            <w:r w:rsidRPr="00CA0AE3">
              <w:rPr>
                <w:rFonts w:ascii="Times New Roman" w:hAnsi="Times New Roman" w:cs="Times New Roman"/>
                <w:sz w:val="16"/>
                <w:szCs w:val="16"/>
              </w:rPr>
              <w:t>8</w:t>
            </w:r>
          </w:p>
        </w:tc>
        <w:tc>
          <w:tcPr>
            <w:tcW w:w="1420" w:type="pct"/>
            <w:vAlign w:val="center"/>
          </w:tcPr>
          <w:p w:rsidR="00CA2FE3" w:rsidRPr="00CA0AE3" w:rsidRDefault="00CA2FE3" w:rsidP="00D1633A">
            <w:pPr>
              <w:spacing w:after="0" w:line="240" w:lineRule="auto"/>
              <w:jc w:val="center"/>
              <w:rPr>
                <w:rFonts w:ascii="Times New Roman" w:hAnsi="Times New Roman" w:cs="Times New Roman"/>
                <w:color w:val="000000"/>
                <w:sz w:val="16"/>
                <w:szCs w:val="16"/>
              </w:rPr>
            </w:pPr>
            <w:r w:rsidRPr="00CA0AE3">
              <w:rPr>
                <w:rFonts w:ascii="Times New Roman" w:hAnsi="Times New Roman" w:cs="Times New Roman"/>
                <w:color w:val="000000"/>
                <w:sz w:val="16"/>
                <w:szCs w:val="16"/>
              </w:rPr>
              <w:t xml:space="preserve">Ranking top cause of 1) </w:t>
            </w:r>
            <w:r w:rsidRPr="00CA0AE3">
              <w:rPr>
                <w:rFonts w:ascii="Times New Roman" w:hAnsi="Times New Roman" w:cs="Times New Roman"/>
                <w:sz w:val="16"/>
                <w:szCs w:val="16"/>
              </w:rPr>
              <w:t>hospitalizations and 2) Emergency Department visits</w:t>
            </w:r>
            <w:r w:rsidRPr="00CA0AE3">
              <w:rPr>
                <w:rFonts w:ascii="Times New Roman" w:hAnsi="Times New Roman" w:cs="Times New Roman"/>
                <w:color w:val="000000"/>
                <w:sz w:val="16"/>
                <w:szCs w:val="16"/>
              </w:rPr>
              <w:t>, by city:</w:t>
            </w:r>
          </w:p>
          <w:p w:rsidR="00CA2FE3" w:rsidRPr="00CA0AE3" w:rsidRDefault="00CA2FE3" w:rsidP="00D1633A">
            <w:pPr>
              <w:spacing w:after="0" w:line="240" w:lineRule="auto"/>
              <w:jc w:val="center"/>
              <w:rPr>
                <w:rFonts w:ascii="Times New Roman" w:hAnsi="Times New Roman" w:cs="Times New Roman"/>
                <w:color w:val="000000"/>
                <w:sz w:val="16"/>
                <w:szCs w:val="16"/>
              </w:rPr>
            </w:pPr>
            <w:r w:rsidRPr="00CA0AE3">
              <w:rPr>
                <w:rFonts w:ascii="Times New Roman" w:hAnsi="Times New Roman" w:cs="Times New Roman"/>
                <w:color w:val="000000"/>
                <w:sz w:val="16"/>
                <w:szCs w:val="16"/>
              </w:rPr>
              <w:t xml:space="preserve">Age-adjusted rate* per 100,000 for hospitalizations (by individual cause) Age-adjusted rate* per 100,000 for </w:t>
            </w:r>
            <w:r w:rsidRPr="00CA0AE3">
              <w:rPr>
                <w:rFonts w:ascii="Times New Roman" w:hAnsi="Times New Roman" w:cs="Times New Roman"/>
                <w:sz w:val="16"/>
                <w:szCs w:val="16"/>
              </w:rPr>
              <w:t>Emergency Department</w:t>
            </w:r>
            <w:r w:rsidRPr="00CA0AE3">
              <w:rPr>
                <w:rFonts w:ascii="Times New Roman" w:hAnsi="Times New Roman" w:cs="Times New Roman"/>
                <w:color w:val="000000"/>
                <w:sz w:val="16"/>
                <w:szCs w:val="16"/>
              </w:rPr>
              <w:t xml:space="preserve"> visits (by individual cause).</w:t>
            </w:r>
          </w:p>
        </w:tc>
        <w:tc>
          <w:tcPr>
            <w:tcW w:w="563" w:type="pct"/>
            <w:shd w:val="clear" w:color="auto" w:fill="auto"/>
            <w:vAlign w:val="center"/>
          </w:tcPr>
          <w:p w:rsidR="00CA2FE3" w:rsidRPr="00CA0AE3" w:rsidRDefault="00CA2FE3" w:rsidP="00D1633A">
            <w:pPr>
              <w:spacing w:after="0" w:line="240" w:lineRule="auto"/>
              <w:jc w:val="center"/>
              <w:rPr>
                <w:rFonts w:ascii="Times New Roman" w:hAnsi="Times New Roman" w:cs="Times New Roman"/>
                <w:sz w:val="16"/>
                <w:szCs w:val="16"/>
              </w:rPr>
            </w:pPr>
            <w:r w:rsidRPr="00CA0AE3">
              <w:rPr>
                <w:rFonts w:ascii="Times New Roman" w:hAnsi="Times New Roman" w:cs="Times New Roman"/>
                <w:sz w:val="16"/>
                <w:szCs w:val="16"/>
              </w:rPr>
              <w:t>MA Department of Public Health</w:t>
            </w:r>
          </w:p>
          <w:p w:rsidR="00CA2FE3" w:rsidRPr="00CA0AE3" w:rsidRDefault="00CA2FE3" w:rsidP="00D1633A">
            <w:pPr>
              <w:spacing w:after="0" w:line="240" w:lineRule="auto"/>
              <w:jc w:val="center"/>
              <w:rPr>
                <w:rFonts w:ascii="Times New Roman" w:hAnsi="Times New Roman" w:cs="Times New Roman"/>
                <w:sz w:val="16"/>
                <w:szCs w:val="16"/>
              </w:rPr>
            </w:pPr>
            <w:r w:rsidRPr="00CA0AE3">
              <w:rPr>
                <w:rFonts w:ascii="Times New Roman" w:hAnsi="Times New Roman" w:cs="Times New Roman"/>
                <w:sz w:val="16"/>
                <w:szCs w:val="16"/>
              </w:rPr>
              <w:t xml:space="preserve">(Annual) </w:t>
            </w:r>
          </w:p>
        </w:tc>
        <w:tc>
          <w:tcPr>
            <w:tcW w:w="583" w:type="pct"/>
            <w:vAlign w:val="center"/>
          </w:tcPr>
          <w:p w:rsidR="00CA2FE3" w:rsidRPr="00CA0AE3" w:rsidRDefault="00CA2FE3" w:rsidP="00D1633A">
            <w:pPr>
              <w:spacing w:after="0" w:line="240" w:lineRule="auto"/>
              <w:jc w:val="center"/>
              <w:rPr>
                <w:rFonts w:ascii="Times New Roman" w:hAnsi="Times New Roman" w:cs="Times New Roman"/>
                <w:color w:val="000000"/>
                <w:sz w:val="16"/>
                <w:szCs w:val="16"/>
              </w:rPr>
            </w:pPr>
            <w:r w:rsidRPr="00CA0AE3">
              <w:rPr>
                <w:rFonts w:ascii="Times New Roman" w:hAnsi="Times New Roman" w:cs="Times New Roman"/>
                <w:color w:val="000000"/>
                <w:sz w:val="16"/>
                <w:szCs w:val="16"/>
              </w:rPr>
              <w:t>Cambridge, Somerville, Everett, Malden, Revere, Statewide</w:t>
            </w:r>
          </w:p>
        </w:tc>
        <w:tc>
          <w:tcPr>
            <w:tcW w:w="408" w:type="pct"/>
            <w:vAlign w:val="center"/>
          </w:tcPr>
          <w:p w:rsidR="00CA2FE3" w:rsidRPr="00CA0AE3" w:rsidRDefault="00CA2FE3" w:rsidP="00D1633A">
            <w:pPr>
              <w:spacing w:after="0" w:line="240" w:lineRule="auto"/>
              <w:jc w:val="center"/>
              <w:rPr>
                <w:rFonts w:ascii="Times New Roman" w:hAnsi="Times New Roman" w:cs="Times New Roman"/>
                <w:sz w:val="16"/>
                <w:szCs w:val="16"/>
              </w:rPr>
            </w:pPr>
            <w:r w:rsidRPr="00CA0AE3">
              <w:rPr>
                <w:rFonts w:ascii="Times New Roman" w:eastAsia="Times New Roman" w:hAnsi="Times New Roman" w:cs="Times New Roman"/>
                <w:sz w:val="16"/>
                <w:szCs w:val="16"/>
              </w:rPr>
              <w:t>R</w:t>
            </w:r>
          </w:p>
        </w:tc>
        <w:tc>
          <w:tcPr>
            <w:tcW w:w="408" w:type="pct"/>
            <w:vAlign w:val="center"/>
          </w:tcPr>
          <w:p w:rsidR="00CA2FE3" w:rsidRPr="00CA0AE3" w:rsidRDefault="00CA2FE3" w:rsidP="00D1633A">
            <w:pPr>
              <w:spacing w:after="0" w:line="240" w:lineRule="auto"/>
              <w:jc w:val="center"/>
              <w:rPr>
                <w:rFonts w:ascii="Times New Roman" w:eastAsia="Times New Roman" w:hAnsi="Times New Roman" w:cs="Times New Roman"/>
                <w:sz w:val="16"/>
                <w:szCs w:val="16"/>
              </w:rPr>
            </w:pPr>
            <w:r w:rsidRPr="00CA0AE3">
              <w:rPr>
                <w:rFonts w:ascii="Times New Roman" w:eastAsia="Times New Roman" w:hAnsi="Times New Roman" w:cs="Times New Roman"/>
                <w:sz w:val="16"/>
                <w:szCs w:val="16"/>
              </w:rPr>
              <w:t>R</w:t>
            </w:r>
          </w:p>
        </w:tc>
        <w:tc>
          <w:tcPr>
            <w:tcW w:w="408" w:type="pct"/>
            <w:vAlign w:val="center"/>
          </w:tcPr>
          <w:p w:rsidR="00CA2FE3" w:rsidRPr="00CA0AE3" w:rsidRDefault="00CA2FE3" w:rsidP="00D1633A">
            <w:pPr>
              <w:spacing w:after="0" w:line="240" w:lineRule="auto"/>
              <w:jc w:val="center"/>
              <w:rPr>
                <w:rFonts w:ascii="Times New Roman" w:eastAsia="Times New Roman" w:hAnsi="Times New Roman" w:cs="Times New Roman"/>
                <w:sz w:val="16"/>
                <w:szCs w:val="16"/>
              </w:rPr>
            </w:pPr>
            <w:r w:rsidRPr="00CA0AE3">
              <w:rPr>
                <w:rFonts w:ascii="Times New Roman" w:eastAsia="Times New Roman" w:hAnsi="Times New Roman" w:cs="Times New Roman"/>
                <w:sz w:val="16"/>
                <w:szCs w:val="16"/>
              </w:rPr>
              <w:t>R</w:t>
            </w:r>
          </w:p>
        </w:tc>
        <w:tc>
          <w:tcPr>
            <w:tcW w:w="408" w:type="pct"/>
            <w:vAlign w:val="center"/>
          </w:tcPr>
          <w:p w:rsidR="00CA2FE3" w:rsidRPr="00CA0AE3" w:rsidRDefault="00CA2FE3" w:rsidP="00D1633A">
            <w:pPr>
              <w:spacing w:after="0" w:line="240" w:lineRule="auto"/>
              <w:jc w:val="center"/>
              <w:rPr>
                <w:rFonts w:ascii="Times New Roman" w:eastAsia="Times New Roman" w:hAnsi="Times New Roman" w:cs="Times New Roman"/>
                <w:sz w:val="16"/>
                <w:szCs w:val="16"/>
              </w:rPr>
            </w:pPr>
            <w:r w:rsidRPr="00CA0AE3">
              <w:rPr>
                <w:rFonts w:ascii="Times New Roman" w:eastAsia="Times New Roman" w:hAnsi="Times New Roman" w:cs="Times New Roman"/>
                <w:sz w:val="16"/>
                <w:szCs w:val="16"/>
              </w:rPr>
              <w:t>R</w:t>
            </w:r>
          </w:p>
        </w:tc>
        <w:tc>
          <w:tcPr>
            <w:tcW w:w="408" w:type="pct"/>
            <w:vAlign w:val="center"/>
          </w:tcPr>
          <w:p w:rsidR="00CA2FE3" w:rsidRPr="00CA0AE3" w:rsidRDefault="00CA2FE3" w:rsidP="00D1633A">
            <w:pPr>
              <w:spacing w:after="0" w:line="240" w:lineRule="auto"/>
              <w:jc w:val="center"/>
              <w:rPr>
                <w:rFonts w:ascii="Times New Roman" w:eastAsia="Times New Roman" w:hAnsi="Times New Roman" w:cs="Times New Roman"/>
                <w:sz w:val="16"/>
                <w:szCs w:val="16"/>
              </w:rPr>
            </w:pPr>
            <w:r w:rsidRPr="00CA0AE3">
              <w:rPr>
                <w:rFonts w:ascii="Times New Roman" w:eastAsia="Times New Roman" w:hAnsi="Times New Roman" w:cs="Times New Roman"/>
                <w:sz w:val="16"/>
                <w:szCs w:val="16"/>
              </w:rPr>
              <w:t>R</w:t>
            </w:r>
          </w:p>
        </w:tc>
      </w:tr>
      <w:tr w:rsidR="00CA2FE3" w:rsidRPr="00CA0AE3" w:rsidTr="003C48F3">
        <w:trPr>
          <w:cantSplit/>
        </w:trPr>
        <w:tc>
          <w:tcPr>
            <w:tcW w:w="394" w:type="pct"/>
            <w:noWrap/>
            <w:vAlign w:val="center"/>
          </w:tcPr>
          <w:p w:rsidR="00CA2FE3" w:rsidRPr="00CA0AE3" w:rsidRDefault="00CA2FE3" w:rsidP="00D1633A">
            <w:pPr>
              <w:spacing w:after="0" w:line="240" w:lineRule="auto"/>
              <w:jc w:val="center"/>
              <w:rPr>
                <w:rFonts w:ascii="Times New Roman" w:hAnsi="Times New Roman" w:cs="Times New Roman"/>
                <w:sz w:val="16"/>
                <w:szCs w:val="16"/>
              </w:rPr>
            </w:pPr>
            <w:r w:rsidRPr="00CA0AE3">
              <w:rPr>
                <w:rFonts w:ascii="Times New Roman" w:hAnsi="Times New Roman" w:cs="Times New Roman"/>
                <w:sz w:val="16"/>
                <w:szCs w:val="16"/>
              </w:rPr>
              <w:t>9</w:t>
            </w:r>
          </w:p>
        </w:tc>
        <w:tc>
          <w:tcPr>
            <w:tcW w:w="1420" w:type="pct"/>
            <w:vAlign w:val="center"/>
          </w:tcPr>
          <w:p w:rsidR="00CA2FE3" w:rsidRPr="00CA0AE3" w:rsidRDefault="00CA2FE3" w:rsidP="00D1633A">
            <w:pPr>
              <w:spacing w:after="0" w:line="240" w:lineRule="auto"/>
              <w:jc w:val="center"/>
              <w:rPr>
                <w:rFonts w:ascii="Times New Roman" w:hAnsi="Times New Roman" w:cs="Times New Roman"/>
                <w:color w:val="000000"/>
                <w:sz w:val="16"/>
                <w:szCs w:val="16"/>
              </w:rPr>
            </w:pPr>
            <w:r w:rsidRPr="00CA0AE3">
              <w:rPr>
                <w:rFonts w:ascii="Times New Roman" w:hAnsi="Times New Roman" w:cs="Times New Roman"/>
                <w:color w:val="000000"/>
                <w:sz w:val="16"/>
                <w:szCs w:val="16"/>
              </w:rPr>
              <w:t xml:space="preserve">Age-specific rate* per 100,000 </w:t>
            </w:r>
            <w:r w:rsidRPr="00CA0AE3">
              <w:rPr>
                <w:rFonts w:ascii="Times New Roman" w:hAnsi="Times New Roman" w:cs="Times New Roman"/>
                <w:sz w:val="16"/>
                <w:szCs w:val="16"/>
              </w:rPr>
              <w:t xml:space="preserve">for 1) Emergency Department -visits and 2) mortality </w:t>
            </w:r>
            <w:r w:rsidRPr="00CA0AE3">
              <w:rPr>
                <w:rFonts w:ascii="Times New Roman" w:hAnsi="Times New Roman" w:cs="Times New Roman"/>
                <w:color w:val="000000"/>
                <w:sz w:val="16"/>
                <w:szCs w:val="16"/>
              </w:rPr>
              <w:t>related to falls among those age 65 years and over by city.</w:t>
            </w:r>
          </w:p>
        </w:tc>
        <w:tc>
          <w:tcPr>
            <w:tcW w:w="563" w:type="pct"/>
            <w:vAlign w:val="center"/>
          </w:tcPr>
          <w:p w:rsidR="00CA2FE3" w:rsidRPr="00CA0AE3" w:rsidRDefault="00CA2FE3" w:rsidP="00D1633A">
            <w:pPr>
              <w:spacing w:after="0" w:line="240" w:lineRule="auto"/>
              <w:jc w:val="center"/>
              <w:rPr>
                <w:rFonts w:ascii="Times New Roman" w:hAnsi="Times New Roman" w:cs="Times New Roman"/>
                <w:sz w:val="16"/>
                <w:szCs w:val="16"/>
              </w:rPr>
            </w:pPr>
            <w:r w:rsidRPr="00CA0AE3">
              <w:rPr>
                <w:rFonts w:ascii="Times New Roman" w:hAnsi="Times New Roman" w:cs="Times New Roman"/>
                <w:sz w:val="16"/>
                <w:szCs w:val="16"/>
              </w:rPr>
              <w:t>MA Department of Public Health</w:t>
            </w:r>
          </w:p>
          <w:p w:rsidR="00CA2FE3" w:rsidRPr="00CA0AE3" w:rsidRDefault="00CA2FE3" w:rsidP="00D1633A">
            <w:pPr>
              <w:spacing w:after="0" w:line="240" w:lineRule="auto"/>
              <w:jc w:val="center"/>
              <w:rPr>
                <w:rFonts w:ascii="Times New Roman" w:hAnsi="Times New Roman" w:cs="Times New Roman"/>
                <w:sz w:val="16"/>
                <w:szCs w:val="16"/>
              </w:rPr>
            </w:pPr>
            <w:r w:rsidRPr="00CA0AE3">
              <w:rPr>
                <w:rFonts w:ascii="Times New Roman" w:hAnsi="Times New Roman" w:cs="Times New Roman"/>
                <w:sz w:val="16"/>
                <w:szCs w:val="16"/>
              </w:rPr>
              <w:t xml:space="preserve">(Annual) </w:t>
            </w:r>
          </w:p>
        </w:tc>
        <w:tc>
          <w:tcPr>
            <w:tcW w:w="583" w:type="pct"/>
            <w:vAlign w:val="center"/>
          </w:tcPr>
          <w:p w:rsidR="00CA2FE3" w:rsidRPr="00CA0AE3" w:rsidRDefault="00CA2FE3" w:rsidP="00D1633A">
            <w:pPr>
              <w:spacing w:after="0" w:line="240" w:lineRule="auto"/>
              <w:jc w:val="center"/>
              <w:rPr>
                <w:rFonts w:ascii="Times New Roman" w:hAnsi="Times New Roman" w:cs="Times New Roman"/>
                <w:color w:val="000000"/>
                <w:sz w:val="16"/>
                <w:szCs w:val="16"/>
              </w:rPr>
            </w:pPr>
            <w:r w:rsidRPr="00CA0AE3">
              <w:rPr>
                <w:rFonts w:ascii="Times New Roman" w:hAnsi="Times New Roman" w:cs="Times New Roman"/>
                <w:color w:val="000000"/>
                <w:sz w:val="16"/>
                <w:szCs w:val="16"/>
              </w:rPr>
              <w:t>Cambridge, Somerville, Everett, Malden, Revere, Statewide</w:t>
            </w:r>
          </w:p>
        </w:tc>
        <w:tc>
          <w:tcPr>
            <w:tcW w:w="408" w:type="pct"/>
            <w:vAlign w:val="center"/>
          </w:tcPr>
          <w:p w:rsidR="00CA2FE3" w:rsidRPr="00CA0AE3" w:rsidRDefault="00CA2FE3" w:rsidP="00D1633A">
            <w:pPr>
              <w:spacing w:after="0" w:line="240" w:lineRule="auto"/>
              <w:jc w:val="center"/>
              <w:rPr>
                <w:rFonts w:ascii="Times New Roman" w:hAnsi="Times New Roman" w:cs="Times New Roman"/>
                <w:sz w:val="16"/>
                <w:szCs w:val="16"/>
              </w:rPr>
            </w:pPr>
            <w:r w:rsidRPr="00CA0AE3">
              <w:rPr>
                <w:rFonts w:ascii="Times New Roman" w:eastAsia="Times New Roman" w:hAnsi="Times New Roman" w:cs="Times New Roman"/>
                <w:sz w:val="16"/>
                <w:szCs w:val="16"/>
              </w:rPr>
              <w:t>R</w:t>
            </w:r>
          </w:p>
        </w:tc>
        <w:tc>
          <w:tcPr>
            <w:tcW w:w="408" w:type="pct"/>
            <w:vAlign w:val="center"/>
          </w:tcPr>
          <w:p w:rsidR="00CA2FE3" w:rsidRPr="00CA0AE3" w:rsidRDefault="00CA2FE3" w:rsidP="00D1633A">
            <w:pPr>
              <w:spacing w:after="0" w:line="240" w:lineRule="auto"/>
              <w:jc w:val="center"/>
              <w:rPr>
                <w:rFonts w:ascii="Times New Roman" w:eastAsia="Times New Roman" w:hAnsi="Times New Roman" w:cs="Times New Roman"/>
                <w:sz w:val="16"/>
                <w:szCs w:val="16"/>
              </w:rPr>
            </w:pPr>
            <w:r w:rsidRPr="00CA0AE3">
              <w:rPr>
                <w:rFonts w:ascii="Times New Roman" w:eastAsia="Times New Roman" w:hAnsi="Times New Roman" w:cs="Times New Roman"/>
                <w:sz w:val="16"/>
                <w:szCs w:val="16"/>
              </w:rPr>
              <w:t>R</w:t>
            </w:r>
          </w:p>
        </w:tc>
        <w:tc>
          <w:tcPr>
            <w:tcW w:w="408" w:type="pct"/>
            <w:vAlign w:val="center"/>
          </w:tcPr>
          <w:p w:rsidR="00CA2FE3" w:rsidRPr="00CA0AE3" w:rsidRDefault="00CA2FE3" w:rsidP="00D1633A">
            <w:pPr>
              <w:spacing w:after="0" w:line="240" w:lineRule="auto"/>
              <w:jc w:val="center"/>
              <w:rPr>
                <w:rFonts w:ascii="Times New Roman" w:eastAsia="Times New Roman" w:hAnsi="Times New Roman" w:cs="Times New Roman"/>
                <w:sz w:val="16"/>
                <w:szCs w:val="16"/>
              </w:rPr>
            </w:pPr>
            <w:r w:rsidRPr="00CA0AE3">
              <w:rPr>
                <w:rFonts w:ascii="Times New Roman" w:eastAsia="Times New Roman" w:hAnsi="Times New Roman" w:cs="Times New Roman"/>
                <w:sz w:val="16"/>
                <w:szCs w:val="16"/>
              </w:rPr>
              <w:t>R</w:t>
            </w:r>
          </w:p>
        </w:tc>
        <w:tc>
          <w:tcPr>
            <w:tcW w:w="408" w:type="pct"/>
            <w:vAlign w:val="center"/>
          </w:tcPr>
          <w:p w:rsidR="00CA2FE3" w:rsidRPr="00CA0AE3" w:rsidRDefault="00CA2FE3" w:rsidP="00D1633A">
            <w:pPr>
              <w:spacing w:after="0" w:line="240" w:lineRule="auto"/>
              <w:jc w:val="center"/>
              <w:rPr>
                <w:rFonts w:ascii="Times New Roman" w:eastAsia="Times New Roman" w:hAnsi="Times New Roman" w:cs="Times New Roman"/>
                <w:sz w:val="16"/>
                <w:szCs w:val="16"/>
              </w:rPr>
            </w:pPr>
            <w:r w:rsidRPr="00CA0AE3">
              <w:rPr>
                <w:rFonts w:ascii="Times New Roman" w:eastAsia="Times New Roman" w:hAnsi="Times New Roman" w:cs="Times New Roman"/>
                <w:sz w:val="16"/>
                <w:szCs w:val="16"/>
              </w:rPr>
              <w:t>R</w:t>
            </w:r>
          </w:p>
        </w:tc>
        <w:tc>
          <w:tcPr>
            <w:tcW w:w="408" w:type="pct"/>
            <w:vAlign w:val="center"/>
          </w:tcPr>
          <w:p w:rsidR="00CA2FE3" w:rsidRPr="00CA0AE3" w:rsidRDefault="00CA2FE3" w:rsidP="00D1633A">
            <w:pPr>
              <w:spacing w:after="0" w:line="240" w:lineRule="auto"/>
              <w:jc w:val="center"/>
              <w:rPr>
                <w:rFonts w:ascii="Times New Roman" w:eastAsia="Times New Roman" w:hAnsi="Times New Roman" w:cs="Times New Roman"/>
                <w:sz w:val="16"/>
                <w:szCs w:val="16"/>
              </w:rPr>
            </w:pPr>
            <w:r w:rsidRPr="00CA0AE3">
              <w:rPr>
                <w:rFonts w:ascii="Times New Roman" w:eastAsia="Times New Roman" w:hAnsi="Times New Roman" w:cs="Times New Roman"/>
                <w:sz w:val="16"/>
                <w:szCs w:val="16"/>
              </w:rPr>
              <w:t>R</w:t>
            </w:r>
          </w:p>
        </w:tc>
      </w:tr>
      <w:tr w:rsidR="00CA2FE3" w:rsidRPr="00CA0AE3" w:rsidTr="003C48F3">
        <w:trPr>
          <w:cantSplit/>
        </w:trPr>
        <w:tc>
          <w:tcPr>
            <w:tcW w:w="394" w:type="pct"/>
            <w:noWrap/>
            <w:vAlign w:val="center"/>
          </w:tcPr>
          <w:p w:rsidR="00CA2FE3" w:rsidRPr="00CA0AE3" w:rsidRDefault="00CA2FE3" w:rsidP="00D1633A">
            <w:pPr>
              <w:spacing w:after="0" w:line="240" w:lineRule="auto"/>
              <w:jc w:val="center"/>
              <w:rPr>
                <w:rFonts w:ascii="Times New Roman" w:hAnsi="Times New Roman" w:cs="Times New Roman"/>
                <w:sz w:val="16"/>
                <w:szCs w:val="16"/>
              </w:rPr>
            </w:pPr>
            <w:r w:rsidRPr="00CA0AE3">
              <w:rPr>
                <w:rFonts w:ascii="Times New Roman" w:hAnsi="Times New Roman" w:cs="Times New Roman"/>
                <w:sz w:val="16"/>
                <w:szCs w:val="16"/>
              </w:rPr>
              <w:t>10</w:t>
            </w:r>
          </w:p>
        </w:tc>
        <w:tc>
          <w:tcPr>
            <w:tcW w:w="1420" w:type="pct"/>
            <w:vAlign w:val="center"/>
          </w:tcPr>
          <w:p w:rsidR="00CA2FE3" w:rsidRPr="00CA0AE3" w:rsidRDefault="00CA2FE3" w:rsidP="00D1633A">
            <w:pPr>
              <w:spacing w:after="0" w:line="240" w:lineRule="auto"/>
              <w:jc w:val="center"/>
              <w:rPr>
                <w:rFonts w:ascii="Times New Roman" w:hAnsi="Times New Roman" w:cs="Times New Roman"/>
                <w:color w:val="000000"/>
                <w:sz w:val="16"/>
                <w:szCs w:val="16"/>
              </w:rPr>
            </w:pPr>
            <w:r w:rsidRPr="00CA0AE3">
              <w:rPr>
                <w:rFonts w:ascii="Times New Roman" w:hAnsi="Times New Roman" w:cs="Times New Roman"/>
                <w:color w:val="000000"/>
                <w:sz w:val="16"/>
                <w:szCs w:val="16"/>
              </w:rPr>
              <w:t xml:space="preserve">Age-adjusted rate* per 100,000 for </w:t>
            </w:r>
            <w:r w:rsidRPr="00CA0AE3">
              <w:rPr>
                <w:rFonts w:ascii="Times New Roman" w:hAnsi="Times New Roman" w:cs="Times New Roman"/>
                <w:sz w:val="16"/>
                <w:szCs w:val="16"/>
              </w:rPr>
              <w:t>Emergency Department visits</w:t>
            </w:r>
            <w:r w:rsidRPr="00CA0AE3">
              <w:rPr>
                <w:rFonts w:ascii="Times New Roman" w:hAnsi="Times New Roman" w:cs="Times New Roman"/>
                <w:color w:val="000000"/>
                <w:sz w:val="16"/>
                <w:szCs w:val="16"/>
              </w:rPr>
              <w:t xml:space="preserve"> related to alcohol or substance use.</w:t>
            </w:r>
          </w:p>
        </w:tc>
        <w:tc>
          <w:tcPr>
            <w:tcW w:w="563" w:type="pct"/>
            <w:vAlign w:val="center"/>
          </w:tcPr>
          <w:p w:rsidR="00CA2FE3" w:rsidRPr="00CA0AE3" w:rsidRDefault="00CA2FE3" w:rsidP="00D1633A">
            <w:pPr>
              <w:spacing w:after="0" w:line="240" w:lineRule="auto"/>
              <w:jc w:val="center"/>
              <w:rPr>
                <w:rFonts w:ascii="Times New Roman" w:hAnsi="Times New Roman" w:cs="Times New Roman"/>
                <w:sz w:val="16"/>
                <w:szCs w:val="16"/>
              </w:rPr>
            </w:pPr>
            <w:r w:rsidRPr="00CA0AE3">
              <w:rPr>
                <w:rFonts w:ascii="Times New Roman" w:hAnsi="Times New Roman" w:cs="Times New Roman"/>
                <w:sz w:val="16"/>
                <w:szCs w:val="16"/>
              </w:rPr>
              <w:t>MA Department of Public Health</w:t>
            </w:r>
          </w:p>
          <w:p w:rsidR="00CA2FE3" w:rsidRPr="00CA0AE3" w:rsidRDefault="00CA2FE3" w:rsidP="00D1633A">
            <w:pPr>
              <w:spacing w:after="0" w:line="240" w:lineRule="auto"/>
              <w:jc w:val="center"/>
              <w:rPr>
                <w:rFonts w:ascii="Times New Roman" w:hAnsi="Times New Roman" w:cs="Times New Roman"/>
                <w:sz w:val="16"/>
                <w:szCs w:val="16"/>
              </w:rPr>
            </w:pPr>
            <w:r w:rsidRPr="00CA0AE3">
              <w:rPr>
                <w:rFonts w:ascii="Times New Roman" w:hAnsi="Times New Roman" w:cs="Times New Roman"/>
                <w:sz w:val="16"/>
                <w:szCs w:val="16"/>
              </w:rPr>
              <w:t xml:space="preserve">(Annual) </w:t>
            </w:r>
          </w:p>
        </w:tc>
        <w:tc>
          <w:tcPr>
            <w:tcW w:w="583" w:type="pct"/>
            <w:vAlign w:val="center"/>
          </w:tcPr>
          <w:p w:rsidR="00CA2FE3" w:rsidRPr="00CA0AE3" w:rsidRDefault="00CA2FE3" w:rsidP="00D1633A">
            <w:pPr>
              <w:spacing w:after="0" w:line="240" w:lineRule="auto"/>
              <w:jc w:val="center"/>
              <w:rPr>
                <w:rFonts w:ascii="Times New Roman" w:hAnsi="Times New Roman" w:cs="Times New Roman"/>
                <w:color w:val="000000"/>
                <w:sz w:val="16"/>
                <w:szCs w:val="16"/>
              </w:rPr>
            </w:pPr>
            <w:r w:rsidRPr="00CA0AE3">
              <w:rPr>
                <w:rFonts w:ascii="Times New Roman" w:hAnsi="Times New Roman" w:cs="Times New Roman"/>
                <w:color w:val="000000"/>
                <w:sz w:val="16"/>
                <w:szCs w:val="16"/>
              </w:rPr>
              <w:t>Cambridge, Somerville, Everett, Malden, Revere, Statewide</w:t>
            </w:r>
          </w:p>
        </w:tc>
        <w:tc>
          <w:tcPr>
            <w:tcW w:w="408" w:type="pct"/>
            <w:vAlign w:val="center"/>
          </w:tcPr>
          <w:p w:rsidR="00CA2FE3" w:rsidRPr="00CA0AE3" w:rsidRDefault="00CA2FE3" w:rsidP="00D1633A">
            <w:pPr>
              <w:spacing w:after="0" w:line="240" w:lineRule="auto"/>
              <w:jc w:val="center"/>
              <w:rPr>
                <w:rFonts w:ascii="Times New Roman" w:hAnsi="Times New Roman" w:cs="Times New Roman"/>
                <w:sz w:val="16"/>
                <w:szCs w:val="16"/>
              </w:rPr>
            </w:pPr>
            <w:r w:rsidRPr="00CA0AE3">
              <w:rPr>
                <w:rFonts w:ascii="Times New Roman" w:eastAsia="Times New Roman" w:hAnsi="Times New Roman" w:cs="Times New Roman"/>
                <w:sz w:val="16"/>
                <w:szCs w:val="16"/>
              </w:rPr>
              <w:t>R</w:t>
            </w:r>
          </w:p>
        </w:tc>
        <w:tc>
          <w:tcPr>
            <w:tcW w:w="408" w:type="pct"/>
            <w:vAlign w:val="center"/>
          </w:tcPr>
          <w:p w:rsidR="00CA2FE3" w:rsidRPr="00CA0AE3" w:rsidRDefault="00CA2FE3" w:rsidP="00D1633A">
            <w:pPr>
              <w:spacing w:after="0" w:line="240" w:lineRule="auto"/>
              <w:jc w:val="center"/>
              <w:rPr>
                <w:rFonts w:ascii="Times New Roman" w:eastAsia="Times New Roman" w:hAnsi="Times New Roman" w:cs="Times New Roman"/>
                <w:sz w:val="16"/>
                <w:szCs w:val="16"/>
              </w:rPr>
            </w:pPr>
            <w:r w:rsidRPr="00CA0AE3">
              <w:rPr>
                <w:rFonts w:ascii="Times New Roman" w:eastAsia="Times New Roman" w:hAnsi="Times New Roman" w:cs="Times New Roman"/>
                <w:sz w:val="16"/>
                <w:szCs w:val="16"/>
              </w:rPr>
              <w:t>R</w:t>
            </w:r>
          </w:p>
        </w:tc>
        <w:tc>
          <w:tcPr>
            <w:tcW w:w="408" w:type="pct"/>
            <w:vAlign w:val="center"/>
          </w:tcPr>
          <w:p w:rsidR="00CA2FE3" w:rsidRPr="00CA0AE3" w:rsidRDefault="00CA2FE3" w:rsidP="00D1633A">
            <w:pPr>
              <w:spacing w:after="0" w:line="240" w:lineRule="auto"/>
              <w:jc w:val="center"/>
              <w:rPr>
                <w:rFonts w:ascii="Times New Roman" w:eastAsia="Times New Roman" w:hAnsi="Times New Roman" w:cs="Times New Roman"/>
                <w:sz w:val="16"/>
                <w:szCs w:val="16"/>
              </w:rPr>
            </w:pPr>
            <w:r w:rsidRPr="00CA0AE3">
              <w:rPr>
                <w:rFonts w:ascii="Times New Roman" w:eastAsia="Times New Roman" w:hAnsi="Times New Roman" w:cs="Times New Roman"/>
                <w:sz w:val="16"/>
                <w:szCs w:val="16"/>
              </w:rPr>
              <w:t>R</w:t>
            </w:r>
          </w:p>
        </w:tc>
        <w:tc>
          <w:tcPr>
            <w:tcW w:w="408" w:type="pct"/>
            <w:vAlign w:val="center"/>
          </w:tcPr>
          <w:p w:rsidR="00CA2FE3" w:rsidRPr="00CA0AE3" w:rsidRDefault="00CA2FE3" w:rsidP="00D1633A">
            <w:pPr>
              <w:spacing w:after="0" w:line="240" w:lineRule="auto"/>
              <w:jc w:val="center"/>
              <w:rPr>
                <w:rFonts w:ascii="Times New Roman" w:eastAsia="Times New Roman" w:hAnsi="Times New Roman" w:cs="Times New Roman"/>
                <w:sz w:val="16"/>
                <w:szCs w:val="16"/>
              </w:rPr>
            </w:pPr>
            <w:r w:rsidRPr="00CA0AE3">
              <w:rPr>
                <w:rFonts w:ascii="Times New Roman" w:eastAsia="Times New Roman" w:hAnsi="Times New Roman" w:cs="Times New Roman"/>
                <w:sz w:val="16"/>
                <w:szCs w:val="16"/>
              </w:rPr>
              <w:t>R</w:t>
            </w:r>
          </w:p>
        </w:tc>
        <w:tc>
          <w:tcPr>
            <w:tcW w:w="408" w:type="pct"/>
            <w:vAlign w:val="center"/>
          </w:tcPr>
          <w:p w:rsidR="00CA2FE3" w:rsidRPr="00CA0AE3" w:rsidRDefault="00CA2FE3" w:rsidP="00D1633A">
            <w:pPr>
              <w:spacing w:after="0" w:line="240" w:lineRule="auto"/>
              <w:jc w:val="center"/>
              <w:rPr>
                <w:rFonts w:ascii="Times New Roman" w:eastAsia="Times New Roman" w:hAnsi="Times New Roman" w:cs="Times New Roman"/>
                <w:sz w:val="16"/>
                <w:szCs w:val="16"/>
              </w:rPr>
            </w:pPr>
            <w:r w:rsidRPr="00CA0AE3">
              <w:rPr>
                <w:rFonts w:ascii="Times New Roman" w:eastAsia="Times New Roman" w:hAnsi="Times New Roman" w:cs="Times New Roman"/>
                <w:sz w:val="16"/>
                <w:szCs w:val="16"/>
              </w:rPr>
              <w:t>R</w:t>
            </w:r>
          </w:p>
        </w:tc>
      </w:tr>
      <w:tr w:rsidR="00CA2FE3" w:rsidRPr="00CA0AE3" w:rsidTr="003C48F3">
        <w:trPr>
          <w:cantSplit/>
        </w:trPr>
        <w:tc>
          <w:tcPr>
            <w:tcW w:w="394" w:type="pct"/>
            <w:noWrap/>
            <w:vAlign w:val="center"/>
          </w:tcPr>
          <w:p w:rsidR="00CA2FE3" w:rsidRPr="00CA0AE3" w:rsidRDefault="00CA2FE3" w:rsidP="00D1633A">
            <w:pPr>
              <w:spacing w:after="0" w:line="240" w:lineRule="auto"/>
              <w:jc w:val="center"/>
              <w:rPr>
                <w:rFonts w:ascii="Times New Roman" w:hAnsi="Times New Roman" w:cs="Times New Roman"/>
                <w:sz w:val="16"/>
                <w:szCs w:val="16"/>
              </w:rPr>
            </w:pPr>
            <w:r w:rsidRPr="00CA0AE3">
              <w:rPr>
                <w:rFonts w:ascii="Times New Roman" w:hAnsi="Times New Roman" w:cs="Times New Roman"/>
                <w:sz w:val="16"/>
                <w:szCs w:val="16"/>
              </w:rPr>
              <w:t>11</w:t>
            </w:r>
          </w:p>
        </w:tc>
        <w:tc>
          <w:tcPr>
            <w:tcW w:w="1420" w:type="pct"/>
            <w:vAlign w:val="center"/>
          </w:tcPr>
          <w:p w:rsidR="00CA2FE3" w:rsidRPr="00CA0AE3" w:rsidRDefault="00CA2FE3" w:rsidP="00D1633A">
            <w:pPr>
              <w:spacing w:after="0" w:line="240" w:lineRule="auto"/>
              <w:jc w:val="center"/>
              <w:rPr>
                <w:rFonts w:ascii="Times New Roman" w:hAnsi="Times New Roman" w:cs="Times New Roman"/>
                <w:color w:val="000000"/>
                <w:sz w:val="16"/>
                <w:szCs w:val="16"/>
              </w:rPr>
            </w:pPr>
            <w:r w:rsidRPr="00CA0AE3">
              <w:rPr>
                <w:rFonts w:ascii="Times New Roman" w:hAnsi="Times New Roman" w:cs="Times New Roman"/>
                <w:color w:val="000000"/>
                <w:sz w:val="16"/>
                <w:szCs w:val="16"/>
              </w:rPr>
              <w:t xml:space="preserve">Age-adjusted rate* per 100,000 </w:t>
            </w:r>
            <w:r w:rsidRPr="00CA0AE3">
              <w:rPr>
                <w:rFonts w:ascii="Times New Roman" w:hAnsi="Times New Roman" w:cs="Times New Roman"/>
                <w:sz w:val="16"/>
                <w:szCs w:val="16"/>
              </w:rPr>
              <w:t>for Emergency Department visits</w:t>
            </w:r>
            <w:r w:rsidRPr="00CA0AE3">
              <w:rPr>
                <w:rFonts w:ascii="Times New Roman" w:hAnsi="Times New Roman" w:cs="Times New Roman"/>
                <w:color w:val="000000"/>
                <w:sz w:val="16"/>
                <w:szCs w:val="16"/>
              </w:rPr>
              <w:t xml:space="preserve"> related to Opioid poisoning.</w:t>
            </w:r>
          </w:p>
        </w:tc>
        <w:tc>
          <w:tcPr>
            <w:tcW w:w="563" w:type="pct"/>
            <w:vAlign w:val="center"/>
          </w:tcPr>
          <w:p w:rsidR="00CA2FE3" w:rsidRPr="00CA0AE3" w:rsidRDefault="00CA2FE3" w:rsidP="00D1633A">
            <w:pPr>
              <w:spacing w:after="0" w:line="240" w:lineRule="auto"/>
              <w:jc w:val="center"/>
              <w:rPr>
                <w:rFonts w:ascii="Times New Roman" w:hAnsi="Times New Roman" w:cs="Times New Roman"/>
                <w:sz w:val="16"/>
                <w:szCs w:val="16"/>
              </w:rPr>
            </w:pPr>
            <w:r w:rsidRPr="00CA0AE3">
              <w:rPr>
                <w:rFonts w:ascii="Times New Roman" w:hAnsi="Times New Roman" w:cs="Times New Roman"/>
                <w:sz w:val="16"/>
                <w:szCs w:val="16"/>
              </w:rPr>
              <w:t>MA Department of Public Health</w:t>
            </w:r>
          </w:p>
          <w:p w:rsidR="00CA2FE3" w:rsidRPr="00CA0AE3" w:rsidRDefault="00CA2FE3" w:rsidP="00D1633A">
            <w:pPr>
              <w:spacing w:after="0" w:line="240" w:lineRule="auto"/>
              <w:jc w:val="center"/>
              <w:rPr>
                <w:rFonts w:ascii="Times New Roman" w:hAnsi="Times New Roman" w:cs="Times New Roman"/>
                <w:sz w:val="16"/>
                <w:szCs w:val="16"/>
              </w:rPr>
            </w:pPr>
            <w:r w:rsidRPr="00CA0AE3">
              <w:rPr>
                <w:rFonts w:ascii="Times New Roman" w:hAnsi="Times New Roman" w:cs="Times New Roman"/>
                <w:sz w:val="16"/>
                <w:szCs w:val="16"/>
              </w:rPr>
              <w:t xml:space="preserve">(Annual) </w:t>
            </w:r>
          </w:p>
        </w:tc>
        <w:tc>
          <w:tcPr>
            <w:tcW w:w="583" w:type="pct"/>
            <w:vAlign w:val="center"/>
          </w:tcPr>
          <w:p w:rsidR="00CA2FE3" w:rsidRPr="00CA0AE3" w:rsidRDefault="00CA2FE3" w:rsidP="00D1633A">
            <w:pPr>
              <w:spacing w:after="0" w:line="240" w:lineRule="auto"/>
              <w:jc w:val="center"/>
              <w:rPr>
                <w:rFonts w:ascii="Times New Roman" w:hAnsi="Times New Roman" w:cs="Times New Roman"/>
                <w:color w:val="000000"/>
                <w:sz w:val="16"/>
                <w:szCs w:val="16"/>
              </w:rPr>
            </w:pPr>
            <w:r w:rsidRPr="00CA0AE3">
              <w:rPr>
                <w:rFonts w:ascii="Times New Roman" w:hAnsi="Times New Roman" w:cs="Times New Roman"/>
                <w:color w:val="000000"/>
                <w:sz w:val="16"/>
                <w:szCs w:val="16"/>
              </w:rPr>
              <w:t>Cambridge, Somerville, Everett, Malden, Revere, Statewide</w:t>
            </w:r>
          </w:p>
        </w:tc>
        <w:tc>
          <w:tcPr>
            <w:tcW w:w="408" w:type="pct"/>
            <w:vAlign w:val="center"/>
          </w:tcPr>
          <w:p w:rsidR="00CA2FE3" w:rsidRPr="00CA0AE3" w:rsidRDefault="00CA2FE3" w:rsidP="00D1633A">
            <w:pPr>
              <w:spacing w:after="0" w:line="240" w:lineRule="auto"/>
              <w:jc w:val="center"/>
              <w:rPr>
                <w:rFonts w:ascii="Times New Roman" w:hAnsi="Times New Roman" w:cs="Times New Roman"/>
                <w:sz w:val="16"/>
                <w:szCs w:val="16"/>
              </w:rPr>
            </w:pPr>
            <w:r w:rsidRPr="00CA0AE3">
              <w:rPr>
                <w:rFonts w:ascii="Times New Roman" w:eastAsia="Times New Roman" w:hAnsi="Times New Roman" w:cs="Times New Roman"/>
                <w:sz w:val="16"/>
                <w:szCs w:val="16"/>
              </w:rPr>
              <w:t>R</w:t>
            </w:r>
          </w:p>
        </w:tc>
        <w:tc>
          <w:tcPr>
            <w:tcW w:w="408" w:type="pct"/>
            <w:vAlign w:val="center"/>
          </w:tcPr>
          <w:p w:rsidR="00CA2FE3" w:rsidRPr="00CA0AE3" w:rsidRDefault="00CA2FE3" w:rsidP="00D1633A">
            <w:pPr>
              <w:spacing w:after="0" w:line="240" w:lineRule="auto"/>
              <w:jc w:val="center"/>
              <w:rPr>
                <w:rFonts w:ascii="Times New Roman" w:eastAsia="Times New Roman" w:hAnsi="Times New Roman" w:cs="Times New Roman"/>
                <w:sz w:val="16"/>
                <w:szCs w:val="16"/>
              </w:rPr>
            </w:pPr>
            <w:r w:rsidRPr="00CA0AE3">
              <w:rPr>
                <w:rFonts w:ascii="Times New Roman" w:eastAsia="Times New Roman" w:hAnsi="Times New Roman" w:cs="Times New Roman"/>
                <w:sz w:val="16"/>
                <w:szCs w:val="16"/>
              </w:rPr>
              <w:t>R</w:t>
            </w:r>
          </w:p>
        </w:tc>
        <w:tc>
          <w:tcPr>
            <w:tcW w:w="408" w:type="pct"/>
            <w:vAlign w:val="center"/>
          </w:tcPr>
          <w:p w:rsidR="00CA2FE3" w:rsidRPr="00CA0AE3" w:rsidRDefault="00CA2FE3" w:rsidP="00D1633A">
            <w:pPr>
              <w:spacing w:after="0" w:line="240" w:lineRule="auto"/>
              <w:jc w:val="center"/>
              <w:rPr>
                <w:rFonts w:ascii="Times New Roman" w:eastAsia="Times New Roman" w:hAnsi="Times New Roman" w:cs="Times New Roman"/>
                <w:sz w:val="16"/>
                <w:szCs w:val="16"/>
              </w:rPr>
            </w:pPr>
            <w:r w:rsidRPr="00CA0AE3">
              <w:rPr>
                <w:rFonts w:ascii="Times New Roman" w:eastAsia="Times New Roman" w:hAnsi="Times New Roman" w:cs="Times New Roman"/>
                <w:sz w:val="16"/>
                <w:szCs w:val="16"/>
              </w:rPr>
              <w:t>R</w:t>
            </w:r>
          </w:p>
        </w:tc>
        <w:tc>
          <w:tcPr>
            <w:tcW w:w="408" w:type="pct"/>
            <w:vAlign w:val="center"/>
          </w:tcPr>
          <w:p w:rsidR="00CA2FE3" w:rsidRPr="00CA0AE3" w:rsidRDefault="00CA2FE3" w:rsidP="00D1633A">
            <w:pPr>
              <w:spacing w:after="0" w:line="240" w:lineRule="auto"/>
              <w:jc w:val="center"/>
              <w:rPr>
                <w:rFonts w:ascii="Times New Roman" w:eastAsia="Times New Roman" w:hAnsi="Times New Roman" w:cs="Times New Roman"/>
                <w:sz w:val="16"/>
                <w:szCs w:val="16"/>
              </w:rPr>
            </w:pPr>
            <w:r w:rsidRPr="00CA0AE3">
              <w:rPr>
                <w:rFonts w:ascii="Times New Roman" w:eastAsia="Times New Roman" w:hAnsi="Times New Roman" w:cs="Times New Roman"/>
                <w:sz w:val="16"/>
                <w:szCs w:val="16"/>
              </w:rPr>
              <w:t>R</w:t>
            </w:r>
          </w:p>
        </w:tc>
        <w:tc>
          <w:tcPr>
            <w:tcW w:w="408" w:type="pct"/>
            <w:vAlign w:val="center"/>
          </w:tcPr>
          <w:p w:rsidR="00CA2FE3" w:rsidRPr="00CA0AE3" w:rsidRDefault="00CA2FE3" w:rsidP="00D1633A">
            <w:pPr>
              <w:spacing w:after="0" w:line="240" w:lineRule="auto"/>
              <w:jc w:val="center"/>
              <w:rPr>
                <w:rFonts w:ascii="Times New Roman" w:eastAsia="Times New Roman" w:hAnsi="Times New Roman" w:cs="Times New Roman"/>
                <w:sz w:val="16"/>
                <w:szCs w:val="16"/>
              </w:rPr>
            </w:pPr>
            <w:r w:rsidRPr="00CA0AE3">
              <w:rPr>
                <w:rFonts w:ascii="Times New Roman" w:eastAsia="Times New Roman" w:hAnsi="Times New Roman" w:cs="Times New Roman"/>
                <w:sz w:val="16"/>
                <w:szCs w:val="16"/>
              </w:rPr>
              <w:t>R</w:t>
            </w:r>
          </w:p>
        </w:tc>
      </w:tr>
      <w:tr w:rsidR="00CA2FE3" w:rsidRPr="00CA0AE3" w:rsidTr="003C48F3">
        <w:trPr>
          <w:cantSplit/>
        </w:trPr>
        <w:tc>
          <w:tcPr>
            <w:tcW w:w="394" w:type="pct"/>
            <w:noWrap/>
            <w:vAlign w:val="center"/>
          </w:tcPr>
          <w:p w:rsidR="00CA2FE3" w:rsidRPr="00CA0AE3" w:rsidRDefault="00CA2FE3" w:rsidP="00D1633A">
            <w:pPr>
              <w:spacing w:after="0" w:line="240" w:lineRule="auto"/>
              <w:jc w:val="center"/>
              <w:rPr>
                <w:rFonts w:ascii="Times New Roman" w:hAnsi="Times New Roman" w:cs="Times New Roman"/>
                <w:sz w:val="16"/>
                <w:szCs w:val="16"/>
              </w:rPr>
            </w:pPr>
            <w:r w:rsidRPr="00CA0AE3">
              <w:rPr>
                <w:rFonts w:ascii="Times New Roman" w:hAnsi="Times New Roman" w:cs="Times New Roman"/>
                <w:sz w:val="16"/>
                <w:szCs w:val="16"/>
              </w:rPr>
              <w:t>12</w:t>
            </w:r>
          </w:p>
        </w:tc>
        <w:tc>
          <w:tcPr>
            <w:tcW w:w="1420" w:type="pct"/>
            <w:vAlign w:val="center"/>
          </w:tcPr>
          <w:p w:rsidR="00CA2FE3" w:rsidRPr="00CA0AE3" w:rsidRDefault="00CA2FE3" w:rsidP="00D1633A">
            <w:pPr>
              <w:spacing w:after="0" w:line="240" w:lineRule="auto"/>
              <w:jc w:val="center"/>
              <w:rPr>
                <w:rFonts w:ascii="Times New Roman" w:hAnsi="Times New Roman" w:cs="Times New Roman"/>
                <w:color w:val="000000"/>
                <w:sz w:val="16"/>
                <w:szCs w:val="16"/>
              </w:rPr>
            </w:pPr>
            <w:r w:rsidRPr="00CA0AE3">
              <w:rPr>
                <w:rFonts w:ascii="Times New Roman" w:hAnsi="Times New Roman" w:cs="Times New Roman"/>
                <w:color w:val="000000"/>
                <w:sz w:val="16"/>
                <w:szCs w:val="16"/>
              </w:rPr>
              <w:t xml:space="preserve">Age-adjusted rate* per 100,000 for </w:t>
            </w:r>
            <w:r w:rsidRPr="00CA0AE3">
              <w:rPr>
                <w:rFonts w:ascii="Times New Roman" w:hAnsi="Times New Roman" w:cs="Times New Roman"/>
                <w:sz w:val="16"/>
                <w:szCs w:val="16"/>
              </w:rPr>
              <w:t>hospitalizations related to</w:t>
            </w:r>
            <w:r w:rsidRPr="00CA0AE3">
              <w:rPr>
                <w:rFonts w:ascii="Times New Roman" w:hAnsi="Times New Roman" w:cs="Times New Roman"/>
                <w:color w:val="000000"/>
                <w:sz w:val="16"/>
                <w:szCs w:val="16"/>
              </w:rPr>
              <w:t xml:space="preserve"> Hypertension.</w:t>
            </w:r>
          </w:p>
        </w:tc>
        <w:tc>
          <w:tcPr>
            <w:tcW w:w="563" w:type="pct"/>
            <w:vAlign w:val="center"/>
          </w:tcPr>
          <w:p w:rsidR="00CA2FE3" w:rsidRPr="00CA0AE3" w:rsidRDefault="00CA2FE3" w:rsidP="00D1633A">
            <w:pPr>
              <w:spacing w:after="0" w:line="240" w:lineRule="auto"/>
              <w:jc w:val="center"/>
              <w:rPr>
                <w:rFonts w:ascii="Times New Roman" w:hAnsi="Times New Roman" w:cs="Times New Roman"/>
                <w:sz w:val="16"/>
                <w:szCs w:val="16"/>
              </w:rPr>
            </w:pPr>
            <w:r w:rsidRPr="00CA0AE3">
              <w:rPr>
                <w:rFonts w:ascii="Times New Roman" w:hAnsi="Times New Roman" w:cs="Times New Roman"/>
                <w:sz w:val="16"/>
                <w:szCs w:val="16"/>
              </w:rPr>
              <w:t>MA Department of Public Health</w:t>
            </w:r>
          </w:p>
          <w:p w:rsidR="00CA2FE3" w:rsidRPr="00CA0AE3" w:rsidRDefault="00CA2FE3" w:rsidP="00D1633A">
            <w:pPr>
              <w:spacing w:after="0" w:line="240" w:lineRule="auto"/>
              <w:jc w:val="center"/>
              <w:rPr>
                <w:rFonts w:ascii="Times New Roman" w:hAnsi="Times New Roman" w:cs="Times New Roman"/>
                <w:sz w:val="16"/>
                <w:szCs w:val="16"/>
              </w:rPr>
            </w:pPr>
            <w:r w:rsidRPr="00CA0AE3">
              <w:rPr>
                <w:rFonts w:ascii="Times New Roman" w:hAnsi="Times New Roman" w:cs="Times New Roman"/>
                <w:sz w:val="16"/>
                <w:szCs w:val="16"/>
              </w:rPr>
              <w:t xml:space="preserve">(Annual) </w:t>
            </w:r>
          </w:p>
        </w:tc>
        <w:tc>
          <w:tcPr>
            <w:tcW w:w="583" w:type="pct"/>
            <w:vAlign w:val="center"/>
          </w:tcPr>
          <w:p w:rsidR="00CA2FE3" w:rsidRPr="00CA0AE3" w:rsidRDefault="00CA2FE3" w:rsidP="00D1633A">
            <w:pPr>
              <w:spacing w:after="0" w:line="240" w:lineRule="auto"/>
              <w:jc w:val="center"/>
              <w:rPr>
                <w:rFonts w:ascii="Times New Roman" w:hAnsi="Times New Roman" w:cs="Times New Roman"/>
                <w:color w:val="000000"/>
                <w:sz w:val="16"/>
                <w:szCs w:val="16"/>
              </w:rPr>
            </w:pPr>
            <w:r w:rsidRPr="00CA0AE3">
              <w:rPr>
                <w:rFonts w:ascii="Times New Roman" w:hAnsi="Times New Roman" w:cs="Times New Roman"/>
                <w:color w:val="000000"/>
                <w:sz w:val="16"/>
                <w:szCs w:val="16"/>
              </w:rPr>
              <w:t>Cambridge, Somerville, Everett, Malden, Revere, Statewide</w:t>
            </w:r>
          </w:p>
        </w:tc>
        <w:tc>
          <w:tcPr>
            <w:tcW w:w="408" w:type="pct"/>
            <w:vAlign w:val="center"/>
          </w:tcPr>
          <w:p w:rsidR="00CA2FE3" w:rsidRPr="00CA0AE3" w:rsidRDefault="00CA2FE3" w:rsidP="00D1633A">
            <w:pPr>
              <w:spacing w:after="0" w:line="240" w:lineRule="auto"/>
              <w:jc w:val="center"/>
              <w:rPr>
                <w:rFonts w:ascii="Times New Roman" w:hAnsi="Times New Roman" w:cs="Times New Roman"/>
                <w:sz w:val="16"/>
                <w:szCs w:val="16"/>
              </w:rPr>
            </w:pPr>
            <w:r w:rsidRPr="00CA0AE3">
              <w:rPr>
                <w:rFonts w:ascii="Times New Roman" w:eastAsia="Times New Roman" w:hAnsi="Times New Roman" w:cs="Times New Roman"/>
                <w:sz w:val="16"/>
                <w:szCs w:val="16"/>
              </w:rPr>
              <w:t>R</w:t>
            </w:r>
          </w:p>
        </w:tc>
        <w:tc>
          <w:tcPr>
            <w:tcW w:w="408" w:type="pct"/>
            <w:vAlign w:val="center"/>
          </w:tcPr>
          <w:p w:rsidR="00CA2FE3" w:rsidRPr="00CA0AE3" w:rsidRDefault="00CA2FE3" w:rsidP="00D1633A">
            <w:pPr>
              <w:spacing w:after="0" w:line="240" w:lineRule="auto"/>
              <w:jc w:val="center"/>
              <w:rPr>
                <w:rFonts w:ascii="Times New Roman" w:eastAsia="Times New Roman" w:hAnsi="Times New Roman" w:cs="Times New Roman"/>
                <w:sz w:val="16"/>
                <w:szCs w:val="16"/>
              </w:rPr>
            </w:pPr>
            <w:r w:rsidRPr="00CA0AE3">
              <w:rPr>
                <w:rFonts w:ascii="Times New Roman" w:eastAsia="Times New Roman" w:hAnsi="Times New Roman" w:cs="Times New Roman"/>
                <w:sz w:val="16"/>
                <w:szCs w:val="16"/>
              </w:rPr>
              <w:t>R</w:t>
            </w:r>
          </w:p>
        </w:tc>
        <w:tc>
          <w:tcPr>
            <w:tcW w:w="408" w:type="pct"/>
            <w:vAlign w:val="center"/>
          </w:tcPr>
          <w:p w:rsidR="00CA2FE3" w:rsidRPr="00CA0AE3" w:rsidRDefault="00CA2FE3" w:rsidP="00D1633A">
            <w:pPr>
              <w:spacing w:after="0" w:line="240" w:lineRule="auto"/>
              <w:jc w:val="center"/>
              <w:rPr>
                <w:rFonts w:ascii="Times New Roman" w:eastAsia="Times New Roman" w:hAnsi="Times New Roman" w:cs="Times New Roman"/>
                <w:sz w:val="16"/>
                <w:szCs w:val="16"/>
              </w:rPr>
            </w:pPr>
            <w:r w:rsidRPr="00CA0AE3">
              <w:rPr>
                <w:rFonts w:ascii="Times New Roman" w:eastAsia="Times New Roman" w:hAnsi="Times New Roman" w:cs="Times New Roman"/>
                <w:sz w:val="16"/>
                <w:szCs w:val="16"/>
              </w:rPr>
              <w:t>R</w:t>
            </w:r>
          </w:p>
        </w:tc>
        <w:tc>
          <w:tcPr>
            <w:tcW w:w="408" w:type="pct"/>
            <w:vAlign w:val="center"/>
          </w:tcPr>
          <w:p w:rsidR="00CA2FE3" w:rsidRPr="00CA0AE3" w:rsidRDefault="00CA2FE3" w:rsidP="00D1633A">
            <w:pPr>
              <w:spacing w:after="0" w:line="240" w:lineRule="auto"/>
              <w:jc w:val="center"/>
              <w:rPr>
                <w:rFonts w:ascii="Times New Roman" w:eastAsia="Times New Roman" w:hAnsi="Times New Roman" w:cs="Times New Roman"/>
                <w:sz w:val="16"/>
                <w:szCs w:val="16"/>
              </w:rPr>
            </w:pPr>
            <w:r w:rsidRPr="00CA0AE3">
              <w:rPr>
                <w:rFonts w:ascii="Times New Roman" w:eastAsia="Times New Roman" w:hAnsi="Times New Roman" w:cs="Times New Roman"/>
                <w:sz w:val="16"/>
                <w:szCs w:val="16"/>
              </w:rPr>
              <w:t>R</w:t>
            </w:r>
          </w:p>
        </w:tc>
        <w:tc>
          <w:tcPr>
            <w:tcW w:w="408" w:type="pct"/>
            <w:vAlign w:val="center"/>
          </w:tcPr>
          <w:p w:rsidR="00CA2FE3" w:rsidRPr="00CA0AE3" w:rsidRDefault="00CA2FE3" w:rsidP="00D1633A">
            <w:pPr>
              <w:spacing w:after="0" w:line="240" w:lineRule="auto"/>
              <w:jc w:val="center"/>
              <w:rPr>
                <w:rFonts w:ascii="Times New Roman" w:eastAsia="Times New Roman" w:hAnsi="Times New Roman" w:cs="Times New Roman"/>
                <w:sz w:val="16"/>
                <w:szCs w:val="16"/>
              </w:rPr>
            </w:pPr>
            <w:r w:rsidRPr="00CA0AE3">
              <w:rPr>
                <w:rFonts w:ascii="Times New Roman" w:eastAsia="Times New Roman" w:hAnsi="Times New Roman" w:cs="Times New Roman"/>
                <w:sz w:val="16"/>
                <w:szCs w:val="16"/>
              </w:rPr>
              <w:t>R</w:t>
            </w:r>
          </w:p>
        </w:tc>
      </w:tr>
      <w:tr w:rsidR="00CA2FE3" w:rsidRPr="00CA0AE3" w:rsidTr="003C48F3">
        <w:trPr>
          <w:cantSplit/>
        </w:trPr>
        <w:tc>
          <w:tcPr>
            <w:tcW w:w="394" w:type="pct"/>
            <w:noWrap/>
            <w:vAlign w:val="center"/>
          </w:tcPr>
          <w:p w:rsidR="00CA2FE3" w:rsidRPr="00CA0AE3" w:rsidRDefault="00CA2FE3" w:rsidP="00D1633A">
            <w:pPr>
              <w:spacing w:after="0" w:line="240" w:lineRule="auto"/>
              <w:jc w:val="center"/>
              <w:rPr>
                <w:rFonts w:ascii="Times New Roman" w:hAnsi="Times New Roman" w:cs="Times New Roman"/>
                <w:sz w:val="16"/>
                <w:szCs w:val="16"/>
              </w:rPr>
            </w:pPr>
            <w:r w:rsidRPr="00CA0AE3">
              <w:rPr>
                <w:rFonts w:ascii="Times New Roman" w:hAnsi="Times New Roman" w:cs="Times New Roman"/>
                <w:sz w:val="16"/>
                <w:szCs w:val="16"/>
              </w:rPr>
              <w:t>13</w:t>
            </w:r>
          </w:p>
        </w:tc>
        <w:tc>
          <w:tcPr>
            <w:tcW w:w="1420" w:type="pct"/>
            <w:vAlign w:val="center"/>
          </w:tcPr>
          <w:p w:rsidR="00CA2FE3" w:rsidRPr="00CA0AE3" w:rsidRDefault="00CA2FE3" w:rsidP="00D1633A">
            <w:pPr>
              <w:spacing w:after="0" w:line="240" w:lineRule="auto"/>
              <w:jc w:val="center"/>
              <w:rPr>
                <w:rFonts w:ascii="Times New Roman" w:hAnsi="Times New Roman" w:cs="Times New Roman"/>
                <w:color w:val="000000"/>
                <w:sz w:val="16"/>
                <w:szCs w:val="16"/>
              </w:rPr>
            </w:pPr>
            <w:r w:rsidRPr="00CA0AE3">
              <w:rPr>
                <w:rFonts w:ascii="Times New Roman" w:hAnsi="Times New Roman" w:cs="Times New Roman"/>
                <w:color w:val="000000"/>
                <w:sz w:val="16"/>
                <w:szCs w:val="16"/>
              </w:rPr>
              <w:t>Age-adjusted rate* per 100,000 for</w:t>
            </w:r>
          </w:p>
          <w:p w:rsidR="00CA2FE3" w:rsidRPr="00CA0AE3" w:rsidRDefault="00CA2FE3" w:rsidP="00D1633A">
            <w:pPr>
              <w:spacing w:after="0" w:line="240" w:lineRule="auto"/>
              <w:jc w:val="center"/>
              <w:rPr>
                <w:rFonts w:ascii="Times New Roman" w:hAnsi="Times New Roman" w:cs="Times New Roman"/>
                <w:sz w:val="16"/>
                <w:szCs w:val="16"/>
              </w:rPr>
            </w:pPr>
            <w:r w:rsidRPr="00CA0AE3">
              <w:rPr>
                <w:rFonts w:ascii="Times New Roman" w:hAnsi="Times New Roman" w:cs="Times New Roman"/>
                <w:color w:val="000000"/>
                <w:sz w:val="16"/>
                <w:szCs w:val="16"/>
              </w:rPr>
              <w:t xml:space="preserve">1) </w:t>
            </w:r>
            <w:r w:rsidRPr="00CA0AE3">
              <w:rPr>
                <w:rFonts w:ascii="Times New Roman" w:hAnsi="Times New Roman" w:cs="Times New Roman"/>
                <w:sz w:val="16"/>
                <w:szCs w:val="16"/>
              </w:rPr>
              <w:t>hospitalizations and</w:t>
            </w:r>
          </w:p>
          <w:p w:rsidR="00CA2FE3" w:rsidRPr="00CA0AE3" w:rsidRDefault="00CA2FE3" w:rsidP="00D1633A">
            <w:pPr>
              <w:spacing w:after="0" w:line="240" w:lineRule="auto"/>
              <w:jc w:val="center"/>
              <w:rPr>
                <w:rFonts w:ascii="Times New Roman" w:hAnsi="Times New Roman" w:cs="Times New Roman"/>
                <w:sz w:val="16"/>
                <w:szCs w:val="16"/>
              </w:rPr>
            </w:pPr>
            <w:r w:rsidRPr="00CA0AE3">
              <w:rPr>
                <w:rFonts w:ascii="Times New Roman" w:hAnsi="Times New Roman" w:cs="Times New Roman"/>
                <w:sz w:val="16"/>
                <w:szCs w:val="16"/>
              </w:rPr>
              <w:t>2) Emergency Department visits</w:t>
            </w:r>
            <w:r w:rsidRPr="00CA0AE3">
              <w:rPr>
                <w:rFonts w:ascii="Times New Roman" w:hAnsi="Times New Roman" w:cs="Times New Roman"/>
                <w:b/>
                <w:color w:val="FF0000"/>
                <w:sz w:val="16"/>
                <w:szCs w:val="16"/>
              </w:rPr>
              <w:t xml:space="preserve"> </w:t>
            </w:r>
            <w:r w:rsidRPr="00CA0AE3">
              <w:rPr>
                <w:rFonts w:ascii="Times New Roman" w:hAnsi="Times New Roman" w:cs="Times New Roman"/>
                <w:sz w:val="16"/>
                <w:szCs w:val="16"/>
              </w:rPr>
              <w:t>related to Renal Failure or Renal Disorder.</w:t>
            </w:r>
          </w:p>
        </w:tc>
        <w:tc>
          <w:tcPr>
            <w:tcW w:w="563" w:type="pct"/>
            <w:vAlign w:val="center"/>
          </w:tcPr>
          <w:p w:rsidR="00CA2FE3" w:rsidRPr="00CA0AE3" w:rsidRDefault="00CA2FE3" w:rsidP="00D1633A">
            <w:pPr>
              <w:spacing w:after="0" w:line="240" w:lineRule="auto"/>
              <w:jc w:val="center"/>
              <w:rPr>
                <w:rFonts w:ascii="Times New Roman" w:hAnsi="Times New Roman" w:cs="Times New Roman"/>
                <w:sz w:val="16"/>
                <w:szCs w:val="16"/>
              </w:rPr>
            </w:pPr>
            <w:r w:rsidRPr="00CA0AE3">
              <w:rPr>
                <w:rFonts w:ascii="Times New Roman" w:hAnsi="Times New Roman" w:cs="Times New Roman"/>
                <w:sz w:val="16"/>
                <w:szCs w:val="16"/>
              </w:rPr>
              <w:t>MA Department of Public Health</w:t>
            </w:r>
          </w:p>
          <w:p w:rsidR="00CA2FE3" w:rsidRPr="00CA0AE3" w:rsidRDefault="00CA2FE3" w:rsidP="00D1633A">
            <w:pPr>
              <w:spacing w:after="0" w:line="240" w:lineRule="auto"/>
              <w:jc w:val="center"/>
              <w:rPr>
                <w:rFonts w:ascii="Times New Roman" w:hAnsi="Times New Roman" w:cs="Times New Roman"/>
                <w:sz w:val="16"/>
                <w:szCs w:val="16"/>
              </w:rPr>
            </w:pPr>
            <w:r w:rsidRPr="00CA0AE3">
              <w:rPr>
                <w:rFonts w:ascii="Times New Roman" w:hAnsi="Times New Roman" w:cs="Times New Roman"/>
                <w:sz w:val="16"/>
                <w:szCs w:val="16"/>
              </w:rPr>
              <w:t xml:space="preserve">(Annual) </w:t>
            </w:r>
          </w:p>
        </w:tc>
        <w:tc>
          <w:tcPr>
            <w:tcW w:w="583" w:type="pct"/>
            <w:vAlign w:val="center"/>
          </w:tcPr>
          <w:p w:rsidR="00CA2FE3" w:rsidRPr="00CA0AE3" w:rsidRDefault="00CA2FE3" w:rsidP="00D1633A">
            <w:pPr>
              <w:spacing w:after="0" w:line="240" w:lineRule="auto"/>
              <w:jc w:val="center"/>
              <w:rPr>
                <w:rFonts w:ascii="Times New Roman" w:hAnsi="Times New Roman" w:cs="Times New Roman"/>
                <w:color w:val="000000"/>
                <w:sz w:val="16"/>
                <w:szCs w:val="16"/>
              </w:rPr>
            </w:pPr>
            <w:r w:rsidRPr="00CA0AE3">
              <w:rPr>
                <w:rFonts w:ascii="Times New Roman" w:hAnsi="Times New Roman" w:cs="Times New Roman"/>
                <w:color w:val="000000"/>
                <w:sz w:val="16"/>
                <w:szCs w:val="16"/>
              </w:rPr>
              <w:t>Cambridge, Somerville, Everett, Malden, Revere, Statewide</w:t>
            </w:r>
          </w:p>
        </w:tc>
        <w:tc>
          <w:tcPr>
            <w:tcW w:w="408" w:type="pct"/>
            <w:vAlign w:val="center"/>
          </w:tcPr>
          <w:p w:rsidR="00CA2FE3" w:rsidRPr="00CA0AE3" w:rsidRDefault="00CA2FE3" w:rsidP="00D1633A">
            <w:pPr>
              <w:spacing w:after="0" w:line="240" w:lineRule="auto"/>
              <w:jc w:val="center"/>
              <w:rPr>
                <w:rFonts w:ascii="Times New Roman" w:hAnsi="Times New Roman" w:cs="Times New Roman"/>
                <w:sz w:val="16"/>
                <w:szCs w:val="16"/>
              </w:rPr>
            </w:pPr>
            <w:r w:rsidRPr="00CA0AE3">
              <w:rPr>
                <w:rFonts w:ascii="Times New Roman" w:eastAsia="Times New Roman" w:hAnsi="Times New Roman" w:cs="Times New Roman"/>
                <w:sz w:val="16"/>
                <w:szCs w:val="16"/>
              </w:rPr>
              <w:t>R</w:t>
            </w:r>
          </w:p>
        </w:tc>
        <w:tc>
          <w:tcPr>
            <w:tcW w:w="408" w:type="pct"/>
            <w:vAlign w:val="center"/>
          </w:tcPr>
          <w:p w:rsidR="00CA2FE3" w:rsidRPr="00CA0AE3" w:rsidRDefault="00CA2FE3" w:rsidP="00D1633A">
            <w:pPr>
              <w:spacing w:after="0" w:line="240" w:lineRule="auto"/>
              <w:jc w:val="center"/>
              <w:rPr>
                <w:rFonts w:ascii="Times New Roman" w:eastAsia="Times New Roman" w:hAnsi="Times New Roman" w:cs="Times New Roman"/>
                <w:sz w:val="16"/>
                <w:szCs w:val="16"/>
              </w:rPr>
            </w:pPr>
            <w:r w:rsidRPr="00CA0AE3">
              <w:rPr>
                <w:rFonts w:ascii="Times New Roman" w:eastAsia="Times New Roman" w:hAnsi="Times New Roman" w:cs="Times New Roman"/>
                <w:sz w:val="16"/>
                <w:szCs w:val="16"/>
              </w:rPr>
              <w:t>R</w:t>
            </w:r>
          </w:p>
        </w:tc>
        <w:tc>
          <w:tcPr>
            <w:tcW w:w="408" w:type="pct"/>
            <w:vAlign w:val="center"/>
          </w:tcPr>
          <w:p w:rsidR="00CA2FE3" w:rsidRPr="00CA0AE3" w:rsidRDefault="00CA2FE3" w:rsidP="00D1633A">
            <w:pPr>
              <w:spacing w:after="0" w:line="240" w:lineRule="auto"/>
              <w:jc w:val="center"/>
              <w:rPr>
                <w:rFonts w:ascii="Times New Roman" w:eastAsia="Times New Roman" w:hAnsi="Times New Roman" w:cs="Times New Roman"/>
                <w:sz w:val="16"/>
                <w:szCs w:val="16"/>
              </w:rPr>
            </w:pPr>
            <w:r w:rsidRPr="00CA0AE3">
              <w:rPr>
                <w:rFonts w:ascii="Times New Roman" w:eastAsia="Times New Roman" w:hAnsi="Times New Roman" w:cs="Times New Roman"/>
                <w:sz w:val="16"/>
                <w:szCs w:val="16"/>
              </w:rPr>
              <w:t>R</w:t>
            </w:r>
          </w:p>
        </w:tc>
        <w:tc>
          <w:tcPr>
            <w:tcW w:w="408" w:type="pct"/>
            <w:vAlign w:val="center"/>
          </w:tcPr>
          <w:p w:rsidR="00CA2FE3" w:rsidRPr="00CA0AE3" w:rsidRDefault="00CA2FE3" w:rsidP="00D1633A">
            <w:pPr>
              <w:spacing w:after="0" w:line="240" w:lineRule="auto"/>
              <w:jc w:val="center"/>
              <w:rPr>
                <w:rFonts w:ascii="Times New Roman" w:eastAsia="Times New Roman" w:hAnsi="Times New Roman" w:cs="Times New Roman"/>
                <w:sz w:val="16"/>
                <w:szCs w:val="16"/>
              </w:rPr>
            </w:pPr>
            <w:r w:rsidRPr="00CA0AE3">
              <w:rPr>
                <w:rFonts w:ascii="Times New Roman" w:eastAsia="Times New Roman" w:hAnsi="Times New Roman" w:cs="Times New Roman"/>
                <w:sz w:val="16"/>
                <w:szCs w:val="16"/>
              </w:rPr>
              <w:t>R</w:t>
            </w:r>
          </w:p>
        </w:tc>
        <w:tc>
          <w:tcPr>
            <w:tcW w:w="408" w:type="pct"/>
            <w:vAlign w:val="center"/>
          </w:tcPr>
          <w:p w:rsidR="00CA2FE3" w:rsidRPr="00CA0AE3" w:rsidRDefault="00CA2FE3" w:rsidP="00D1633A">
            <w:pPr>
              <w:spacing w:after="0" w:line="240" w:lineRule="auto"/>
              <w:jc w:val="center"/>
              <w:rPr>
                <w:rFonts w:ascii="Times New Roman" w:eastAsia="Times New Roman" w:hAnsi="Times New Roman" w:cs="Times New Roman"/>
                <w:sz w:val="16"/>
                <w:szCs w:val="16"/>
              </w:rPr>
            </w:pPr>
            <w:r w:rsidRPr="00CA0AE3">
              <w:rPr>
                <w:rFonts w:ascii="Times New Roman" w:eastAsia="Times New Roman" w:hAnsi="Times New Roman" w:cs="Times New Roman"/>
                <w:sz w:val="16"/>
                <w:szCs w:val="16"/>
              </w:rPr>
              <w:t>R</w:t>
            </w:r>
          </w:p>
        </w:tc>
      </w:tr>
    </w:tbl>
    <w:p w:rsidR="00CA2FE3" w:rsidRDefault="00CA2FE3" w:rsidP="00CA2FE3">
      <w:pPr>
        <w:autoSpaceDE w:val="0"/>
        <w:autoSpaceDN w:val="0"/>
        <w:adjustRightInd w:val="0"/>
        <w:spacing w:after="0" w:line="240" w:lineRule="auto"/>
        <w:jc w:val="both"/>
      </w:pPr>
    </w:p>
    <w:sectPr w:rsidR="00CA2FE3" w:rsidSect="00147DA7">
      <w:footerReference w:type="default" r:id="rId23"/>
      <w:pgSz w:w="15840" w:h="12240" w:orient="landscape"/>
      <w:pgMar w:top="1440" w:right="1440" w:bottom="1440" w:left="1440" w:header="720" w:footer="72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2E9C" w:rsidRDefault="00942E9C" w:rsidP="006D082D">
      <w:pPr>
        <w:spacing w:after="0" w:line="240" w:lineRule="auto"/>
      </w:pPr>
      <w:r>
        <w:separator/>
      </w:r>
    </w:p>
  </w:endnote>
  <w:endnote w:type="continuationSeparator" w:id="0">
    <w:p w:rsidR="00942E9C" w:rsidRDefault="00942E9C" w:rsidP="006D08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
    <w:altName w:val="Arial Unicode MS"/>
    <w:panose1 w:val="00000000000000000000"/>
    <w:charset w:val="80"/>
    <w:family w:val="auto"/>
    <w:notTrueType/>
    <w:pitch w:val="variable"/>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Garamond">
    <w:panose1 w:val="02020404030301010803"/>
    <w:charset w:val="00"/>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NewCenturySchlbk">
    <w:altName w:val="NewCenturySchlbk"/>
    <w:panose1 w:val="00000000000000000000"/>
    <w:charset w:val="00"/>
    <w:family w:val="roman"/>
    <w:notTrueType/>
    <w:pitch w:val="default"/>
    <w:sig w:usb0="00000003" w:usb1="00000000" w:usb2="00000000" w:usb3="00000000" w:csb0="00000001" w:csb1="00000000"/>
  </w:font>
  <w:font w:name="MyriadPro-Regular">
    <w:altName w:val="MS Gothic"/>
    <w:panose1 w:val="00000000000000000000"/>
    <w:charset w:val="80"/>
    <w:family w:val="swiss"/>
    <w:notTrueType/>
    <w:pitch w:val="default"/>
    <w:sig w:usb0="00000001" w:usb1="08070000" w:usb2="00000010" w:usb3="00000000" w:csb0="0002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Adobe Garamond Pro">
    <w:altName w:val="Adobe Garamond Pro"/>
    <w:panose1 w:val="00000000000000000000"/>
    <w:charset w:val="00"/>
    <w:family w:val="roman"/>
    <w:notTrueType/>
    <w:pitch w:val="default"/>
    <w:sig w:usb0="00000003" w:usb1="00000000" w:usb2="00000000" w:usb3="00000000" w:csb0="00000001" w:csb1="00000000"/>
  </w:font>
  <w:font w:name="Univers 47 CondensedLight">
    <w:altName w:val="Univers 47 CondensedLight"/>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06CC" w:rsidRDefault="005B06CC">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5838869"/>
      <w:docPartObj>
        <w:docPartGallery w:val="Page Numbers (Bottom of Page)"/>
        <w:docPartUnique/>
      </w:docPartObj>
    </w:sdtPr>
    <w:sdtEndPr>
      <w:rPr>
        <w:sz w:val="20"/>
        <w:szCs w:val="20"/>
      </w:rPr>
    </w:sdtEndPr>
    <w:sdtContent>
      <w:p w:rsidR="009E6720" w:rsidRPr="00175454" w:rsidRDefault="009E6720" w:rsidP="00175454">
        <w:pPr>
          <w:pStyle w:val="Footer"/>
          <w:rPr>
            <w:b/>
          </w:rPr>
        </w:pPr>
        <w:r w:rsidRPr="008A2962">
          <w:rPr>
            <w:b/>
          </w:rPr>
          <w:t>Baseline (B</w:t>
        </w:r>
        <w:r>
          <w:rPr>
            <w:b/>
          </w:rPr>
          <w:t>) / Outcome and Improvement (O)</w:t>
        </w:r>
        <w:r>
          <w:rPr>
            <w:b/>
          </w:rPr>
          <w:tab/>
        </w:r>
        <w:r>
          <w:rPr>
            <w:b/>
          </w:rPr>
          <w:tab/>
        </w:r>
        <w:r>
          <w:rPr>
            <w:b/>
          </w:rPr>
          <w:tab/>
        </w:r>
        <w:r>
          <w:rPr>
            <w:b/>
          </w:rPr>
          <w:tab/>
        </w:r>
        <w:r>
          <w:rPr>
            <w:b/>
          </w:rPr>
          <w:tab/>
        </w:r>
        <w:r>
          <w:rPr>
            <w:b/>
          </w:rPr>
          <w:tab/>
        </w:r>
        <w:r>
          <w:rPr>
            <w:b/>
          </w:rPr>
          <w:tab/>
          <w:t xml:space="preserve">  </w:t>
        </w:r>
        <w:r w:rsidRPr="00215A87">
          <w:rPr>
            <w:sz w:val="20"/>
            <w:szCs w:val="20"/>
          </w:rPr>
          <w:fldChar w:fldCharType="begin"/>
        </w:r>
        <w:r w:rsidRPr="00215A87">
          <w:rPr>
            <w:sz w:val="20"/>
            <w:szCs w:val="20"/>
          </w:rPr>
          <w:instrText xml:space="preserve"> PAGE   \* MERGEFORMAT </w:instrText>
        </w:r>
        <w:r w:rsidRPr="00215A87">
          <w:rPr>
            <w:sz w:val="20"/>
            <w:szCs w:val="20"/>
          </w:rPr>
          <w:fldChar w:fldCharType="separate"/>
        </w:r>
        <w:r w:rsidR="005B06CC">
          <w:rPr>
            <w:noProof/>
            <w:sz w:val="20"/>
            <w:szCs w:val="20"/>
          </w:rPr>
          <w:t>52</w:t>
        </w:r>
        <w:r w:rsidRPr="00215A87">
          <w:rPr>
            <w:sz w:val="20"/>
            <w:szCs w:val="20"/>
          </w:rPr>
          <w:fldChar w:fldCharType="end"/>
        </w:r>
      </w:p>
    </w:sdtContent>
  </w:sdt>
  <w:p w:rsidR="009E6720" w:rsidRDefault="009E6720">
    <w:pPr>
      <w:pStyle w:val="Foote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5838868"/>
      <w:docPartObj>
        <w:docPartGallery w:val="Page Numbers (Bottom of Page)"/>
        <w:docPartUnique/>
      </w:docPartObj>
    </w:sdtPr>
    <w:sdtEndPr>
      <w:rPr>
        <w:sz w:val="20"/>
        <w:szCs w:val="20"/>
      </w:rPr>
    </w:sdtEndPr>
    <w:sdtContent>
      <w:p w:rsidR="009E6720" w:rsidRPr="00215A87" w:rsidRDefault="009E6720">
        <w:pPr>
          <w:pStyle w:val="Footer"/>
          <w:jc w:val="right"/>
          <w:rPr>
            <w:sz w:val="20"/>
            <w:szCs w:val="20"/>
          </w:rPr>
        </w:pPr>
        <w:r w:rsidRPr="00215A87">
          <w:rPr>
            <w:sz w:val="20"/>
            <w:szCs w:val="20"/>
          </w:rPr>
          <w:fldChar w:fldCharType="begin"/>
        </w:r>
        <w:r w:rsidRPr="00215A87">
          <w:rPr>
            <w:sz w:val="20"/>
            <w:szCs w:val="20"/>
          </w:rPr>
          <w:instrText xml:space="preserve"> PAGE   \* MERGEFORMAT </w:instrText>
        </w:r>
        <w:r w:rsidRPr="00215A87">
          <w:rPr>
            <w:sz w:val="20"/>
            <w:szCs w:val="20"/>
          </w:rPr>
          <w:fldChar w:fldCharType="separate"/>
        </w:r>
        <w:r w:rsidR="005B06CC">
          <w:rPr>
            <w:noProof/>
            <w:sz w:val="20"/>
            <w:szCs w:val="20"/>
          </w:rPr>
          <w:t>55</w:t>
        </w:r>
        <w:r w:rsidRPr="00215A87">
          <w:rPr>
            <w:sz w:val="20"/>
            <w:szCs w:val="20"/>
          </w:rPr>
          <w:fldChar w:fldCharType="end"/>
        </w:r>
      </w:p>
    </w:sdtContent>
  </w:sdt>
  <w:p w:rsidR="009E6720" w:rsidRDefault="009E6720">
    <w:pPr>
      <w:pStyle w:val="Foote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5838839"/>
      <w:docPartObj>
        <w:docPartGallery w:val="Page Numbers (Bottom of Page)"/>
        <w:docPartUnique/>
      </w:docPartObj>
    </w:sdtPr>
    <w:sdtEndPr>
      <w:rPr>
        <w:sz w:val="20"/>
        <w:szCs w:val="20"/>
      </w:rPr>
    </w:sdtEndPr>
    <w:sdtContent>
      <w:p w:rsidR="009E6720" w:rsidRPr="00175454" w:rsidRDefault="009E6720" w:rsidP="00175454">
        <w:pPr>
          <w:pStyle w:val="Footer"/>
          <w:rPr>
            <w:sz w:val="20"/>
            <w:szCs w:val="20"/>
          </w:rPr>
        </w:pPr>
        <w:r w:rsidRPr="008A2962">
          <w:rPr>
            <w:b/>
          </w:rPr>
          <w:t>Baseline (B) / Outcome and Improvement (O)</w:t>
        </w:r>
        <w:r>
          <w:rPr>
            <w:b/>
          </w:rPr>
          <w:tab/>
        </w:r>
        <w:r>
          <w:rPr>
            <w:b/>
          </w:rPr>
          <w:tab/>
        </w:r>
        <w:r>
          <w:rPr>
            <w:b/>
          </w:rPr>
          <w:tab/>
        </w:r>
        <w:r>
          <w:rPr>
            <w:b/>
          </w:rPr>
          <w:tab/>
        </w:r>
        <w:r>
          <w:rPr>
            <w:b/>
          </w:rPr>
          <w:tab/>
        </w:r>
        <w:r>
          <w:rPr>
            <w:b/>
          </w:rPr>
          <w:tab/>
          <w:t xml:space="preserve">         </w:t>
        </w:r>
        <w:r w:rsidRPr="00215A87">
          <w:rPr>
            <w:sz w:val="20"/>
            <w:szCs w:val="20"/>
          </w:rPr>
          <w:fldChar w:fldCharType="begin"/>
        </w:r>
        <w:r w:rsidRPr="00215A87">
          <w:rPr>
            <w:sz w:val="20"/>
            <w:szCs w:val="20"/>
          </w:rPr>
          <w:instrText xml:space="preserve"> PAGE   \* MERGEFORMAT </w:instrText>
        </w:r>
        <w:r w:rsidRPr="00215A87">
          <w:rPr>
            <w:sz w:val="20"/>
            <w:szCs w:val="20"/>
          </w:rPr>
          <w:fldChar w:fldCharType="separate"/>
        </w:r>
        <w:r w:rsidR="005B06CC">
          <w:rPr>
            <w:noProof/>
            <w:sz w:val="20"/>
            <w:szCs w:val="20"/>
          </w:rPr>
          <w:t>56</w:t>
        </w:r>
        <w:r w:rsidRPr="00215A87">
          <w:rPr>
            <w:sz w:val="20"/>
            <w:szCs w:val="20"/>
          </w:rPr>
          <w:fldChar w:fldCharType="end"/>
        </w:r>
      </w:p>
    </w:sdtContent>
  </w:sdt>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5838961"/>
      <w:docPartObj>
        <w:docPartGallery w:val="Page Numbers (Bottom of Page)"/>
        <w:docPartUnique/>
      </w:docPartObj>
    </w:sdtPr>
    <w:sdtEndPr>
      <w:rPr>
        <w:sz w:val="20"/>
        <w:szCs w:val="20"/>
      </w:rPr>
    </w:sdtEndPr>
    <w:sdtContent>
      <w:p w:rsidR="009E6720" w:rsidRPr="00175454" w:rsidRDefault="009E6720" w:rsidP="00175454">
        <w:pPr>
          <w:pStyle w:val="Footer"/>
          <w:rPr>
            <w:sz w:val="20"/>
            <w:szCs w:val="20"/>
          </w:rPr>
        </w:pPr>
        <w:r>
          <w:tab/>
        </w:r>
        <w:r>
          <w:rPr>
            <w:b/>
          </w:rPr>
          <w:tab/>
        </w:r>
        <w:r>
          <w:rPr>
            <w:b/>
          </w:rPr>
          <w:tab/>
        </w:r>
        <w:r>
          <w:rPr>
            <w:b/>
          </w:rPr>
          <w:tab/>
        </w:r>
        <w:r>
          <w:rPr>
            <w:b/>
          </w:rPr>
          <w:tab/>
        </w:r>
        <w:r>
          <w:rPr>
            <w:b/>
          </w:rPr>
          <w:tab/>
          <w:t xml:space="preserve">         </w:t>
        </w:r>
        <w:r w:rsidRPr="00215A87">
          <w:rPr>
            <w:sz w:val="20"/>
            <w:szCs w:val="20"/>
          </w:rPr>
          <w:fldChar w:fldCharType="begin"/>
        </w:r>
        <w:r w:rsidRPr="00215A87">
          <w:rPr>
            <w:sz w:val="20"/>
            <w:szCs w:val="20"/>
          </w:rPr>
          <w:instrText xml:space="preserve"> PAGE   \* MERGEFORMAT </w:instrText>
        </w:r>
        <w:r w:rsidRPr="00215A87">
          <w:rPr>
            <w:sz w:val="20"/>
            <w:szCs w:val="20"/>
          </w:rPr>
          <w:fldChar w:fldCharType="separate"/>
        </w:r>
        <w:r w:rsidR="005B06CC">
          <w:rPr>
            <w:noProof/>
            <w:sz w:val="20"/>
            <w:szCs w:val="20"/>
          </w:rPr>
          <w:t>78</w:t>
        </w:r>
        <w:r w:rsidRPr="00215A87">
          <w:rPr>
            <w:sz w:val="20"/>
            <w:szCs w:val="20"/>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6611884"/>
      <w:docPartObj>
        <w:docPartGallery w:val="Page Numbers (Bottom of Page)"/>
        <w:docPartUnique/>
      </w:docPartObj>
    </w:sdtPr>
    <w:sdtEndPr>
      <w:rPr>
        <w:sz w:val="20"/>
        <w:szCs w:val="20"/>
      </w:rPr>
    </w:sdtEndPr>
    <w:sdtContent>
      <w:p w:rsidR="009E6720" w:rsidRPr="00175454" w:rsidRDefault="009E6720" w:rsidP="00175454">
        <w:pPr>
          <w:pStyle w:val="Footer"/>
          <w:rPr>
            <w:b/>
          </w:rPr>
        </w:pPr>
        <w:r>
          <w:tab/>
        </w:r>
        <w:r>
          <w:rPr>
            <w:b/>
          </w:rPr>
          <w:tab/>
          <w:t xml:space="preserve">                                   </w:t>
        </w:r>
        <w:r w:rsidRPr="00215A87">
          <w:rPr>
            <w:sz w:val="20"/>
            <w:szCs w:val="20"/>
          </w:rPr>
          <w:fldChar w:fldCharType="begin"/>
        </w:r>
        <w:r w:rsidRPr="00215A87">
          <w:rPr>
            <w:sz w:val="20"/>
            <w:szCs w:val="20"/>
          </w:rPr>
          <w:instrText xml:space="preserve"> PAGE   \* MERGEFORMAT </w:instrText>
        </w:r>
        <w:r w:rsidRPr="00215A87">
          <w:rPr>
            <w:sz w:val="20"/>
            <w:szCs w:val="20"/>
          </w:rPr>
          <w:fldChar w:fldCharType="separate"/>
        </w:r>
        <w:r w:rsidR="005B06CC">
          <w:rPr>
            <w:noProof/>
            <w:sz w:val="20"/>
            <w:szCs w:val="20"/>
          </w:rPr>
          <w:t>1</w:t>
        </w:r>
        <w:r w:rsidRPr="00215A87">
          <w:rPr>
            <w:sz w:val="20"/>
            <w:szCs w:val="20"/>
          </w:rPr>
          <w:fldChar w:fldCharType="end"/>
        </w:r>
      </w:p>
    </w:sdtContent>
  </w:sdt>
  <w:p w:rsidR="009E6720" w:rsidRDefault="009E672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06CC" w:rsidRDefault="005B06CC">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5838955"/>
      <w:docPartObj>
        <w:docPartGallery w:val="Page Numbers (Bottom of Page)"/>
        <w:docPartUnique/>
      </w:docPartObj>
    </w:sdtPr>
    <w:sdtEndPr>
      <w:rPr>
        <w:sz w:val="20"/>
        <w:szCs w:val="20"/>
      </w:rPr>
    </w:sdtEndPr>
    <w:sdtContent>
      <w:p w:rsidR="009E6720" w:rsidRPr="00175454" w:rsidRDefault="009E6720" w:rsidP="00175454">
        <w:pPr>
          <w:pStyle w:val="Footer"/>
          <w:rPr>
            <w:b/>
          </w:rPr>
        </w:pPr>
        <w:r w:rsidRPr="008A2962">
          <w:rPr>
            <w:b/>
          </w:rPr>
          <w:t>Baseline (B</w:t>
        </w:r>
        <w:r>
          <w:rPr>
            <w:b/>
          </w:rPr>
          <w:t>) / Outcome and Improvement (O)</w:t>
        </w:r>
        <w:r>
          <w:rPr>
            <w:b/>
          </w:rPr>
          <w:tab/>
        </w:r>
        <w:r>
          <w:rPr>
            <w:b/>
          </w:rPr>
          <w:tab/>
        </w:r>
        <w:r>
          <w:rPr>
            <w:b/>
          </w:rPr>
          <w:tab/>
        </w:r>
        <w:r>
          <w:rPr>
            <w:b/>
          </w:rPr>
          <w:tab/>
          <w:t xml:space="preserve">                                   </w:t>
        </w:r>
        <w:r w:rsidRPr="00215A87">
          <w:rPr>
            <w:sz w:val="20"/>
            <w:szCs w:val="20"/>
          </w:rPr>
          <w:fldChar w:fldCharType="begin"/>
        </w:r>
        <w:r w:rsidRPr="00215A87">
          <w:rPr>
            <w:sz w:val="20"/>
            <w:szCs w:val="20"/>
          </w:rPr>
          <w:instrText xml:space="preserve"> PAGE   \* MERGEFORMAT </w:instrText>
        </w:r>
        <w:r w:rsidRPr="00215A87">
          <w:rPr>
            <w:sz w:val="20"/>
            <w:szCs w:val="20"/>
          </w:rPr>
          <w:fldChar w:fldCharType="separate"/>
        </w:r>
        <w:r w:rsidR="005B06CC">
          <w:rPr>
            <w:noProof/>
            <w:sz w:val="20"/>
            <w:szCs w:val="20"/>
          </w:rPr>
          <w:t>27</w:t>
        </w:r>
        <w:r w:rsidRPr="00215A87">
          <w:rPr>
            <w:sz w:val="20"/>
            <w:szCs w:val="20"/>
          </w:rPr>
          <w:fldChar w:fldCharType="end"/>
        </w:r>
      </w:p>
    </w:sdtContent>
  </w:sdt>
  <w:p w:rsidR="009E6720" w:rsidRDefault="009E6720">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5838953"/>
      <w:docPartObj>
        <w:docPartGallery w:val="Page Numbers (Bottom of Page)"/>
        <w:docPartUnique/>
      </w:docPartObj>
    </w:sdtPr>
    <w:sdtEndPr>
      <w:rPr>
        <w:sz w:val="20"/>
        <w:szCs w:val="20"/>
      </w:rPr>
    </w:sdtEndPr>
    <w:sdtContent>
      <w:p w:rsidR="009E6720" w:rsidRPr="00175454" w:rsidRDefault="009E6720" w:rsidP="00C947DF">
        <w:pPr>
          <w:pStyle w:val="Footer"/>
          <w:ind w:left="2520" w:firstLine="4680"/>
          <w:rPr>
            <w:b/>
          </w:rPr>
        </w:pPr>
        <w:r>
          <w:rPr>
            <w:b/>
          </w:rPr>
          <w:t xml:space="preserve">                                   </w:t>
        </w:r>
        <w:r w:rsidRPr="00215A87">
          <w:rPr>
            <w:sz w:val="20"/>
            <w:szCs w:val="20"/>
          </w:rPr>
          <w:fldChar w:fldCharType="begin"/>
        </w:r>
        <w:r w:rsidRPr="00215A87">
          <w:rPr>
            <w:sz w:val="20"/>
            <w:szCs w:val="20"/>
          </w:rPr>
          <w:instrText xml:space="preserve"> PAGE   \* MERGEFORMAT </w:instrText>
        </w:r>
        <w:r w:rsidRPr="00215A87">
          <w:rPr>
            <w:sz w:val="20"/>
            <w:szCs w:val="20"/>
          </w:rPr>
          <w:fldChar w:fldCharType="separate"/>
        </w:r>
        <w:r w:rsidR="005B06CC">
          <w:rPr>
            <w:noProof/>
            <w:sz w:val="20"/>
            <w:szCs w:val="20"/>
          </w:rPr>
          <w:t>33</w:t>
        </w:r>
        <w:r w:rsidRPr="00215A87">
          <w:rPr>
            <w:sz w:val="20"/>
            <w:szCs w:val="20"/>
          </w:rPr>
          <w:fldChar w:fldCharType="end"/>
        </w:r>
      </w:p>
    </w:sdtContent>
  </w:sdt>
  <w:p w:rsidR="009E6720" w:rsidRDefault="009E6720">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5838967"/>
      <w:docPartObj>
        <w:docPartGallery w:val="Page Numbers (Bottom of Page)"/>
        <w:docPartUnique/>
      </w:docPartObj>
    </w:sdtPr>
    <w:sdtEndPr>
      <w:rPr>
        <w:sz w:val="20"/>
        <w:szCs w:val="20"/>
      </w:rPr>
    </w:sdtEndPr>
    <w:sdtContent>
      <w:p w:rsidR="009E6720" w:rsidRPr="00175454" w:rsidRDefault="009E6720" w:rsidP="00175454">
        <w:pPr>
          <w:pStyle w:val="Footer"/>
          <w:rPr>
            <w:b/>
          </w:rPr>
        </w:pPr>
        <w:r w:rsidRPr="008A2962">
          <w:rPr>
            <w:b/>
          </w:rPr>
          <w:t>Baseline (B</w:t>
        </w:r>
        <w:r>
          <w:rPr>
            <w:b/>
          </w:rPr>
          <w:t>) / Outcome and Improvement (O)</w:t>
        </w:r>
        <w:r>
          <w:rPr>
            <w:b/>
          </w:rPr>
          <w:tab/>
        </w:r>
        <w:r>
          <w:rPr>
            <w:b/>
          </w:rPr>
          <w:tab/>
        </w:r>
        <w:r>
          <w:rPr>
            <w:b/>
          </w:rPr>
          <w:tab/>
        </w:r>
        <w:r>
          <w:rPr>
            <w:b/>
          </w:rPr>
          <w:tab/>
          <w:t xml:space="preserve">                                   </w:t>
        </w:r>
        <w:r w:rsidRPr="00215A87">
          <w:rPr>
            <w:sz w:val="20"/>
            <w:szCs w:val="20"/>
          </w:rPr>
          <w:fldChar w:fldCharType="begin"/>
        </w:r>
        <w:r w:rsidRPr="00215A87">
          <w:rPr>
            <w:sz w:val="20"/>
            <w:szCs w:val="20"/>
          </w:rPr>
          <w:instrText xml:space="preserve"> PAGE   \* MERGEFORMAT </w:instrText>
        </w:r>
        <w:r w:rsidRPr="00215A87">
          <w:rPr>
            <w:sz w:val="20"/>
            <w:szCs w:val="20"/>
          </w:rPr>
          <w:fldChar w:fldCharType="separate"/>
        </w:r>
        <w:r w:rsidR="005B06CC">
          <w:rPr>
            <w:noProof/>
            <w:sz w:val="20"/>
            <w:szCs w:val="20"/>
          </w:rPr>
          <w:t>34</w:t>
        </w:r>
        <w:r w:rsidRPr="00215A87">
          <w:rPr>
            <w:sz w:val="20"/>
            <w:szCs w:val="20"/>
          </w:rPr>
          <w:fldChar w:fldCharType="end"/>
        </w:r>
      </w:p>
    </w:sdtContent>
  </w:sdt>
  <w:p w:rsidR="009E6720" w:rsidRDefault="009E6720">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5838938"/>
      <w:docPartObj>
        <w:docPartGallery w:val="Page Numbers (Bottom of Page)"/>
        <w:docPartUnique/>
      </w:docPartObj>
    </w:sdtPr>
    <w:sdtEndPr>
      <w:rPr>
        <w:sz w:val="20"/>
        <w:szCs w:val="20"/>
      </w:rPr>
    </w:sdtEndPr>
    <w:sdtContent>
      <w:p w:rsidR="009E6720" w:rsidRPr="00215A87" w:rsidRDefault="009E6720">
        <w:pPr>
          <w:pStyle w:val="Footer"/>
          <w:jc w:val="right"/>
          <w:rPr>
            <w:sz w:val="20"/>
            <w:szCs w:val="20"/>
          </w:rPr>
        </w:pPr>
        <w:r w:rsidRPr="00215A87">
          <w:rPr>
            <w:sz w:val="20"/>
            <w:szCs w:val="20"/>
          </w:rPr>
          <w:fldChar w:fldCharType="begin"/>
        </w:r>
        <w:r w:rsidRPr="00215A87">
          <w:rPr>
            <w:sz w:val="20"/>
            <w:szCs w:val="20"/>
          </w:rPr>
          <w:instrText xml:space="preserve"> PAGE   \* MERGEFORMAT </w:instrText>
        </w:r>
        <w:r w:rsidRPr="00215A87">
          <w:rPr>
            <w:sz w:val="20"/>
            <w:szCs w:val="20"/>
          </w:rPr>
          <w:fldChar w:fldCharType="separate"/>
        </w:r>
        <w:r w:rsidR="005B06CC">
          <w:rPr>
            <w:noProof/>
            <w:sz w:val="20"/>
            <w:szCs w:val="20"/>
          </w:rPr>
          <w:t>40</w:t>
        </w:r>
        <w:r w:rsidRPr="00215A87">
          <w:rPr>
            <w:sz w:val="20"/>
            <w:szCs w:val="20"/>
          </w:rPr>
          <w:fldChar w:fldCharType="end"/>
        </w:r>
      </w:p>
    </w:sdtContent>
  </w:sdt>
  <w:p w:rsidR="009E6720" w:rsidRDefault="009E6720">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5838897"/>
      <w:docPartObj>
        <w:docPartGallery w:val="Page Numbers (Bottom of Page)"/>
        <w:docPartUnique/>
      </w:docPartObj>
    </w:sdtPr>
    <w:sdtEndPr>
      <w:rPr>
        <w:sz w:val="20"/>
        <w:szCs w:val="20"/>
      </w:rPr>
    </w:sdtEndPr>
    <w:sdtContent>
      <w:p w:rsidR="009E6720" w:rsidRPr="00175454" w:rsidRDefault="009E6720" w:rsidP="00175454">
        <w:pPr>
          <w:pStyle w:val="Footer"/>
          <w:rPr>
            <w:b/>
          </w:rPr>
        </w:pPr>
        <w:r w:rsidRPr="008A2962">
          <w:rPr>
            <w:b/>
          </w:rPr>
          <w:t>Baseline (B</w:t>
        </w:r>
        <w:r>
          <w:rPr>
            <w:b/>
          </w:rPr>
          <w:t>) / Outcome and Improvement (O)</w:t>
        </w:r>
        <w:r>
          <w:rPr>
            <w:b/>
          </w:rPr>
          <w:tab/>
        </w:r>
        <w:r>
          <w:rPr>
            <w:b/>
          </w:rPr>
          <w:tab/>
        </w:r>
        <w:r>
          <w:rPr>
            <w:b/>
          </w:rPr>
          <w:tab/>
        </w:r>
        <w:r>
          <w:rPr>
            <w:b/>
          </w:rPr>
          <w:tab/>
        </w:r>
        <w:r>
          <w:rPr>
            <w:b/>
          </w:rPr>
          <w:tab/>
        </w:r>
        <w:r>
          <w:rPr>
            <w:b/>
          </w:rPr>
          <w:tab/>
          <w:t xml:space="preserve">          </w:t>
        </w:r>
        <w:r w:rsidRPr="00215A87">
          <w:rPr>
            <w:sz w:val="20"/>
            <w:szCs w:val="20"/>
          </w:rPr>
          <w:fldChar w:fldCharType="begin"/>
        </w:r>
        <w:r w:rsidRPr="00215A87">
          <w:rPr>
            <w:sz w:val="20"/>
            <w:szCs w:val="20"/>
          </w:rPr>
          <w:instrText xml:space="preserve"> PAGE   \* MERGEFORMAT </w:instrText>
        </w:r>
        <w:r w:rsidRPr="00215A87">
          <w:rPr>
            <w:sz w:val="20"/>
            <w:szCs w:val="20"/>
          </w:rPr>
          <w:fldChar w:fldCharType="separate"/>
        </w:r>
        <w:r w:rsidR="005B06CC">
          <w:rPr>
            <w:noProof/>
            <w:sz w:val="20"/>
            <w:szCs w:val="20"/>
          </w:rPr>
          <w:t>45</w:t>
        </w:r>
        <w:r w:rsidRPr="00215A87">
          <w:rPr>
            <w:sz w:val="20"/>
            <w:szCs w:val="20"/>
          </w:rPr>
          <w:fldChar w:fldCharType="end"/>
        </w:r>
      </w:p>
    </w:sdtContent>
  </w:sdt>
  <w:p w:rsidR="009E6720" w:rsidRDefault="009E6720">
    <w:pPr>
      <w:pStyle w:val="Foo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5838896"/>
      <w:docPartObj>
        <w:docPartGallery w:val="Page Numbers (Bottom of Page)"/>
        <w:docPartUnique/>
      </w:docPartObj>
    </w:sdtPr>
    <w:sdtEndPr>
      <w:rPr>
        <w:sz w:val="20"/>
        <w:szCs w:val="20"/>
      </w:rPr>
    </w:sdtEndPr>
    <w:sdtContent>
      <w:p w:rsidR="009E6720" w:rsidRPr="00215A87" w:rsidRDefault="009E6720">
        <w:pPr>
          <w:pStyle w:val="Footer"/>
          <w:jc w:val="right"/>
          <w:rPr>
            <w:sz w:val="20"/>
            <w:szCs w:val="20"/>
          </w:rPr>
        </w:pPr>
        <w:r w:rsidRPr="00215A87">
          <w:rPr>
            <w:sz w:val="20"/>
            <w:szCs w:val="20"/>
          </w:rPr>
          <w:fldChar w:fldCharType="begin"/>
        </w:r>
        <w:r w:rsidRPr="00215A87">
          <w:rPr>
            <w:sz w:val="20"/>
            <w:szCs w:val="20"/>
          </w:rPr>
          <w:instrText xml:space="preserve"> PAGE   \* MERGEFORMAT </w:instrText>
        </w:r>
        <w:r w:rsidRPr="00215A87">
          <w:rPr>
            <w:sz w:val="20"/>
            <w:szCs w:val="20"/>
          </w:rPr>
          <w:fldChar w:fldCharType="separate"/>
        </w:r>
        <w:r w:rsidR="005B06CC">
          <w:rPr>
            <w:noProof/>
            <w:sz w:val="20"/>
            <w:szCs w:val="20"/>
          </w:rPr>
          <w:t>47</w:t>
        </w:r>
        <w:r w:rsidRPr="00215A87">
          <w:rPr>
            <w:sz w:val="20"/>
            <w:szCs w:val="20"/>
          </w:rPr>
          <w:fldChar w:fldCharType="end"/>
        </w:r>
      </w:p>
    </w:sdtContent>
  </w:sdt>
  <w:p w:rsidR="009E6720" w:rsidRDefault="009E672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2E9C" w:rsidRDefault="00942E9C" w:rsidP="006D082D">
      <w:pPr>
        <w:spacing w:after="0" w:line="240" w:lineRule="auto"/>
      </w:pPr>
      <w:r>
        <w:separator/>
      </w:r>
    </w:p>
  </w:footnote>
  <w:footnote w:type="continuationSeparator" w:id="0">
    <w:p w:rsidR="00942E9C" w:rsidRDefault="00942E9C" w:rsidP="006D082D">
      <w:pPr>
        <w:spacing w:after="0" w:line="240" w:lineRule="auto"/>
      </w:pPr>
      <w:r>
        <w:continuationSeparator/>
      </w:r>
    </w:p>
  </w:footnote>
  <w:footnote w:id="1">
    <w:p w:rsidR="009E6720" w:rsidRPr="000838EB" w:rsidRDefault="009E6720" w:rsidP="00967218">
      <w:pPr>
        <w:pStyle w:val="FootnoteText"/>
        <w:rPr>
          <w:rFonts w:ascii="Times New Roman" w:hAnsi="Times New Roman"/>
          <w:sz w:val="18"/>
          <w:szCs w:val="18"/>
        </w:rPr>
      </w:pPr>
      <w:r w:rsidRPr="000838EB">
        <w:rPr>
          <w:rStyle w:val="FootnoteReference"/>
          <w:rFonts w:ascii="Times New Roman" w:hAnsi="Times New Roman"/>
          <w:sz w:val="18"/>
          <w:szCs w:val="18"/>
        </w:rPr>
        <w:footnoteRef/>
      </w:r>
      <w:r w:rsidRPr="000838EB">
        <w:rPr>
          <w:rFonts w:ascii="Times New Roman" w:hAnsi="Times New Roman"/>
          <w:sz w:val="18"/>
          <w:szCs w:val="18"/>
        </w:rPr>
        <w:t xml:space="preserve"> Institute for Clinical and Economic Review. March, 2015. Integrating Behavioral Health into Primary Care.</w:t>
      </w:r>
    </w:p>
  </w:footnote>
  <w:footnote w:id="2">
    <w:p w:rsidR="009E6720" w:rsidRPr="000838EB" w:rsidRDefault="009E6720" w:rsidP="00967218">
      <w:pPr>
        <w:pStyle w:val="FootnoteText"/>
        <w:ind w:left="90" w:hanging="90"/>
        <w:rPr>
          <w:rFonts w:ascii="Times New Roman" w:hAnsi="Times New Roman"/>
          <w:sz w:val="18"/>
          <w:szCs w:val="18"/>
        </w:rPr>
      </w:pPr>
      <w:r w:rsidRPr="000838EB">
        <w:rPr>
          <w:rStyle w:val="FootnoteReference"/>
          <w:rFonts w:ascii="Times New Roman" w:hAnsi="Times New Roman"/>
          <w:sz w:val="18"/>
          <w:szCs w:val="18"/>
        </w:rPr>
        <w:footnoteRef/>
      </w:r>
      <w:r w:rsidRPr="000838EB">
        <w:rPr>
          <w:rFonts w:ascii="Times New Roman" w:hAnsi="Times New Roman"/>
          <w:sz w:val="18"/>
          <w:szCs w:val="18"/>
        </w:rPr>
        <w:t xml:space="preserve"> Unützer J, Katon WJ, Williams JW, Callahan CM, Harpole L, Hunkeler EM, Hoffing M, Areán PA, Hegel MT, Schoenbaum M, </w:t>
      </w:r>
      <w:proofErr w:type="gramStart"/>
      <w:r w:rsidRPr="000838EB">
        <w:rPr>
          <w:rFonts w:ascii="Times New Roman" w:hAnsi="Times New Roman"/>
          <w:sz w:val="18"/>
          <w:szCs w:val="18"/>
        </w:rPr>
        <w:t>Oishi</w:t>
      </w:r>
      <w:proofErr w:type="gramEnd"/>
      <w:r w:rsidRPr="000838EB">
        <w:rPr>
          <w:rFonts w:ascii="Times New Roman" w:hAnsi="Times New Roman"/>
          <w:sz w:val="18"/>
          <w:szCs w:val="18"/>
        </w:rPr>
        <w:t xml:space="preserve"> SM, Langston CA. Improving primary care for depression in late life: the design of a multi-center randomized trial. Medical Care. 2001; 39:785-799.</w:t>
      </w:r>
    </w:p>
  </w:footnote>
  <w:footnote w:id="3">
    <w:p w:rsidR="009E6720" w:rsidRPr="000838EB" w:rsidRDefault="009E6720" w:rsidP="00967218">
      <w:pPr>
        <w:pStyle w:val="FootnoteText"/>
        <w:ind w:left="90" w:hanging="90"/>
        <w:rPr>
          <w:rFonts w:ascii="Times New Roman" w:hAnsi="Times New Roman"/>
          <w:sz w:val="18"/>
          <w:szCs w:val="18"/>
        </w:rPr>
      </w:pPr>
      <w:r w:rsidRPr="000838EB">
        <w:rPr>
          <w:rStyle w:val="FootnoteReference"/>
          <w:rFonts w:ascii="Times New Roman" w:hAnsi="Times New Roman"/>
          <w:sz w:val="18"/>
          <w:szCs w:val="18"/>
        </w:rPr>
        <w:footnoteRef/>
      </w:r>
      <w:r w:rsidRPr="000838EB">
        <w:rPr>
          <w:rFonts w:ascii="Times New Roman" w:hAnsi="Times New Roman"/>
          <w:sz w:val="18"/>
          <w:szCs w:val="18"/>
        </w:rPr>
        <w:t xml:space="preserve"> The Diamond Model is based on the Collaborative Care Model for depression by Wayne Katon, MD and the IMPACT Study by Jurgen Unutzer, MD as well as numerous other controlled trials from Institute for Clinical Systems Improvement and Minnesota Family Health Services presentation to the Institute for HealthCare Improvement Annual Forum, Dec 2010.</w:t>
      </w:r>
    </w:p>
  </w:footnote>
  <w:footnote w:id="4">
    <w:p w:rsidR="009E6720" w:rsidRPr="000838EB" w:rsidRDefault="009E6720" w:rsidP="00967218">
      <w:pPr>
        <w:pStyle w:val="FootnoteText"/>
        <w:rPr>
          <w:rFonts w:ascii="Times New Roman" w:hAnsi="Times New Roman"/>
          <w:sz w:val="18"/>
          <w:szCs w:val="18"/>
        </w:rPr>
      </w:pPr>
      <w:r w:rsidRPr="000838EB">
        <w:rPr>
          <w:rStyle w:val="FootnoteReference"/>
          <w:rFonts w:ascii="Times New Roman" w:hAnsi="Times New Roman"/>
          <w:sz w:val="18"/>
          <w:szCs w:val="18"/>
        </w:rPr>
        <w:footnoteRef/>
      </w:r>
      <w:r w:rsidRPr="000838EB">
        <w:rPr>
          <w:rFonts w:ascii="Times New Roman" w:hAnsi="Times New Roman"/>
          <w:sz w:val="18"/>
          <w:szCs w:val="18"/>
        </w:rPr>
        <w:t xml:space="preserve"> </w:t>
      </w:r>
      <w:r w:rsidRPr="000838EB">
        <w:rPr>
          <w:rFonts w:ascii="Times New Roman" w:hAnsi="Times New Roman"/>
          <w:color w:val="222222"/>
          <w:sz w:val="18"/>
          <w:szCs w:val="18"/>
          <w:shd w:val="clear" w:color="auto" w:fill="FFFFFF"/>
        </w:rPr>
        <w:t>Archer, Janine, et al. "Collaborative care for depression and anxiety problems."</w:t>
      </w:r>
      <w:r w:rsidRPr="000838EB">
        <w:rPr>
          <w:rStyle w:val="apple-converted-space"/>
          <w:rFonts w:ascii="Times New Roman" w:hAnsi="Times New Roman"/>
          <w:color w:val="222222"/>
          <w:sz w:val="18"/>
          <w:szCs w:val="18"/>
          <w:shd w:val="clear" w:color="auto" w:fill="FFFFFF"/>
        </w:rPr>
        <w:t> </w:t>
      </w:r>
      <w:r w:rsidRPr="000838EB">
        <w:rPr>
          <w:rFonts w:ascii="Times New Roman" w:hAnsi="Times New Roman"/>
          <w:i/>
          <w:iCs/>
          <w:color w:val="222222"/>
          <w:sz w:val="18"/>
          <w:szCs w:val="18"/>
          <w:shd w:val="clear" w:color="auto" w:fill="FFFFFF"/>
        </w:rPr>
        <w:t>The Cochrane Library</w:t>
      </w:r>
      <w:r w:rsidRPr="000838EB">
        <w:rPr>
          <w:rStyle w:val="apple-converted-space"/>
          <w:rFonts w:ascii="Times New Roman" w:hAnsi="Times New Roman"/>
          <w:color w:val="222222"/>
          <w:sz w:val="18"/>
          <w:szCs w:val="18"/>
          <w:shd w:val="clear" w:color="auto" w:fill="FFFFFF"/>
        </w:rPr>
        <w:t> </w:t>
      </w:r>
      <w:r w:rsidRPr="000838EB">
        <w:rPr>
          <w:rFonts w:ascii="Times New Roman" w:hAnsi="Times New Roman"/>
          <w:color w:val="222222"/>
          <w:sz w:val="18"/>
          <w:szCs w:val="18"/>
          <w:shd w:val="clear" w:color="auto" w:fill="FFFFFF"/>
        </w:rPr>
        <w:t>(2012)</w:t>
      </w:r>
      <w:r w:rsidRPr="000838EB">
        <w:rPr>
          <w:rFonts w:ascii="Times New Roman" w:hAnsi="Times New Roman"/>
          <w:sz w:val="18"/>
          <w:szCs w:val="18"/>
        </w:rPr>
        <w:t>.</w:t>
      </w:r>
    </w:p>
  </w:footnote>
  <w:footnote w:id="5">
    <w:p w:rsidR="009E6720" w:rsidRPr="00D63384" w:rsidRDefault="009E6720" w:rsidP="00967218">
      <w:pPr>
        <w:pStyle w:val="FootnoteText"/>
        <w:rPr>
          <w:rFonts w:asciiTheme="majorHAnsi" w:hAnsiTheme="majorHAnsi"/>
          <w:sz w:val="18"/>
          <w:szCs w:val="18"/>
        </w:rPr>
      </w:pPr>
      <w:r w:rsidRPr="000838EB">
        <w:rPr>
          <w:rStyle w:val="FootnoteReference"/>
          <w:rFonts w:ascii="Times New Roman" w:hAnsi="Times New Roman"/>
          <w:sz w:val="18"/>
          <w:szCs w:val="18"/>
        </w:rPr>
        <w:footnoteRef/>
      </w:r>
      <w:r w:rsidRPr="000838EB">
        <w:rPr>
          <w:rFonts w:ascii="Times New Roman" w:hAnsi="Times New Roman"/>
          <w:sz w:val="18"/>
          <w:szCs w:val="18"/>
        </w:rPr>
        <w:t xml:space="preserve"> Katon WJ. “Collaborative Depression Care Models: From Development to Dissemination.” American Journal of Preventive Medicine, 012</w:t>
      </w:r>
      <w:proofErr w:type="gramStart"/>
      <w:r w:rsidRPr="000838EB">
        <w:rPr>
          <w:rFonts w:ascii="Times New Roman" w:hAnsi="Times New Roman"/>
          <w:sz w:val="18"/>
          <w:szCs w:val="18"/>
        </w:rPr>
        <w:t>;42</w:t>
      </w:r>
      <w:proofErr w:type="gramEnd"/>
      <w:r w:rsidRPr="000838EB">
        <w:rPr>
          <w:rFonts w:ascii="Times New Roman" w:hAnsi="Times New Roman"/>
          <w:sz w:val="18"/>
          <w:szCs w:val="18"/>
        </w:rPr>
        <w:t>(5):550–552.</w:t>
      </w:r>
    </w:p>
  </w:footnote>
  <w:footnote w:id="6">
    <w:p w:rsidR="009E6720" w:rsidRPr="000838EB" w:rsidRDefault="009E6720" w:rsidP="00967218">
      <w:pPr>
        <w:pStyle w:val="FootnoteText"/>
        <w:rPr>
          <w:rFonts w:ascii="Times New Roman" w:hAnsi="Times New Roman"/>
          <w:sz w:val="18"/>
          <w:szCs w:val="18"/>
        </w:rPr>
      </w:pPr>
      <w:r w:rsidRPr="000838EB">
        <w:rPr>
          <w:rStyle w:val="FootnoteReference"/>
          <w:rFonts w:ascii="Times New Roman" w:hAnsi="Times New Roman"/>
          <w:color w:val="000000" w:themeColor="text1"/>
          <w:sz w:val="18"/>
          <w:szCs w:val="18"/>
        </w:rPr>
        <w:footnoteRef/>
      </w:r>
      <w:r w:rsidRPr="000838EB">
        <w:rPr>
          <w:rFonts w:ascii="Times New Roman" w:hAnsi="Times New Roman"/>
          <w:color w:val="000000" w:themeColor="text1"/>
          <w:sz w:val="18"/>
          <w:szCs w:val="18"/>
        </w:rPr>
        <w:t xml:space="preserve">Substance Abuse and Mental Health Services Administration. </w:t>
      </w:r>
      <w:r w:rsidRPr="000838EB">
        <w:rPr>
          <w:rFonts w:ascii="Times New Roman" w:hAnsi="Times New Roman"/>
          <w:i/>
          <w:iCs/>
          <w:color w:val="000000" w:themeColor="text1"/>
          <w:sz w:val="18"/>
          <w:szCs w:val="18"/>
        </w:rPr>
        <w:t>Behavioral Health Barometer: Massachusetts, 2015.</w:t>
      </w:r>
      <w:r w:rsidRPr="000838EB">
        <w:rPr>
          <w:rFonts w:ascii="Times New Roman" w:hAnsi="Times New Roman"/>
          <w:color w:val="000000" w:themeColor="text1"/>
          <w:sz w:val="18"/>
          <w:szCs w:val="18"/>
        </w:rPr>
        <w:t xml:space="preserve"> HHS Publication No. SMA-16-BARO-2015-MA. Rockville, MD: Substance Abuse and Mental Health Services Administration, 2015.</w:t>
      </w:r>
    </w:p>
  </w:footnote>
  <w:footnote w:id="7">
    <w:p w:rsidR="009E6720" w:rsidRPr="000838EB" w:rsidRDefault="009E6720" w:rsidP="00967218">
      <w:pPr>
        <w:pStyle w:val="FootnoteText"/>
        <w:rPr>
          <w:rFonts w:ascii="Times New Roman" w:hAnsi="Times New Roman"/>
          <w:sz w:val="18"/>
          <w:szCs w:val="18"/>
        </w:rPr>
      </w:pPr>
      <w:r w:rsidRPr="000838EB">
        <w:rPr>
          <w:rStyle w:val="FootnoteReference"/>
          <w:rFonts w:ascii="Times New Roman" w:hAnsi="Times New Roman"/>
          <w:sz w:val="18"/>
          <w:szCs w:val="18"/>
        </w:rPr>
        <w:footnoteRef/>
      </w:r>
      <w:r w:rsidRPr="000838EB">
        <w:rPr>
          <w:rFonts w:ascii="Times New Roman" w:hAnsi="Times New Roman"/>
          <w:sz w:val="18"/>
          <w:szCs w:val="18"/>
        </w:rPr>
        <w:t>http://www.mass.gov/eohhs/docs/dph/quality/drugcontrol/county-level-pmp/data-brief-overdose-deaths-may-2016.pdf</w:t>
      </w:r>
    </w:p>
  </w:footnote>
  <w:footnote w:id="8">
    <w:p w:rsidR="009E6720" w:rsidRPr="00CD2D19" w:rsidRDefault="009E6720" w:rsidP="00967218">
      <w:pPr>
        <w:autoSpaceDE w:val="0"/>
        <w:autoSpaceDN w:val="0"/>
        <w:adjustRightInd w:val="0"/>
        <w:spacing w:after="0" w:line="240" w:lineRule="auto"/>
        <w:rPr>
          <w:rFonts w:eastAsia="Times New Roman"/>
          <w:sz w:val="18"/>
          <w:szCs w:val="18"/>
        </w:rPr>
      </w:pPr>
      <w:r w:rsidRPr="00CD2D19">
        <w:rPr>
          <w:rStyle w:val="FootnoteReference"/>
          <w:sz w:val="18"/>
          <w:szCs w:val="18"/>
        </w:rPr>
        <w:footnoteRef/>
      </w:r>
      <w:r w:rsidRPr="00CD2D19">
        <w:rPr>
          <w:rFonts w:eastAsia="Times New Roman"/>
          <w:sz w:val="18"/>
          <w:szCs w:val="18"/>
        </w:rPr>
        <w:t>Costello EJ, Mustillo S, Erkanli A, Keeler G, Angold A. Prevalence and development of psychiatric disorders in childhood and adolescence</w:t>
      </w:r>
      <w:r w:rsidRPr="00CD2D19">
        <w:rPr>
          <w:rFonts w:eastAsia="Times New Roman"/>
          <w:i/>
          <w:sz w:val="18"/>
          <w:szCs w:val="18"/>
        </w:rPr>
        <w:t>. Arch Gen Psychiatry</w:t>
      </w:r>
      <w:r w:rsidRPr="00CD2D19">
        <w:rPr>
          <w:rFonts w:eastAsia="Times New Roman"/>
          <w:sz w:val="18"/>
          <w:szCs w:val="18"/>
        </w:rPr>
        <w:t>. 2003;60(8):837–844</w:t>
      </w:r>
    </w:p>
  </w:footnote>
  <w:footnote w:id="9">
    <w:p w:rsidR="009E6720" w:rsidRPr="00CD2D19" w:rsidRDefault="009E6720" w:rsidP="00967218">
      <w:pPr>
        <w:pStyle w:val="Heading1"/>
        <w:shd w:val="clear" w:color="auto" w:fill="FFFFFF"/>
        <w:rPr>
          <w:b w:val="0"/>
          <w:sz w:val="18"/>
          <w:szCs w:val="18"/>
        </w:rPr>
      </w:pPr>
      <w:r w:rsidRPr="00CD2D19">
        <w:rPr>
          <w:rStyle w:val="FootnoteReference"/>
          <w:rFonts w:eastAsia="Calibri"/>
          <w:b w:val="0"/>
          <w:sz w:val="18"/>
          <w:szCs w:val="18"/>
        </w:rPr>
        <w:footnoteRef/>
      </w:r>
      <w:r w:rsidRPr="00CD2D19">
        <w:rPr>
          <w:b w:val="0"/>
          <w:i/>
          <w:sz w:val="18"/>
          <w:szCs w:val="18"/>
        </w:rPr>
        <w:t>Report of the Surgeon General's Conference on Children's Mental Health: A National Action Agenda.</w:t>
      </w:r>
      <w:r w:rsidRPr="00CD2D19">
        <w:rPr>
          <w:b w:val="0"/>
          <w:sz w:val="18"/>
          <w:szCs w:val="18"/>
        </w:rPr>
        <w:t xml:space="preserve"> Washington (DC): US Department of Health and Human Services; US Department of Health and Human Services; US Department of Education; US Department of Justice, 2000. </w:t>
      </w:r>
    </w:p>
  </w:footnote>
  <w:footnote w:id="10">
    <w:p w:rsidR="009E6720" w:rsidRPr="00CD2D19" w:rsidRDefault="009E6720" w:rsidP="00967218">
      <w:pPr>
        <w:shd w:val="clear" w:color="auto" w:fill="FFFFFF"/>
        <w:spacing w:after="0" w:line="240" w:lineRule="auto"/>
        <w:rPr>
          <w:bCs/>
          <w:sz w:val="18"/>
          <w:szCs w:val="18"/>
        </w:rPr>
      </w:pPr>
      <w:r w:rsidRPr="00CD2D19">
        <w:rPr>
          <w:rStyle w:val="FootnoteReference"/>
          <w:sz w:val="18"/>
          <w:szCs w:val="18"/>
        </w:rPr>
        <w:footnoteRef/>
      </w:r>
      <w:r w:rsidRPr="00CD2D19">
        <w:rPr>
          <w:rStyle w:val="authornames"/>
          <w:sz w:val="18"/>
          <w:szCs w:val="18"/>
        </w:rPr>
        <w:t>Slomski</w:t>
      </w:r>
      <w:r w:rsidRPr="00CD2D19">
        <w:rPr>
          <w:b/>
          <w:bCs/>
          <w:sz w:val="18"/>
          <w:szCs w:val="18"/>
        </w:rPr>
        <w:t xml:space="preserve">, </w:t>
      </w:r>
      <w:r w:rsidRPr="00CD2D19">
        <w:rPr>
          <w:rStyle w:val="authornames"/>
          <w:sz w:val="18"/>
          <w:szCs w:val="18"/>
        </w:rPr>
        <w:t xml:space="preserve">A. </w:t>
      </w:r>
      <w:r w:rsidRPr="00CD2D19">
        <w:rPr>
          <w:bCs/>
          <w:sz w:val="18"/>
          <w:szCs w:val="18"/>
        </w:rPr>
        <w:t xml:space="preserve">Chronic Mental Health Issues in Children Now Loom Larger Than Physical Problems </w:t>
      </w:r>
      <w:r w:rsidRPr="00CD2D19">
        <w:rPr>
          <w:i/>
          <w:iCs/>
          <w:sz w:val="18"/>
          <w:szCs w:val="18"/>
        </w:rPr>
        <w:t xml:space="preserve">JAMA. </w:t>
      </w:r>
      <w:r w:rsidRPr="00CD2D19">
        <w:rPr>
          <w:i/>
          <w:sz w:val="18"/>
          <w:szCs w:val="18"/>
        </w:rPr>
        <w:t>2012</w:t>
      </w:r>
      <w:proofErr w:type="gramStart"/>
      <w:r w:rsidRPr="00CD2D19">
        <w:rPr>
          <w:i/>
          <w:sz w:val="18"/>
          <w:szCs w:val="18"/>
        </w:rPr>
        <w:t>;308</w:t>
      </w:r>
      <w:proofErr w:type="gramEnd"/>
      <w:r w:rsidRPr="00CD2D19">
        <w:rPr>
          <w:i/>
          <w:sz w:val="18"/>
          <w:szCs w:val="18"/>
        </w:rPr>
        <w:t xml:space="preserve">(3):223-225. </w:t>
      </w:r>
    </w:p>
  </w:footnote>
  <w:footnote w:id="11">
    <w:p w:rsidR="009E6720" w:rsidRPr="00CD2D19" w:rsidRDefault="009E6720" w:rsidP="00967218">
      <w:pPr>
        <w:autoSpaceDE w:val="0"/>
        <w:autoSpaceDN w:val="0"/>
        <w:adjustRightInd w:val="0"/>
        <w:spacing w:after="0" w:line="240" w:lineRule="auto"/>
        <w:rPr>
          <w:rFonts w:eastAsia="Times New Roman"/>
          <w:sz w:val="18"/>
          <w:szCs w:val="18"/>
        </w:rPr>
      </w:pPr>
      <w:r w:rsidRPr="00CD2D19">
        <w:rPr>
          <w:rStyle w:val="FootnoteReference"/>
          <w:sz w:val="18"/>
          <w:szCs w:val="18"/>
        </w:rPr>
        <w:footnoteRef/>
      </w:r>
      <w:r w:rsidRPr="00CD2D19">
        <w:rPr>
          <w:rFonts w:eastAsia="Times New Roman"/>
          <w:sz w:val="18"/>
          <w:szCs w:val="18"/>
        </w:rPr>
        <w:t xml:space="preserve">Halfon N, Houtrow A, Larson K, Newacheck PW. The changing landscape of disability in childhood. </w:t>
      </w:r>
      <w:r w:rsidRPr="00CD2D19">
        <w:rPr>
          <w:rFonts w:eastAsia="Times New Roman"/>
          <w:i/>
          <w:sz w:val="18"/>
          <w:szCs w:val="18"/>
        </w:rPr>
        <w:t>Future Child.</w:t>
      </w:r>
      <w:r w:rsidRPr="00CD2D19">
        <w:rPr>
          <w:rFonts w:eastAsia="Times New Roman"/>
          <w:sz w:val="18"/>
          <w:szCs w:val="18"/>
        </w:rPr>
        <w:t xml:space="preserve"> 2012;22(1):13–42</w:t>
      </w:r>
    </w:p>
  </w:footnote>
  <w:footnote w:id="12">
    <w:p w:rsidR="009E6720" w:rsidRPr="00CD2D19" w:rsidRDefault="009E6720" w:rsidP="00967218">
      <w:pPr>
        <w:spacing w:after="0" w:line="240" w:lineRule="auto"/>
        <w:jc w:val="both"/>
        <w:textAlignment w:val="baseline"/>
        <w:rPr>
          <w:sz w:val="18"/>
          <w:szCs w:val="18"/>
        </w:rPr>
      </w:pPr>
      <w:r w:rsidRPr="00CD2D19">
        <w:rPr>
          <w:rStyle w:val="FootnoteReference"/>
          <w:sz w:val="18"/>
          <w:szCs w:val="18"/>
        </w:rPr>
        <w:footnoteRef/>
      </w:r>
      <w:hyperlink r:id="rId1" w:history="1">
        <w:r w:rsidRPr="00CD2D19">
          <w:rPr>
            <w:rStyle w:val="highwire-cite-title1"/>
            <w:sz w:val="18"/>
            <w:szCs w:val="18"/>
          </w:rPr>
          <w:t>Promoting Optimal Development: Screening for Behavioral and Emotional Problems</w:t>
        </w:r>
      </w:hyperlink>
      <w:r w:rsidRPr="00CD2D19">
        <w:rPr>
          <w:sz w:val="18"/>
          <w:szCs w:val="18"/>
        </w:rPr>
        <w:t xml:space="preserve">. </w:t>
      </w:r>
      <w:r w:rsidRPr="00CD2D19">
        <w:rPr>
          <w:rStyle w:val="nlm-given-names"/>
          <w:sz w:val="18"/>
          <w:szCs w:val="18"/>
        </w:rPr>
        <w:t>Carol</w:t>
      </w:r>
      <w:r w:rsidRPr="00CD2D19">
        <w:rPr>
          <w:rStyle w:val="highwire-citation-author"/>
          <w:sz w:val="18"/>
          <w:szCs w:val="18"/>
        </w:rPr>
        <w:t xml:space="preserve"> </w:t>
      </w:r>
      <w:r w:rsidRPr="00CD2D19">
        <w:rPr>
          <w:rStyle w:val="nlm-surname"/>
          <w:sz w:val="18"/>
          <w:szCs w:val="18"/>
        </w:rPr>
        <w:t>Weitzman</w:t>
      </w:r>
      <w:r w:rsidRPr="00CD2D19">
        <w:rPr>
          <w:rStyle w:val="highwire-citation-authors3"/>
          <w:sz w:val="18"/>
          <w:szCs w:val="18"/>
        </w:rPr>
        <w:t xml:space="preserve">, </w:t>
      </w:r>
      <w:r w:rsidRPr="00CD2D19">
        <w:rPr>
          <w:rStyle w:val="nlm-given-names"/>
          <w:sz w:val="18"/>
          <w:szCs w:val="18"/>
        </w:rPr>
        <w:t>Lynn</w:t>
      </w:r>
      <w:r w:rsidRPr="00CD2D19">
        <w:rPr>
          <w:rStyle w:val="highwire-citation-author"/>
          <w:sz w:val="18"/>
          <w:szCs w:val="18"/>
        </w:rPr>
        <w:t xml:space="preserve"> </w:t>
      </w:r>
      <w:r w:rsidRPr="00CD2D19">
        <w:rPr>
          <w:rStyle w:val="nlm-surname"/>
          <w:sz w:val="18"/>
          <w:szCs w:val="18"/>
        </w:rPr>
        <w:t>Wegner</w:t>
      </w:r>
      <w:r w:rsidRPr="00CD2D19">
        <w:rPr>
          <w:rStyle w:val="highwire-citation-authors3"/>
          <w:sz w:val="18"/>
          <w:szCs w:val="18"/>
        </w:rPr>
        <w:t xml:space="preserve">, </w:t>
      </w:r>
      <w:r w:rsidRPr="00CD2D19">
        <w:rPr>
          <w:rStyle w:val="nlm-collab"/>
          <w:sz w:val="18"/>
          <w:szCs w:val="18"/>
        </w:rPr>
        <w:t>the Section on Developmental and Behavioral Pediatrics, Committee on Psychosocial Aspects of Child and Family Health, Council on Early Childhood and Society for Develop</w:t>
      </w:r>
      <w:r w:rsidRPr="00CD2D19">
        <w:rPr>
          <w:rStyle w:val="EndnoteTextChar"/>
          <w:sz w:val="18"/>
          <w:szCs w:val="18"/>
        </w:rPr>
        <w:t xml:space="preserve"> </w:t>
      </w:r>
      <w:r w:rsidRPr="00CD2D19">
        <w:rPr>
          <w:rStyle w:val="nlm-collab"/>
          <w:sz w:val="18"/>
          <w:szCs w:val="18"/>
        </w:rPr>
        <w:t>Mental and Behavioral Pediatrics</w:t>
      </w:r>
      <w:r w:rsidRPr="00CD2D19">
        <w:rPr>
          <w:sz w:val="18"/>
          <w:szCs w:val="18"/>
        </w:rPr>
        <w:t xml:space="preserve">. </w:t>
      </w:r>
      <w:r w:rsidRPr="00CD2D19">
        <w:rPr>
          <w:rStyle w:val="highwire-cite-metadata-journal"/>
          <w:i/>
          <w:sz w:val="18"/>
          <w:szCs w:val="18"/>
        </w:rPr>
        <w:t>Pediatrics</w:t>
      </w:r>
      <w:r w:rsidRPr="00CD2D19">
        <w:rPr>
          <w:rStyle w:val="highwire-cite-metadata-journal"/>
          <w:sz w:val="18"/>
          <w:szCs w:val="18"/>
        </w:rPr>
        <w:t xml:space="preserve"> </w:t>
      </w:r>
      <w:r w:rsidRPr="00CD2D19">
        <w:rPr>
          <w:rStyle w:val="highwire-cite-metadata-date1"/>
          <w:rFonts w:ascii="Times New Roman" w:hAnsi="Times New Roman" w:cs="Times New Roman"/>
          <w:sz w:val="18"/>
          <w:szCs w:val="18"/>
        </w:rPr>
        <w:t xml:space="preserve">Feb 2015, </w:t>
      </w:r>
      <w:r w:rsidRPr="00CD2D19">
        <w:rPr>
          <w:rStyle w:val="highwire-cite-metadata-volume"/>
          <w:sz w:val="18"/>
          <w:szCs w:val="18"/>
        </w:rPr>
        <w:t xml:space="preserve">135 </w:t>
      </w:r>
      <w:r w:rsidRPr="00CD2D19">
        <w:rPr>
          <w:rStyle w:val="highwire-cite-metadata-issue"/>
          <w:sz w:val="18"/>
          <w:szCs w:val="18"/>
        </w:rPr>
        <w:t xml:space="preserve">(2) </w:t>
      </w:r>
      <w:r w:rsidRPr="00CD2D19">
        <w:rPr>
          <w:rStyle w:val="highwire-cite-metadata-elocation-id-pages"/>
          <w:sz w:val="18"/>
          <w:szCs w:val="18"/>
        </w:rPr>
        <w:t>384-395.</w:t>
      </w:r>
      <w:r w:rsidRPr="00CD2D19">
        <w:rPr>
          <w:rStyle w:val="highwire-cite-metadata-doi"/>
          <w:sz w:val="18"/>
          <w:szCs w:val="18"/>
        </w:rPr>
        <w:t xml:space="preserve"> </w:t>
      </w:r>
    </w:p>
  </w:footnote>
  <w:footnote w:id="13">
    <w:p w:rsidR="009E6720" w:rsidRPr="00CD2D19" w:rsidRDefault="009E6720" w:rsidP="00967218">
      <w:pPr>
        <w:spacing w:after="0" w:line="240" w:lineRule="auto"/>
        <w:textAlignment w:val="baseline"/>
        <w:rPr>
          <w:sz w:val="18"/>
          <w:szCs w:val="18"/>
        </w:rPr>
      </w:pPr>
      <w:r w:rsidRPr="00CD2D19">
        <w:rPr>
          <w:rStyle w:val="FootnoteReference"/>
          <w:sz w:val="18"/>
          <w:szCs w:val="18"/>
        </w:rPr>
        <w:footnoteRef/>
      </w:r>
      <w:hyperlink r:id="rId2" w:history="1">
        <w:r w:rsidRPr="00CD2D19">
          <w:rPr>
            <w:rStyle w:val="highwire-cite-title1"/>
            <w:sz w:val="18"/>
            <w:szCs w:val="18"/>
          </w:rPr>
          <w:t>Identifying Infants and Young Children With Developmental Disorders in the Medical Home: An Algorithm for Developmental Surveillance and Screening</w:t>
        </w:r>
      </w:hyperlink>
      <w:r w:rsidRPr="00CD2D19">
        <w:rPr>
          <w:sz w:val="18"/>
          <w:szCs w:val="18"/>
        </w:rPr>
        <w:t xml:space="preserve"> </w:t>
      </w:r>
      <w:r w:rsidRPr="00CD2D19">
        <w:rPr>
          <w:rStyle w:val="nlm-collab"/>
          <w:sz w:val="18"/>
          <w:szCs w:val="18"/>
        </w:rPr>
        <w:t>Council on Children With Disabilities</w:t>
      </w:r>
      <w:r w:rsidRPr="00CD2D19">
        <w:rPr>
          <w:rStyle w:val="highwire-citation-authors3"/>
          <w:sz w:val="18"/>
          <w:szCs w:val="18"/>
        </w:rPr>
        <w:t xml:space="preserve">, </w:t>
      </w:r>
      <w:r w:rsidRPr="00CD2D19">
        <w:rPr>
          <w:rStyle w:val="nlm-collab"/>
          <w:sz w:val="18"/>
          <w:szCs w:val="18"/>
        </w:rPr>
        <w:t>Section on Developmental Behavioral Pediatrics</w:t>
      </w:r>
      <w:r w:rsidRPr="00CD2D19">
        <w:rPr>
          <w:rStyle w:val="highwire-citation-authors3"/>
          <w:sz w:val="18"/>
          <w:szCs w:val="18"/>
        </w:rPr>
        <w:t xml:space="preserve">, </w:t>
      </w:r>
      <w:r w:rsidRPr="00CD2D19">
        <w:rPr>
          <w:rStyle w:val="nlm-collab"/>
          <w:sz w:val="18"/>
          <w:szCs w:val="18"/>
        </w:rPr>
        <w:t>Bright Futures Steering Committee</w:t>
      </w:r>
      <w:r w:rsidRPr="00CD2D19">
        <w:rPr>
          <w:rStyle w:val="highwire-citation-authors3"/>
          <w:sz w:val="18"/>
          <w:szCs w:val="18"/>
        </w:rPr>
        <w:t xml:space="preserve">, </w:t>
      </w:r>
      <w:r w:rsidRPr="00CD2D19">
        <w:rPr>
          <w:rStyle w:val="nlm-collab"/>
          <w:sz w:val="18"/>
          <w:szCs w:val="18"/>
        </w:rPr>
        <w:t>Medical Home Initiatives for Children With Special Needs Project Advisory Committee</w:t>
      </w:r>
      <w:r w:rsidRPr="00CD2D19">
        <w:rPr>
          <w:sz w:val="18"/>
          <w:szCs w:val="18"/>
        </w:rPr>
        <w:t xml:space="preserve"> </w:t>
      </w:r>
      <w:r w:rsidRPr="00CD2D19">
        <w:rPr>
          <w:rStyle w:val="highwire-cite-metadata-journal"/>
          <w:i/>
          <w:sz w:val="18"/>
          <w:szCs w:val="18"/>
        </w:rPr>
        <w:t xml:space="preserve">Pediatrics </w:t>
      </w:r>
      <w:r w:rsidRPr="00CD2D19">
        <w:rPr>
          <w:rStyle w:val="highwire-cite-metadata-date1"/>
          <w:rFonts w:ascii="Times New Roman" w:hAnsi="Times New Roman" w:cs="Times New Roman"/>
          <w:sz w:val="18"/>
          <w:szCs w:val="18"/>
        </w:rPr>
        <w:t xml:space="preserve">Jul 2006, </w:t>
      </w:r>
      <w:r w:rsidRPr="00CD2D19">
        <w:rPr>
          <w:rStyle w:val="highwire-cite-metadata-volume"/>
          <w:sz w:val="18"/>
          <w:szCs w:val="18"/>
        </w:rPr>
        <w:t xml:space="preserve">118 </w:t>
      </w:r>
      <w:r w:rsidRPr="00CD2D19">
        <w:rPr>
          <w:rStyle w:val="highwire-cite-metadata-issue"/>
          <w:sz w:val="18"/>
          <w:szCs w:val="18"/>
        </w:rPr>
        <w:t xml:space="preserve">(1) </w:t>
      </w:r>
      <w:r w:rsidRPr="00CD2D19">
        <w:rPr>
          <w:rStyle w:val="highwire-cite-metadata-elocation-id-pages"/>
          <w:sz w:val="18"/>
          <w:szCs w:val="18"/>
        </w:rPr>
        <w:t>405-420.</w:t>
      </w:r>
    </w:p>
  </w:footnote>
  <w:footnote w:id="14">
    <w:p w:rsidR="009E6720" w:rsidRPr="00CD2D19" w:rsidRDefault="009E6720" w:rsidP="00967218">
      <w:pPr>
        <w:pStyle w:val="FootnoteText"/>
        <w:rPr>
          <w:rFonts w:ascii="Times New Roman" w:hAnsi="Times New Roman"/>
          <w:sz w:val="18"/>
          <w:szCs w:val="18"/>
        </w:rPr>
      </w:pPr>
      <w:r w:rsidRPr="00CD2D19">
        <w:rPr>
          <w:rStyle w:val="FootnoteReference"/>
          <w:rFonts w:ascii="Times New Roman" w:hAnsi="Times New Roman"/>
          <w:sz w:val="18"/>
          <w:szCs w:val="18"/>
        </w:rPr>
        <w:footnoteRef/>
      </w:r>
      <w:r w:rsidRPr="00CD2D19">
        <w:rPr>
          <w:rStyle w:val="A11"/>
          <w:rFonts w:ascii="Times New Roman" w:hAnsi="Times New Roman" w:cs="Times New Roman"/>
          <w:sz w:val="18"/>
          <w:szCs w:val="18"/>
        </w:rPr>
        <w:t>Massachusetts Department of Public Health Bureau of Substance Abuse Services. Provider Guide: Adolescent Screening, Brief Intervention, and Referral to Treatment Using the CRAFFT Screening Tool. Boston, MA. Massachusetts Department of Public Health, 2009.</w:t>
      </w:r>
    </w:p>
  </w:footnote>
  <w:footnote w:id="15">
    <w:p w:rsidR="009E6720" w:rsidRPr="003265BC" w:rsidRDefault="009E6720" w:rsidP="009D4266">
      <w:pPr>
        <w:pStyle w:val="FootnoteText"/>
        <w:rPr>
          <w:rFonts w:ascii="Times New Roman" w:hAnsi="Times New Roman"/>
          <w:sz w:val="18"/>
          <w:szCs w:val="18"/>
        </w:rPr>
      </w:pPr>
      <w:r w:rsidRPr="002213F3">
        <w:rPr>
          <w:rStyle w:val="FootnoteReference"/>
          <w:rFonts w:ascii="Times New Roman" w:hAnsi="Times New Roman"/>
          <w:sz w:val="18"/>
          <w:szCs w:val="16"/>
        </w:rPr>
        <w:footnoteRef/>
      </w:r>
      <w:r w:rsidRPr="008D3CB4">
        <w:rPr>
          <w:rFonts w:ascii="Times New Roman" w:hAnsi="Times New Roman"/>
          <w:sz w:val="18"/>
          <w:szCs w:val="16"/>
        </w:rPr>
        <w:t>American Hospital Association, Trendwatch, Bringing Behavioral Health into the Care Continuum, Opportunities to Improve, January 2012. Available at: http://www.aha.org/research/reports/tw/12jan-tw-behavhealth.pdf.</w:t>
      </w:r>
    </w:p>
  </w:footnote>
  <w:footnote w:id="16">
    <w:p w:rsidR="009E6720" w:rsidRPr="003265BC" w:rsidRDefault="009E6720" w:rsidP="009D4266">
      <w:pPr>
        <w:pStyle w:val="FootnoteText"/>
        <w:rPr>
          <w:rFonts w:ascii="Times New Roman" w:hAnsi="Times New Roman"/>
          <w:sz w:val="18"/>
          <w:szCs w:val="18"/>
        </w:rPr>
      </w:pPr>
      <w:r w:rsidRPr="003265BC">
        <w:rPr>
          <w:rStyle w:val="FootnoteReference"/>
          <w:rFonts w:ascii="Times New Roman" w:hAnsi="Times New Roman"/>
          <w:sz w:val="18"/>
          <w:szCs w:val="18"/>
        </w:rPr>
        <w:footnoteRef/>
      </w:r>
      <w:r w:rsidRPr="003265BC">
        <w:rPr>
          <w:rFonts w:ascii="Times New Roman" w:hAnsi="Times New Roman"/>
          <w:sz w:val="18"/>
          <w:szCs w:val="18"/>
        </w:rPr>
        <w:t>Institute of Medicine (US) Committee on Quality Assurance and Accreditation Guidelines for Managed Behavioral Health Care; Edmunds M, Frank R, Hogan M, et al., editors. Managing Managed Care: Quality Improvement in Behavioral Health. Washington (DC): National Academies Press (US); 1997. Available from: http://www.ncbi.nlm.nih.gov/books/NBK233235/</w:t>
      </w:r>
    </w:p>
  </w:footnote>
  <w:footnote w:id="17">
    <w:p w:rsidR="009E6720" w:rsidRPr="003265BC" w:rsidRDefault="009E6720" w:rsidP="009D4266">
      <w:pPr>
        <w:pStyle w:val="FootnoteText"/>
        <w:rPr>
          <w:rFonts w:ascii="Times New Roman" w:hAnsi="Times New Roman"/>
          <w:sz w:val="18"/>
          <w:szCs w:val="18"/>
        </w:rPr>
      </w:pPr>
      <w:r w:rsidRPr="003265BC">
        <w:rPr>
          <w:rStyle w:val="FootnoteReference"/>
          <w:rFonts w:ascii="Times New Roman" w:hAnsi="Times New Roman"/>
          <w:sz w:val="18"/>
          <w:szCs w:val="18"/>
        </w:rPr>
        <w:footnoteRef/>
      </w:r>
      <w:r w:rsidRPr="003265BC">
        <w:rPr>
          <w:rFonts w:ascii="Times New Roman" w:hAnsi="Times New Roman"/>
          <w:sz w:val="18"/>
          <w:szCs w:val="18"/>
        </w:rPr>
        <w:t>Kane JM, Robinson DG, Schooler NR, et al. Comprehensive versus usual community care for first-episode psychosis: 2-year outcomes from the NIMH RAISE early treatment program. Am J Psychiatry 2016; 173:362–</w:t>
      </w:r>
      <w:proofErr w:type="gramStart"/>
      <w:r w:rsidRPr="003265BC">
        <w:rPr>
          <w:rFonts w:ascii="Times New Roman" w:hAnsi="Times New Roman"/>
          <w:sz w:val="18"/>
          <w:szCs w:val="18"/>
        </w:rPr>
        <w:t>372.</w:t>
      </w:r>
      <w:proofErr w:type="gramEnd"/>
    </w:p>
  </w:footnote>
  <w:footnote w:id="18">
    <w:p w:rsidR="009E6720" w:rsidRPr="003265BC" w:rsidRDefault="009E6720" w:rsidP="009D4266">
      <w:pPr>
        <w:pStyle w:val="FootnoteText"/>
        <w:rPr>
          <w:rFonts w:ascii="Times New Roman" w:hAnsi="Times New Roman"/>
          <w:sz w:val="18"/>
          <w:szCs w:val="18"/>
        </w:rPr>
      </w:pPr>
      <w:r w:rsidRPr="003265BC">
        <w:rPr>
          <w:rStyle w:val="FootnoteReference"/>
          <w:rFonts w:ascii="Times New Roman" w:hAnsi="Times New Roman"/>
          <w:sz w:val="18"/>
          <w:szCs w:val="18"/>
        </w:rPr>
        <w:footnoteRef/>
      </w:r>
      <w:r w:rsidRPr="003265BC">
        <w:rPr>
          <w:rFonts w:ascii="Times New Roman" w:hAnsi="Times New Roman"/>
          <w:sz w:val="18"/>
          <w:szCs w:val="18"/>
        </w:rPr>
        <w:t xml:space="preserve">Krupski A, West II, Scharf DM, et al. </w:t>
      </w:r>
      <w:proofErr w:type="gramStart"/>
      <w:r w:rsidRPr="003265BC">
        <w:rPr>
          <w:rFonts w:ascii="Times New Roman" w:hAnsi="Times New Roman"/>
          <w:sz w:val="18"/>
          <w:szCs w:val="18"/>
        </w:rPr>
        <w:t>Integrating</w:t>
      </w:r>
      <w:proofErr w:type="gramEnd"/>
      <w:r w:rsidRPr="003265BC">
        <w:rPr>
          <w:rFonts w:ascii="Times New Roman" w:hAnsi="Times New Roman"/>
          <w:sz w:val="18"/>
          <w:szCs w:val="18"/>
        </w:rPr>
        <w:t xml:space="preserve"> primary care into community mental health centers: Impact on utilization and costs of health care. Psychiatric Services in Advance. 2016:1-7. doi: 10.1176/appi.ps.201500424.</w:t>
      </w:r>
    </w:p>
  </w:footnote>
  <w:footnote w:id="19">
    <w:p w:rsidR="009E6720" w:rsidRPr="003265BC" w:rsidRDefault="009E6720" w:rsidP="009D4266">
      <w:pPr>
        <w:pStyle w:val="FootnoteText"/>
        <w:rPr>
          <w:rFonts w:ascii="Times New Roman" w:hAnsi="Times New Roman"/>
          <w:sz w:val="18"/>
          <w:szCs w:val="18"/>
        </w:rPr>
      </w:pPr>
      <w:r w:rsidRPr="003265BC">
        <w:rPr>
          <w:rStyle w:val="FootnoteReference"/>
          <w:rFonts w:ascii="Times New Roman" w:hAnsi="Times New Roman"/>
          <w:sz w:val="18"/>
          <w:szCs w:val="18"/>
        </w:rPr>
        <w:footnoteRef/>
      </w:r>
      <w:r w:rsidRPr="003265BC">
        <w:rPr>
          <w:rFonts w:ascii="Times New Roman" w:hAnsi="Times New Roman"/>
          <w:sz w:val="18"/>
          <w:szCs w:val="18"/>
        </w:rPr>
        <w:t>Gilmer TP, Henwood BF, Goode M, et al. Implementation of integrated health homes and health outcomes for persons with serious mental illness in Los Angeles County. Psychiatric Services in Advance. 2016:1-6. doi: 10.1176/appi.ps.201500092.</w:t>
      </w:r>
    </w:p>
  </w:footnote>
  <w:footnote w:id="20">
    <w:p w:rsidR="009E6720" w:rsidRPr="003265BC" w:rsidRDefault="009E6720" w:rsidP="009D4266">
      <w:pPr>
        <w:pStyle w:val="FootnoteText"/>
        <w:rPr>
          <w:rFonts w:ascii="Times New Roman" w:hAnsi="Times New Roman"/>
          <w:sz w:val="18"/>
          <w:szCs w:val="18"/>
        </w:rPr>
      </w:pPr>
      <w:r w:rsidRPr="003265BC">
        <w:rPr>
          <w:rStyle w:val="FootnoteReference"/>
          <w:rFonts w:ascii="Times New Roman" w:hAnsi="Times New Roman"/>
          <w:sz w:val="18"/>
          <w:szCs w:val="18"/>
        </w:rPr>
        <w:footnoteRef/>
      </w:r>
      <w:r w:rsidRPr="003265BC">
        <w:rPr>
          <w:rFonts w:ascii="Times New Roman" w:hAnsi="Times New Roman"/>
          <w:sz w:val="18"/>
          <w:szCs w:val="18"/>
        </w:rPr>
        <w:t>American Hospital Association, Trendwatch, Bringing Behavioral Health into the Care Continuum, Opportunities to Improve, January 2012. Available at: http://www.aha.org/research/reports/tw/12jan-tw-behavhealth.pdf.</w:t>
      </w:r>
    </w:p>
  </w:footnote>
  <w:footnote w:id="21">
    <w:p w:rsidR="009E6720" w:rsidRPr="003265BC" w:rsidRDefault="009E6720" w:rsidP="009D4266">
      <w:pPr>
        <w:pStyle w:val="FootnoteText"/>
        <w:rPr>
          <w:rFonts w:ascii="Times New Roman" w:hAnsi="Times New Roman"/>
          <w:sz w:val="18"/>
          <w:szCs w:val="18"/>
        </w:rPr>
      </w:pPr>
      <w:r w:rsidRPr="003265BC">
        <w:rPr>
          <w:rStyle w:val="FootnoteReference"/>
          <w:rFonts w:ascii="Times New Roman" w:hAnsi="Times New Roman"/>
          <w:sz w:val="18"/>
          <w:szCs w:val="18"/>
        </w:rPr>
        <w:footnoteRef/>
      </w:r>
      <w:r w:rsidRPr="003265BC">
        <w:rPr>
          <w:rFonts w:ascii="Times New Roman" w:hAnsi="Times New Roman"/>
          <w:sz w:val="18"/>
          <w:szCs w:val="18"/>
        </w:rPr>
        <w:t>Druss BG, Zhao L, Von Esenwein S, Morrato EH, Marcus SC. Understanding excess mortality in persons with mental illness: 17-year follow up of a nationally representative US survey. Med. Care. Jun 2011</w:t>
      </w:r>
      <w:proofErr w:type="gramStart"/>
      <w:r w:rsidRPr="003265BC">
        <w:rPr>
          <w:rFonts w:ascii="Times New Roman" w:hAnsi="Times New Roman"/>
          <w:sz w:val="18"/>
          <w:szCs w:val="18"/>
        </w:rPr>
        <w:t>;49</w:t>
      </w:r>
      <w:proofErr w:type="gramEnd"/>
      <w:r w:rsidRPr="003265BC">
        <w:rPr>
          <w:rFonts w:ascii="Times New Roman" w:hAnsi="Times New Roman"/>
          <w:sz w:val="18"/>
          <w:szCs w:val="18"/>
        </w:rPr>
        <w:t>(6):599-604.</w:t>
      </w:r>
    </w:p>
  </w:footnote>
  <w:footnote w:id="22">
    <w:p w:rsidR="009E6720" w:rsidRPr="003265BC" w:rsidRDefault="009E6720" w:rsidP="009D4266">
      <w:pPr>
        <w:pStyle w:val="FootnoteText"/>
        <w:rPr>
          <w:rFonts w:ascii="Times New Roman" w:hAnsi="Times New Roman"/>
          <w:sz w:val="18"/>
          <w:szCs w:val="18"/>
        </w:rPr>
      </w:pPr>
      <w:r w:rsidRPr="003265BC">
        <w:rPr>
          <w:rStyle w:val="FootnoteReference"/>
          <w:rFonts w:ascii="Times New Roman" w:hAnsi="Times New Roman"/>
          <w:sz w:val="18"/>
          <w:szCs w:val="18"/>
        </w:rPr>
        <w:footnoteRef/>
      </w:r>
      <w:r w:rsidRPr="003265BC">
        <w:rPr>
          <w:rFonts w:ascii="Times New Roman" w:hAnsi="Times New Roman"/>
          <w:sz w:val="18"/>
          <w:szCs w:val="18"/>
        </w:rPr>
        <w:t>Colton CW, Manderscheid, RW. Congruencies in increased mortality rates, years of potential life lost, and causes of death among public mental health clients in eight states. Preventing Chronic Disease. 2006</w:t>
      </w:r>
      <w:proofErr w:type="gramStart"/>
      <w:r w:rsidRPr="003265BC">
        <w:rPr>
          <w:rFonts w:ascii="Times New Roman" w:hAnsi="Times New Roman"/>
          <w:sz w:val="18"/>
          <w:szCs w:val="18"/>
        </w:rPr>
        <w:t>;3</w:t>
      </w:r>
      <w:proofErr w:type="gramEnd"/>
      <w:r w:rsidRPr="003265BC">
        <w:rPr>
          <w:rFonts w:ascii="Times New Roman" w:hAnsi="Times New Roman"/>
          <w:sz w:val="18"/>
          <w:szCs w:val="18"/>
        </w:rPr>
        <w:t>(2):1-14.</w:t>
      </w:r>
    </w:p>
  </w:footnote>
  <w:footnote w:id="23">
    <w:p w:rsidR="009E6720" w:rsidRPr="003265BC" w:rsidRDefault="009E6720" w:rsidP="009D4266">
      <w:pPr>
        <w:pStyle w:val="FootnoteText"/>
        <w:rPr>
          <w:rFonts w:ascii="Times New Roman" w:hAnsi="Times New Roman"/>
          <w:sz w:val="18"/>
          <w:szCs w:val="18"/>
        </w:rPr>
      </w:pPr>
      <w:r w:rsidRPr="003265BC">
        <w:rPr>
          <w:rStyle w:val="FootnoteReference"/>
          <w:rFonts w:ascii="Times New Roman" w:hAnsi="Times New Roman"/>
          <w:sz w:val="18"/>
          <w:szCs w:val="18"/>
        </w:rPr>
        <w:footnoteRef/>
      </w:r>
      <w:r w:rsidRPr="003265BC">
        <w:rPr>
          <w:rFonts w:ascii="Times New Roman" w:hAnsi="Times New Roman"/>
          <w:sz w:val="18"/>
          <w:szCs w:val="18"/>
          <w:lang w:val="fr-FR"/>
        </w:rPr>
        <w:t xml:space="preserve">Nasrallah HA, Meyer JM, Goff DC, et al. </w:t>
      </w:r>
      <w:r w:rsidRPr="003265BC">
        <w:rPr>
          <w:rFonts w:ascii="Times New Roman" w:hAnsi="Times New Roman"/>
          <w:sz w:val="18"/>
          <w:szCs w:val="18"/>
        </w:rPr>
        <w:t>Low reates of treatment for hypertension, dyslipidemia and diabetes in schizophrenia: Data from the CATIE schizophrenia trial sample at baseline. Schizophrenia Research. 2006</w:t>
      </w:r>
      <w:proofErr w:type="gramStart"/>
      <w:r w:rsidRPr="003265BC">
        <w:rPr>
          <w:rFonts w:ascii="Times New Roman" w:hAnsi="Times New Roman"/>
          <w:sz w:val="18"/>
          <w:szCs w:val="18"/>
        </w:rPr>
        <w:t>;86</w:t>
      </w:r>
      <w:proofErr w:type="gramEnd"/>
      <w:r w:rsidRPr="003265BC">
        <w:rPr>
          <w:rFonts w:ascii="Times New Roman" w:hAnsi="Times New Roman"/>
          <w:sz w:val="18"/>
          <w:szCs w:val="18"/>
        </w:rPr>
        <w:t>(1-3):15-2.</w:t>
      </w:r>
    </w:p>
  </w:footnote>
  <w:footnote w:id="24">
    <w:p w:rsidR="009E6720" w:rsidRPr="003265BC" w:rsidRDefault="009E6720" w:rsidP="009D4266">
      <w:pPr>
        <w:pStyle w:val="FootnoteText"/>
        <w:rPr>
          <w:rFonts w:ascii="Times New Roman" w:hAnsi="Times New Roman"/>
          <w:sz w:val="18"/>
          <w:szCs w:val="18"/>
        </w:rPr>
      </w:pPr>
      <w:r w:rsidRPr="003265BC">
        <w:rPr>
          <w:rStyle w:val="FootnoteReference"/>
          <w:rFonts w:ascii="Times New Roman" w:hAnsi="Times New Roman"/>
          <w:sz w:val="18"/>
          <w:szCs w:val="18"/>
        </w:rPr>
        <w:footnoteRef/>
      </w:r>
      <w:r w:rsidRPr="003265BC">
        <w:rPr>
          <w:rFonts w:ascii="Times New Roman" w:hAnsi="Times New Roman"/>
          <w:sz w:val="18"/>
          <w:szCs w:val="18"/>
          <w:lang w:val="fr-FR"/>
        </w:rPr>
        <w:t xml:space="preserve">Meyer JM, Davis VG, Goff DC, et al. </w:t>
      </w:r>
      <w:r w:rsidRPr="003265BC">
        <w:rPr>
          <w:rFonts w:ascii="Times New Roman" w:hAnsi="Times New Roman"/>
          <w:sz w:val="18"/>
          <w:szCs w:val="18"/>
        </w:rPr>
        <w:t>Change in Metabolic Syndrome Parameters with Antipsychotic Treatment in the CATIE Schizophrenia Trial: Prospective Data from Phase 1. Schizophr. Res. 2008</w:t>
      </w:r>
      <w:proofErr w:type="gramStart"/>
      <w:r w:rsidRPr="003265BC">
        <w:rPr>
          <w:rFonts w:ascii="Times New Roman" w:hAnsi="Times New Roman"/>
          <w:sz w:val="18"/>
          <w:szCs w:val="18"/>
        </w:rPr>
        <w:t>;101</w:t>
      </w:r>
      <w:proofErr w:type="gramEnd"/>
      <w:r w:rsidRPr="003265BC">
        <w:rPr>
          <w:rFonts w:ascii="Times New Roman" w:hAnsi="Times New Roman"/>
          <w:sz w:val="18"/>
          <w:szCs w:val="18"/>
        </w:rPr>
        <w:t>(1-3):273-286.</w:t>
      </w:r>
    </w:p>
  </w:footnote>
  <w:footnote w:id="25">
    <w:p w:rsidR="009E6720" w:rsidRPr="00FE659E" w:rsidRDefault="009E6720" w:rsidP="009D4266">
      <w:pPr>
        <w:pStyle w:val="FootnoteText"/>
      </w:pPr>
      <w:r w:rsidRPr="003265BC">
        <w:rPr>
          <w:rStyle w:val="FootnoteReference"/>
          <w:rFonts w:ascii="Times New Roman" w:hAnsi="Times New Roman"/>
          <w:sz w:val="18"/>
          <w:szCs w:val="18"/>
        </w:rPr>
        <w:footnoteRef/>
      </w:r>
      <w:r w:rsidRPr="003265BC">
        <w:rPr>
          <w:rFonts w:ascii="Times New Roman" w:hAnsi="Times New Roman"/>
          <w:sz w:val="18"/>
          <w:szCs w:val="18"/>
        </w:rPr>
        <w:t>SAMHSA, Center for Behavioral Health Statistics and Quality, National Survey on Drug Use and Health, 2008-2010.</w:t>
      </w:r>
    </w:p>
  </w:footnote>
  <w:footnote w:id="26">
    <w:p w:rsidR="009E6720" w:rsidRPr="003265BC" w:rsidRDefault="009E6720" w:rsidP="009D4266">
      <w:pPr>
        <w:pStyle w:val="FootnoteText"/>
        <w:rPr>
          <w:rFonts w:ascii="Times New Roman" w:hAnsi="Times New Roman"/>
          <w:sz w:val="18"/>
          <w:szCs w:val="18"/>
        </w:rPr>
      </w:pPr>
      <w:r w:rsidRPr="003265BC">
        <w:rPr>
          <w:rStyle w:val="FootnoteReference"/>
          <w:rFonts w:ascii="Times New Roman" w:hAnsi="Times New Roman"/>
          <w:sz w:val="18"/>
          <w:szCs w:val="18"/>
        </w:rPr>
        <w:footnoteRef/>
      </w:r>
      <w:r w:rsidRPr="003265BC">
        <w:rPr>
          <w:rFonts w:ascii="Times New Roman" w:hAnsi="Times New Roman"/>
          <w:sz w:val="18"/>
          <w:szCs w:val="18"/>
        </w:rPr>
        <w:t xml:space="preserve">Substance Abuse and Mental Health Services Administration (SAMHSA). Behavioral Health Barometer: Massachusetts, 2015.  HHS Publication No. SMA–16–Baro–2015–MA. Rockville, MD: Substance Abuse and Mental Health Services Administration, 2015. </w:t>
      </w:r>
    </w:p>
  </w:footnote>
  <w:footnote w:id="27">
    <w:p w:rsidR="009E6720" w:rsidRPr="003265BC" w:rsidRDefault="009E6720" w:rsidP="009D4266">
      <w:pPr>
        <w:pStyle w:val="FootnoteText"/>
        <w:rPr>
          <w:rFonts w:ascii="Times New Roman" w:hAnsi="Times New Roman"/>
          <w:sz w:val="18"/>
          <w:szCs w:val="18"/>
        </w:rPr>
      </w:pPr>
      <w:r w:rsidRPr="003265BC">
        <w:rPr>
          <w:rStyle w:val="FootnoteReference"/>
          <w:rFonts w:ascii="Times New Roman" w:hAnsi="Times New Roman"/>
          <w:sz w:val="18"/>
          <w:szCs w:val="18"/>
        </w:rPr>
        <w:footnoteRef/>
      </w:r>
      <w:r w:rsidRPr="003265BC">
        <w:rPr>
          <w:rFonts w:ascii="Times New Roman" w:hAnsi="Times New Roman"/>
          <w:sz w:val="18"/>
          <w:szCs w:val="18"/>
        </w:rPr>
        <w:t>Colton CW, Manderscheid, RW. Congruencies in increased mortality rates, years of potential life lost, and causes of death among public mental health clients in eight states. Preventing Chronic Disease. 2006</w:t>
      </w:r>
      <w:proofErr w:type="gramStart"/>
      <w:r w:rsidRPr="003265BC">
        <w:rPr>
          <w:rFonts w:ascii="Times New Roman" w:hAnsi="Times New Roman"/>
          <w:sz w:val="18"/>
          <w:szCs w:val="18"/>
        </w:rPr>
        <w:t>;3</w:t>
      </w:r>
      <w:proofErr w:type="gramEnd"/>
      <w:r w:rsidRPr="003265BC">
        <w:rPr>
          <w:rFonts w:ascii="Times New Roman" w:hAnsi="Times New Roman"/>
          <w:sz w:val="18"/>
          <w:szCs w:val="18"/>
        </w:rPr>
        <w:t>(2):1-14.</w:t>
      </w:r>
    </w:p>
  </w:footnote>
  <w:footnote w:id="28">
    <w:p w:rsidR="009E6720" w:rsidRPr="003265BC" w:rsidRDefault="009E6720" w:rsidP="009D4266">
      <w:pPr>
        <w:pStyle w:val="FootnoteText"/>
        <w:rPr>
          <w:rFonts w:ascii="Times New Roman" w:hAnsi="Times New Roman"/>
          <w:sz w:val="18"/>
          <w:szCs w:val="18"/>
        </w:rPr>
      </w:pPr>
      <w:r w:rsidRPr="003265BC">
        <w:rPr>
          <w:rStyle w:val="FootnoteReference"/>
          <w:rFonts w:ascii="Times New Roman" w:hAnsi="Times New Roman"/>
          <w:sz w:val="18"/>
          <w:szCs w:val="18"/>
        </w:rPr>
        <w:footnoteRef/>
      </w:r>
      <w:r w:rsidRPr="003265BC">
        <w:rPr>
          <w:rFonts w:ascii="Times New Roman" w:hAnsi="Times New Roman"/>
          <w:sz w:val="18"/>
          <w:szCs w:val="18"/>
        </w:rPr>
        <w:t xml:space="preserve">Massachusetts Department of Public Health. Data Brief: Opioid-related Overdose Deaths </w:t>
      </w:r>
      <w:proofErr w:type="gramStart"/>
      <w:r w:rsidRPr="003265BC">
        <w:rPr>
          <w:rFonts w:ascii="Times New Roman" w:hAnsi="Times New Roman"/>
          <w:sz w:val="18"/>
          <w:szCs w:val="18"/>
        </w:rPr>
        <w:t>Among</w:t>
      </w:r>
      <w:proofErr w:type="gramEnd"/>
      <w:r w:rsidRPr="003265BC">
        <w:rPr>
          <w:rFonts w:ascii="Times New Roman" w:hAnsi="Times New Roman"/>
          <w:sz w:val="18"/>
          <w:szCs w:val="18"/>
        </w:rPr>
        <w:t xml:space="preserve"> Massachusetts Residents. May 2016. Available at: http://www.mass.gov/eohhs/docs/dph/quality/drugcontrol/county-level-pmp/data-brief-overdose-deaths-may-2016.pdf.  </w:t>
      </w:r>
    </w:p>
  </w:footnote>
  <w:footnote w:id="29">
    <w:p w:rsidR="009E6720" w:rsidRPr="003265BC" w:rsidRDefault="009E6720" w:rsidP="009D4266">
      <w:pPr>
        <w:pStyle w:val="FootnoteText"/>
        <w:rPr>
          <w:rFonts w:ascii="Times New Roman" w:hAnsi="Times New Roman"/>
          <w:sz w:val="18"/>
          <w:szCs w:val="18"/>
        </w:rPr>
      </w:pPr>
      <w:r w:rsidRPr="003265BC">
        <w:rPr>
          <w:rStyle w:val="FootnoteReference"/>
          <w:rFonts w:ascii="Times New Roman" w:hAnsi="Times New Roman"/>
          <w:sz w:val="18"/>
          <w:szCs w:val="18"/>
        </w:rPr>
        <w:footnoteRef/>
      </w:r>
      <w:r w:rsidRPr="003265BC">
        <w:rPr>
          <w:rFonts w:ascii="Times New Roman" w:hAnsi="Times New Roman"/>
          <w:sz w:val="18"/>
          <w:szCs w:val="18"/>
        </w:rPr>
        <w:t xml:space="preserve">Institute of Medicine (US) Committee on Quality Assurance and Accreditation Guidelines for Managed Behavioral Health Care; Edmunds M, Frank R, Hogan M, et al., editors. Managing Managed Care: Quality Improvement in Behavioral Health. Washington (DC): National Academies Press (US); 1997. Available from: </w:t>
      </w:r>
      <w:hyperlink r:id="rId3" w:history="1">
        <w:r w:rsidRPr="003265BC">
          <w:rPr>
            <w:rStyle w:val="Hyperlink"/>
            <w:rFonts w:ascii="Times New Roman" w:hAnsi="Times New Roman"/>
            <w:sz w:val="18"/>
            <w:szCs w:val="18"/>
          </w:rPr>
          <w:t>http://www.ncbi.nlm.nih.gov/books/NBK233235/</w:t>
        </w:r>
      </w:hyperlink>
    </w:p>
  </w:footnote>
  <w:footnote w:id="30">
    <w:p w:rsidR="009E6720" w:rsidRDefault="009E6720" w:rsidP="009D4266">
      <w:pPr>
        <w:pStyle w:val="FootnoteText"/>
      </w:pPr>
      <w:r w:rsidRPr="003265BC">
        <w:rPr>
          <w:rStyle w:val="FootnoteReference"/>
          <w:rFonts w:ascii="Times New Roman" w:hAnsi="Times New Roman"/>
          <w:sz w:val="18"/>
          <w:szCs w:val="18"/>
        </w:rPr>
        <w:footnoteRef/>
      </w:r>
      <w:r w:rsidRPr="003265BC">
        <w:rPr>
          <w:rFonts w:ascii="Times New Roman" w:hAnsi="Times New Roman"/>
          <w:sz w:val="18"/>
          <w:szCs w:val="18"/>
        </w:rPr>
        <w:t>Kane JM, Robinson DG, Schooler NR, et al. Comprehensive versus usual community care for first-episode psychosis: 2-year outcomes from the NIMH RAISE early treatment program. Am J Psychiatry 2016; 173:362–</w:t>
      </w:r>
      <w:proofErr w:type="gramStart"/>
      <w:r w:rsidRPr="003265BC">
        <w:rPr>
          <w:rFonts w:ascii="Times New Roman" w:hAnsi="Times New Roman"/>
          <w:sz w:val="18"/>
          <w:szCs w:val="18"/>
        </w:rPr>
        <w:t>372.</w:t>
      </w:r>
      <w:proofErr w:type="gramEnd"/>
    </w:p>
  </w:footnote>
  <w:footnote w:id="31">
    <w:p w:rsidR="009E6720" w:rsidRPr="003265BC" w:rsidRDefault="009E6720" w:rsidP="009D4266">
      <w:pPr>
        <w:pStyle w:val="FootnoteText"/>
        <w:rPr>
          <w:rFonts w:ascii="Times New Roman" w:hAnsi="Times New Roman"/>
          <w:sz w:val="18"/>
          <w:szCs w:val="18"/>
        </w:rPr>
      </w:pPr>
      <w:r w:rsidRPr="003265BC">
        <w:rPr>
          <w:rStyle w:val="FootnoteReference"/>
          <w:rFonts w:ascii="Times New Roman" w:hAnsi="Times New Roman"/>
          <w:sz w:val="18"/>
          <w:szCs w:val="18"/>
        </w:rPr>
        <w:footnoteRef/>
      </w:r>
      <w:r w:rsidRPr="003265BC">
        <w:rPr>
          <w:rFonts w:ascii="Times New Roman" w:hAnsi="Times New Roman"/>
          <w:sz w:val="18"/>
          <w:szCs w:val="18"/>
        </w:rPr>
        <w:t>Bartels S, Desilets R. Health Promotion Programs for People with Serious Mental Illness (Prepared by the Dartmouth Health Promotion Research Team). Washington, DC. SAMHSA-HRSA Center for Integrated Health Solutions. Jan 2012.</w:t>
      </w:r>
    </w:p>
  </w:footnote>
  <w:footnote w:id="32">
    <w:p w:rsidR="009E6720" w:rsidRPr="003265BC" w:rsidRDefault="009E6720" w:rsidP="009D4266">
      <w:pPr>
        <w:pStyle w:val="FootnoteText"/>
        <w:rPr>
          <w:rFonts w:ascii="Times New Roman" w:hAnsi="Times New Roman"/>
          <w:sz w:val="18"/>
          <w:szCs w:val="18"/>
        </w:rPr>
      </w:pPr>
      <w:r w:rsidRPr="003265BC">
        <w:rPr>
          <w:rStyle w:val="FootnoteReference"/>
          <w:rFonts w:ascii="Times New Roman" w:hAnsi="Times New Roman"/>
          <w:sz w:val="18"/>
          <w:szCs w:val="18"/>
        </w:rPr>
        <w:footnoteRef/>
      </w:r>
      <w:r w:rsidRPr="003265BC">
        <w:rPr>
          <w:rFonts w:ascii="Times New Roman" w:hAnsi="Times New Roman"/>
          <w:sz w:val="18"/>
          <w:szCs w:val="18"/>
          <w:lang w:val="fr-FR"/>
        </w:rPr>
        <w:t xml:space="preserve">Bruins J, Jorg F, Bruggeman R, Slooff C, Corpeleijn E, et al. </w:t>
      </w:r>
      <w:r w:rsidRPr="003265BC">
        <w:rPr>
          <w:rFonts w:ascii="Times New Roman" w:hAnsi="Times New Roman"/>
          <w:sz w:val="18"/>
          <w:szCs w:val="18"/>
        </w:rPr>
        <w:t xml:space="preserve">(2014) </w:t>
      </w:r>
      <w:proofErr w:type="gramStart"/>
      <w:r w:rsidRPr="003265BC">
        <w:rPr>
          <w:rFonts w:ascii="Times New Roman" w:hAnsi="Times New Roman"/>
          <w:sz w:val="18"/>
          <w:szCs w:val="18"/>
        </w:rPr>
        <w:t>The</w:t>
      </w:r>
      <w:proofErr w:type="gramEnd"/>
      <w:r w:rsidRPr="003265BC">
        <w:rPr>
          <w:rFonts w:ascii="Times New Roman" w:hAnsi="Times New Roman"/>
          <w:sz w:val="18"/>
          <w:szCs w:val="18"/>
        </w:rPr>
        <w:t xml:space="preserve"> Effects of Lifestyle Interventions on (Long-Term) Weight Management, Cardiometabolic Risk and Depressive Symptoms in People with Psychotic Disorders: A MetaAnalysis. PLoS ONE, 2014; 9(12); 1-20.</w:t>
      </w:r>
    </w:p>
  </w:footnote>
  <w:footnote w:id="33">
    <w:p w:rsidR="009E6720" w:rsidRPr="00BA5C59" w:rsidRDefault="009E6720">
      <w:pPr>
        <w:pStyle w:val="FootnoteText"/>
        <w:rPr>
          <w:rFonts w:ascii="Times New Roman" w:hAnsi="Times New Roman"/>
          <w:sz w:val="22"/>
        </w:rPr>
      </w:pPr>
      <w:r w:rsidRPr="008D3CB4">
        <w:rPr>
          <w:rStyle w:val="FootnoteReference"/>
          <w:rFonts w:ascii="Times New Roman" w:hAnsi="Times New Roman"/>
          <w:sz w:val="18"/>
        </w:rPr>
        <w:footnoteRef/>
      </w:r>
      <w:r w:rsidRPr="008D3CB4">
        <w:rPr>
          <w:rFonts w:ascii="Times New Roman" w:hAnsi="Times New Roman"/>
          <w:sz w:val="18"/>
        </w:rPr>
        <w:t>McGinnis et al. The Case for More Active Policy Attention to Health Promotion. Health Affairs 2002: 21(2); 78-93</w:t>
      </w:r>
    </w:p>
  </w:footnote>
  <w:footnote w:id="34">
    <w:p w:rsidR="009E6720" w:rsidRPr="00BA5C59" w:rsidRDefault="009E6720">
      <w:pPr>
        <w:pStyle w:val="FootnoteText"/>
        <w:rPr>
          <w:rFonts w:ascii="Times New Roman" w:hAnsi="Times New Roman"/>
          <w:sz w:val="18"/>
          <w:szCs w:val="16"/>
        </w:rPr>
      </w:pPr>
      <w:r w:rsidRPr="008D3CB4">
        <w:rPr>
          <w:rStyle w:val="FootnoteReference"/>
          <w:rFonts w:ascii="Times New Roman" w:hAnsi="Times New Roman"/>
          <w:sz w:val="18"/>
          <w:szCs w:val="16"/>
        </w:rPr>
        <w:footnoteRef/>
      </w:r>
      <w:r w:rsidRPr="008D3CB4">
        <w:rPr>
          <w:rFonts w:ascii="Times New Roman" w:hAnsi="Times New Roman"/>
          <w:sz w:val="18"/>
          <w:szCs w:val="16"/>
        </w:rPr>
        <w:t>IOM. Living well with chronic illness: a call for public health action. Washington, DC: The National Academies Press; 2012</w:t>
      </w:r>
    </w:p>
  </w:footnote>
  <w:footnote w:id="35">
    <w:p w:rsidR="009E6720" w:rsidRPr="00BA5C59" w:rsidRDefault="009E6720">
      <w:pPr>
        <w:pStyle w:val="FootnoteText"/>
        <w:rPr>
          <w:rFonts w:ascii="Times New Roman" w:hAnsi="Times New Roman"/>
          <w:sz w:val="18"/>
          <w:szCs w:val="16"/>
        </w:rPr>
      </w:pPr>
      <w:r w:rsidRPr="008D3CB4">
        <w:rPr>
          <w:rStyle w:val="FootnoteReference"/>
          <w:rFonts w:ascii="Times New Roman" w:hAnsi="Times New Roman"/>
          <w:sz w:val="18"/>
          <w:szCs w:val="16"/>
        </w:rPr>
        <w:footnoteRef/>
      </w:r>
      <w:r w:rsidRPr="008D3CB4">
        <w:rPr>
          <w:rFonts w:ascii="Times New Roman" w:hAnsi="Times New Roman"/>
          <w:sz w:val="18"/>
          <w:szCs w:val="16"/>
        </w:rPr>
        <w:t>Healthy People 2020. https://www.healthypeople.gov/2020/topics-objectives/topic/social-determinants-of-health</w:t>
      </w:r>
    </w:p>
  </w:footnote>
  <w:footnote w:id="36">
    <w:p w:rsidR="009E6720" w:rsidRPr="00BA5C59" w:rsidRDefault="009E6720">
      <w:pPr>
        <w:pStyle w:val="FootnoteText"/>
        <w:rPr>
          <w:rFonts w:ascii="Times New Roman" w:hAnsi="Times New Roman"/>
          <w:sz w:val="18"/>
          <w:szCs w:val="16"/>
        </w:rPr>
      </w:pPr>
      <w:r w:rsidRPr="008D3CB4">
        <w:rPr>
          <w:rStyle w:val="FootnoteReference"/>
          <w:rFonts w:ascii="Times New Roman" w:hAnsi="Times New Roman"/>
          <w:sz w:val="18"/>
          <w:szCs w:val="16"/>
        </w:rPr>
        <w:footnoteRef/>
      </w:r>
      <w:r w:rsidRPr="008D3CB4">
        <w:rPr>
          <w:rFonts w:ascii="Times New Roman" w:hAnsi="Times New Roman"/>
          <w:sz w:val="18"/>
          <w:szCs w:val="16"/>
        </w:rPr>
        <w:t>Alley DE, et al. Accountable Health Communities — Addressing Social Needs through Medicare and Medicaid. N Engl J Med 2016; 374:8-11.</w:t>
      </w:r>
    </w:p>
  </w:footnote>
  <w:footnote w:id="37">
    <w:p w:rsidR="009E6720" w:rsidRPr="00BA5C59" w:rsidRDefault="009E6720">
      <w:pPr>
        <w:pStyle w:val="FootnoteText"/>
        <w:rPr>
          <w:rFonts w:ascii="Times New Roman" w:hAnsi="Times New Roman"/>
          <w:sz w:val="18"/>
          <w:szCs w:val="16"/>
        </w:rPr>
      </w:pPr>
      <w:r w:rsidRPr="008D3CB4">
        <w:rPr>
          <w:rStyle w:val="FootnoteReference"/>
          <w:rFonts w:ascii="Times New Roman" w:hAnsi="Times New Roman"/>
          <w:sz w:val="18"/>
          <w:szCs w:val="16"/>
        </w:rPr>
        <w:footnoteRef/>
      </w:r>
      <w:r w:rsidRPr="008D3CB4">
        <w:rPr>
          <w:rFonts w:ascii="Times New Roman" w:hAnsi="Times New Roman"/>
          <w:sz w:val="18"/>
          <w:szCs w:val="16"/>
        </w:rPr>
        <w:t>CMS. CMS Equity Plan for Improving Quality in Medicare. Sept 2015. https://www.cms.gov/About-CMS/Agency-Information/OMH/OMH_Dwnld-CMS_EquityPlanforMedicare_090615.pdf</w:t>
      </w:r>
    </w:p>
  </w:footnote>
  <w:footnote w:id="38">
    <w:p w:rsidR="009E6720" w:rsidRDefault="009E6720">
      <w:pPr>
        <w:pStyle w:val="FootnoteText"/>
      </w:pPr>
      <w:r w:rsidRPr="008D3CB4">
        <w:rPr>
          <w:rStyle w:val="FootnoteReference"/>
          <w:rFonts w:ascii="Times New Roman" w:hAnsi="Times New Roman"/>
          <w:sz w:val="18"/>
          <w:szCs w:val="16"/>
        </w:rPr>
        <w:footnoteRef/>
      </w:r>
      <w:r w:rsidRPr="008D3CB4">
        <w:rPr>
          <w:rFonts w:ascii="Times New Roman" w:hAnsi="Times New Roman"/>
          <w:sz w:val="18"/>
          <w:szCs w:val="16"/>
        </w:rPr>
        <w:t>CMS. https://www.medicaid.gov/medicaid-chip-program-information/by-topics/quality-of-care/quality-of-care-health-disparities.html</w:t>
      </w:r>
    </w:p>
  </w:footnote>
  <w:footnote w:id="39">
    <w:p w:rsidR="009E6720" w:rsidRPr="000838EB" w:rsidRDefault="009E6720" w:rsidP="000838EB">
      <w:pPr>
        <w:pStyle w:val="FootnoteText"/>
        <w:rPr>
          <w:rFonts w:ascii="Times New Roman" w:hAnsi="Times New Roman"/>
          <w:sz w:val="18"/>
          <w:szCs w:val="18"/>
        </w:rPr>
      </w:pPr>
      <w:r w:rsidRPr="000838EB">
        <w:rPr>
          <w:rStyle w:val="FootnoteReference"/>
          <w:rFonts w:ascii="Times New Roman" w:hAnsi="Times New Roman"/>
          <w:sz w:val="18"/>
          <w:szCs w:val="18"/>
        </w:rPr>
        <w:footnoteRef/>
      </w:r>
      <w:r w:rsidRPr="000838EB">
        <w:rPr>
          <w:rFonts w:ascii="Times New Roman" w:hAnsi="Times New Roman"/>
          <w:sz w:val="18"/>
          <w:szCs w:val="18"/>
        </w:rPr>
        <w:t>Institute for Clinical and Economic Review. March, 2015. Integrating Behavioral Health into Primary Care.</w:t>
      </w:r>
    </w:p>
  </w:footnote>
  <w:footnote w:id="40">
    <w:p w:rsidR="009E6720" w:rsidRPr="000838EB" w:rsidRDefault="009E6720" w:rsidP="000838EB">
      <w:pPr>
        <w:pStyle w:val="FootnoteText"/>
        <w:ind w:left="90" w:hanging="90"/>
        <w:rPr>
          <w:rFonts w:ascii="Times New Roman" w:hAnsi="Times New Roman"/>
          <w:sz w:val="18"/>
          <w:szCs w:val="18"/>
        </w:rPr>
      </w:pPr>
      <w:r w:rsidRPr="000838EB">
        <w:rPr>
          <w:rStyle w:val="FootnoteReference"/>
          <w:rFonts w:ascii="Times New Roman" w:hAnsi="Times New Roman"/>
          <w:sz w:val="18"/>
          <w:szCs w:val="18"/>
        </w:rPr>
        <w:footnoteRef/>
      </w:r>
      <w:r w:rsidRPr="000838EB">
        <w:rPr>
          <w:rFonts w:ascii="Times New Roman" w:hAnsi="Times New Roman"/>
          <w:sz w:val="18"/>
          <w:szCs w:val="18"/>
        </w:rPr>
        <w:t xml:space="preserve">Unützer J, Katon WJ, Williams JW, Callahan CM, Harpole L, Hunkeler EM, Hoffing M, Areán PA, Hegel MT, Schoenbaum M, </w:t>
      </w:r>
      <w:proofErr w:type="gramStart"/>
      <w:r w:rsidRPr="000838EB">
        <w:rPr>
          <w:rFonts w:ascii="Times New Roman" w:hAnsi="Times New Roman"/>
          <w:sz w:val="18"/>
          <w:szCs w:val="18"/>
        </w:rPr>
        <w:t>Oishi</w:t>
      </w:r>
      <w:proofErr w:type="gramEnd"/>
      <w:r w:rsidRPr="000838EB">
        <w:rPr>
          <w:rFonts w:ascii="Times New Roman" w:hAnsi="Times New Roman"/>
          <w:sz w:val="18"/>
          <w:szCs w:val="18"/>
        </w:rPr>
        <w:t xml:space="preserve"> SM, Langston CA. Improving primary care for depression in late life: the design of a multi-center randomized trial. Medical Care. 2001; 39:785-799.</w:t>
      </w:r>
    </w:p>
  </w:footnote>
  <w:footnote w:id="41">
    <w:p w:rsidR="009E6720" w:rsidRPr="000838EB" w:rsidRDefault="009E6720" w:rsidP="000838EB">
      <w:pPr>
        <w:pStyle w:val="FootnoteText"/>
        <w:ind w:left="90" w:hanging="90"/>
        <w:rPr>
          <w:rFonts w:ascii="Times New Roman" w:hAnsi="Times New Roman"/>
          <w:sz w:val="18"/>
          <w:szCs w:val="18"/>
        </w:rPr>
      </w:pPr>
      <w:r w:rsidRPr="000838EB">
        <w:rPr>
          <w:rStyle w:val="FootnoteReference"/>
          <w:rFonts w:ascii="Times New Roman" w:hAnsi="Times New Roman"/>
          <w:sz w:val="18"/>
          <w:szCs w:val="18"/>
        </w:rPr>
        <w:footnoteRef/>
      </w:r>
      <w:r w:rsidRPr="000838EB">
        <w:rPr>
          <w:rFonts w:ascii="Times New Roman" w:hAnsi="Times New Roman"/>
          <w:sz w:val="18"/>
          <w:szCs w:val="18"/>
        </w:rPr>
        <w:t>The Diamond Model is based on the Collaborative Care Model for depression by Wayne Katon, MD and the IMPACT Study by Jurgen Unutzer, MD as well as numerous other controlled trials from Institute for Clinical Systems Improvement and Minnesota Family Health Services presentation to the Institute for HealthCare Improvement Annual Forum, Dec 2010.</w:t>
      </w:r>
    </w:p>
  </w:footnote>
  <w:footnote w:id="42">
    <w:p w:rsidR="009E6720" w:rsidRPr="000838EB" w:rsidRDefault="009E6720" w:rsidP="000838EB">
      <w:pPr>
        <w:pStyle w:val="FootnoteText"/>
        <w:ind w:left="90" w:hanging="90"/>
        <w:rPr>
          <w:rFonts w:ascii="Times New Roman" w:hAnsi="Times New Roman"/>
          <w:sz w:val="18"/>
          <w:szCs w:val="18"/>
        </w:rPr>
      </w:pPr>
      <w:r w:rsidRPr="000838EB">
        <w:rPr>
          <w:rStyle w:val="FootnoteReference"/>
          <w:rFonts w:ascii="Times New Roman" w:hAnsi="Times New Roman"/>
          <w:sz w:val="18"/>
          <w:szCs w:val="18"/>
        </w:rPr>
        <w:footnoteRef/>
      </w:r>
      <w:r w:rsidRPr="000838EB">
        <w:rPr>
          <w:rFonts w:ascii="Times New Roman" w:hAnsi="Times New Roman"/>
          <w:sz w:val="18"/>
          <w:szCs w:val="18"/>
        </w:rPr>
        <w:t>Gilbody S, Bower P, Fletcher J, Richards D, Sutton A. “Collaborative Care for Depression: A Cumulative Meta-analysis and Review of Longer-term Outcomes.” ARCH INTERN MED/VOL 166, NOV 27, 2006</w:t>
      </w:r>
    </w:p>
  </w:footnote>
  <w:footnote w:id="43">
    <w:p w:rsidR="009E6720" w:rsidRPr="000838EB" w:rsidRDefault="009E6720" w:rsidP="000838EB">
      <w:pPr>
        <w:pStyle w:val="FootnoteText"/>
        <w:rPr>
          <w:rFonts w:ascii="Times New Roman" w:hAnsi="Times New Roman"/>
          <w:sz w:val="18"/>
          <w:szCs w:val="18"/>
        </w:rPr>
      </w:pPr>
      <w:r w:rsidRPr="000838EB">
        <w:rPr>
          <w:rStyle w:val="FootnoteReference"/>
          <w:rFonts w:ascii="Times New Roman" w:hAnsi="Times New Roman"/>
          <w:sz w:val="18"/>
          <w:szCs w:val="18"/>
        </w:rPr>
        <w:footnoteRef/>
      </w:r>
      <w:r w:rsidRPr="000838EB">
        <w:rPr>
          <w:rFonts w:ascii="Times New Roman" w:hAnsi="Times New Roman"/>
          <w:sz w:val="18"/>
          <w:szCs w:val="18"/>
        </w:rPr>
        <w:t>Williams J et.al. “Systematic review of multifaceted interventions to improve depression care.” General Hospital Psychiatry, 29 (2007) 91–116.</w:t>
      </w:r>
    </w:p>
  </w:footnote>
  <w:footnote w:id="44">
    <w:p w:rsidR="009E6720" w:rsidRPr="000838EB" w:rsidRDefault="009E6720" w:rsidP="000838EB">
      <w:pPr>
        <w:pStyle w:val="FootnoteText"/>
        <w:rPr>
          <w:rFonts w:ascii="Times New Roman" w:hAnsi="Times New Roman"/>
          <w:sz w:val="18"/>
          <w:szCs w:val="18"/>
        </w:rPr>
      </w:pPr>
      <w:r w:rsidRPr="000838EB">
        <w:rPr>
          <w:rStyle w:val="FootnoteReference"/>
          <w:rFonts w:ascii="Times New Roman" w:hAnsi="Times New Roman"/>
          <w:sz w:val="18"/>
          <w:szCs w:val="18"/>
        </w:rPr>
        <w:footnoteRef/>
      </w:r>
      <w:r w:rsidRPr="000838EB">
        <w:rPr>
          <w:rFonts w:ascii="Times New Roman" w:hAnsi="Times New Roman"/>
          <w:color w:val="222222"/>
          <w:sz w:val="18"/>
          <w:szCs w:val="18"/>
          <w:shd w:val="clear" w:color="auto" w:fill="FFFFFF"/>
        </w:rPr>
        <w:t>Archer, Janine, et al. "Collaborative care for depression and anxiety problems."</w:t>
      </w:r>
      <w:r w:rsidRPr="000838EB">
        <w:rPr>
          <w:rStyle w:val="apple-converted-space"/>
          <w:rFonts w:ascii="Times New Roman" w:hAnsi="Times New Roman"/>
          <w:color w:val="222222"/>
          <w:sz w:val="18"/>
          <w:szCs w:val="18"/>
          <w:shd w:val="clear" w:color="auto" w:fill="FFFFFF"/>
        </w:rPr>
        <w:t> </w:t>
      </w:r>
      <w:r w:rsidRPr="000838EB">
        <w:rPr>
          <w:rFonts w:ascii="Times New Roman" w:hAnsi="Times New Roman"/>
          <w:i/>
          <w:iCs/>
          <w:color w:val="222222"/>
          <w:sz w:val="18"/>
          <w:szCs w:val="18"/>
          <w:shd w:val="clear" w:color="auto" w:fill="FFFFFF"/>
        </w:rPr>
        <w:t>The Cochrane Library</w:t>
      </w:r>
      <w:r w:rsidRPr="000838EB">
        <w:rPr>
          <w:rStyle w:val="apple-converted-space"/>
          <w:rFonts w:ascii="Times New Roman" w:hAnsi="Times New Roman"/>
          <w:color w:val="222222"/>
          <w:sz w:val="18"/>
          <w:szCs w:val="18"/>
          <w:shd w:val="clear" w:color="auto" w:fill="FFFFFF"/>
        </w:rPr>
        <w:t> </w:t>
      </w:r>
      <w:r w:rsidRPr="000838EB">
        <w:rPr>
          <w:rFonts w:ascii="Times New Roman" w:hAnsi="Times New Roman"/>
          <w:color w:val="222222"/>
          <w:sz w:val="18"/>
          <w:szCs w:val="18"/>
          <w:shd w:val="clear" w:color="auto" w:fill="FFFFFF"/>
        </w:rPr>
        <w:t>(2012)</w:t>
      </w:r>
      <w:r w:rsidRPr="000838EB">
        <w:rPr>
          <w:rFonts w:ascii="Times New Roman" w:hAnsi="Times New Roman"/>
          <w:sz w:val="18"/>
          <w:szCs w:val="18"/>
        </w:rPr>
        <w:t>.</w:t>
      </w:r>
    </w:p>
  </w:footnote>
  <w:footnote w:id="45">
    <w:p w:rsidR="009E6720" w:rsidRPr="00D63384" w:rsidRDefault="009E6720" w:rsidP="000838EB">
      <w:pPr>
        <w:pStyle w:val="FootnoteText"/>
        <w:rPr>
          <w:rFonts w:asciiTheme="majorHAnsi" w:hAnsiTheme="majorHAnsi"/>
          <w:sz w:val="18"/>
          <w:szCs w:val="18"/>
        </w:rPr>
      </w:pPr>
      <w:r w:rsidRPr="000838EB">
        <w:rPr>
          <w:rStyle w:val="FootnoteReference"/>
          <w:rFonts w:ascii="Times New Roman" w:hAnsi="Times New Roman"/>
          <w:sz w:val="18"/>
          <w:szCs w:val="18"/>
        </w:rPr>
        <w:footnoteRef/>
      </w:r>
      <w:r w:rsidRPr="000838EB">
        <w:rPr>
          <w:rFonts w:ascii="Times New Roman" w:hAnsi="Times New Roman"/>
          <w:sz w:val="18"/>
          <w:szCs w:val="18"/>
        </w:rPr>
        <w:t>Katon WJ. “Collaborative Depression Care Models: From Development to Dissemination.” American Journal of Preventive Medicine, 012</w:t>
      </w:r>
      <w:proofErr w:type="gramStart"/>
      <w:r w:rsidRPr="000838EB">
        <w:rPr>
          <w:rFonts w:ascii="Times New Roman" w:hAnsi="Times New Roman"/>
          <w:sz w:val="18"/>
          <w:szCs w:val="18"/>
        </w:rPr>
        <w:t>;42</w:t>
      </w:r>
      <w:proofErr w:type="gramEnd"/>
      <w:r w:rsidRPr="000838EB">
        <w:rPr>
          <w:rFonts w:ascii="Times New Roman" w:hAnsi="Times New Roman"/>
          <w:sz w:val="18"/>
          <w:szCs w:val="18"/>
        </w:rPr>
        <w:t>(5):550–552.</w:t>
      </w:r>
    </w:p>
  </w:footnote>
  <w:footnote w:id="46">
    <w:p w:rsidR="009E6720" w:rsidRPr="000838EB" w:rsidRDefault="009E6720" w:rsidP="00781BA6">
      <w:pPr>
        <w:pStyle w:val="FootnoteText"/>
        <w:rPr>
          <w:rFonts w:ascii="Times New Roman" w:hAnsi="Times New Roman"/>
          <w:sz w:val="18"/>
          <w:szCs w:val="18"/>
        </w:rPr>
      </w:pPr>
      <w:r w:rsidRPr="000838EB">
        <w:rPr>
          <w:rStyle w:val="FootnoteReference"/>
          <w:rFonts w:ascii="Times New Roman" w:hAnsi="Times New Roman"/>
          <w:sz w:val="18"/>
          <w:szCs w:val="18"/>
        </w:rPr>
        <w:footnoteRef/>
      </w:r>
      <w:r w:rsidRPr="000838EB">
        <w:rPr>
          <w:rFonts w:ascii="Times New Roman" w:hAnsi="Times New Roman"/>
          <w:sz w:val="18"/>
          <w:szCs w:val="18"/>
        </w:rPr>
        <w:t xml:space="preserve">Agency for Healthcare Research and Quality website: </w:t>
      </w:r>
      <w:hyperlink r:id="rId4" w:history="1">
        <w:r w:rsidRPr="000838EB">
          <w:rPr>
            <w:rStyle w:val="Hyperlink"/>
            <w:rFonts w:ascii="Times New Roman" w:hAnsi="Times New Roman"/>
            <w:sz w:val="18"/>
            <w:szCs w:val="18"/>
          </w:rPr>
          <w:t>http://www.ahrq.gov/research/findings/evidence-based-reports/mhsapctp.html</w:t>
        </w:r>
      </w:hyperlink>
    </w:p>
    <w:p w:rsidR="009E6720" w:rsidRPr="000838EB" w:rsidRDefault="009E6720" w:rsidP="00781BA6">
      <w:pPr>
        <w:pStyle w:val="FootnoteText"/>
        <w:ind w:left="90" w:hanging="90"/>
        <w:rPr>
          <w:rFonts w:ascii="Times New Roman" w:hAnsi="Times New Roman"/>
          <w:sz w:val="18"/>
          <w:szCs w:val="18"/>
        </w:rPr>
      </w:pPr>
      <w:r w:rsidRPr="000838EB">
        <w:rPr>
          <w:rFonts w:ascii="Times New Roman" w:hAnsi="Times New Roman"/>
          <w:i/>
          <w:iCs/>
          <w:sz w:val="18"/>
          <w:szCs w:val="18"/>
        </w:rPr>
        <w:t>Integration of Mental Health/Substance Abuse and Primary Care</w:t>
      </w:r>
      <w:r w:rsidRPr="000838EB">
        <w:rPr>
          <w:rFonts w:ascii="Times New Roman" w:hAnsi="Times New Roman"/>
          <w:sz w:val="18"/>
          <w:szCs w:val="18"/>
        </w:rPr>
        <w:t>, Structured Abstract. October 2008. Agency for Healthcare Research and Quality, Rockville, MD.</w:t>
      </w:r>
      <w:r w:rsidRPr="000838EB">
        <w:rPr>
          <w:rFonts w:ascii="Times New Roman" w:hAnsi="Times New Roman"/>
          <w:color w:val="333333"/>
          <w:sz w:val="18"/>
          <w:szCs w:val="18"/>
        </w:rPr>
        <w:t xml:space="preserve"> </w:t>
      </w:r>
      <w:hyperlink r:id="rId5" w:history="1">
        <w:r w:rsidRPr="000838EB">
          <w:rPr>
            <w:rStyle w:val="Hyperlink"/>
            <w:rFonts w:ascii="Times New Roman" w:hAnsi="Times New Roman"/>
            <w:sz w:val="18"/>
            <w:szCs w:val="18"/>
          </w:rPr>
          <w:t>http://www.ahrq.gov/clinic/tp/mhsapctp.htm</w:t>
        </w:r>
      </w:hyperlink>
    </w:p>
  </w:footnote>
  <w:footnote w:id="47">
    <w:p w:rsidR="009E6720" w:rsidRPr="000838EB" w:rsidRDefault="009E6720" w:rsidP="00781BA6">
      <w:pPr>
        <w:pStyle w:val="FootnoteText"/>
        <w:ind w:left="180" w:hanging="180"/>
        <w:rPr>
          <w:rFonts w:ascii="Times New Roman" w:hAnsi="Times New Roman"/>
          <w:sz w:val="18"/>
          <w:szCs w:val="18"/>
        </w:rPr>
      </w:pPr>
      <w:r w:rsidRPr="000838EB">
        <w:rPr>
          <w:rStyle w:val="FootnoteReference"/>
          <w:rFonts w:ascii="Times New Roman" w:hAnsi="Times New Roman"/>
          <w:sz w:val="18"/>
          <w:szCs w:val="18"/>
        </w:rPr>
        <w:footnoteRef/>
      </w:r>
      <w:r w:rsidRPr="000838EB">
        <w:rPr>
          <w:rFonts w:ascii="Times New Roman" w:hAnsi="Times New Roman"/>
          <w:sz w:val="18"/>
          <w:szCs w:val="18"/>
        </w:rPr>
        <w:t>Substance Abuse and Mental Health Services Administration (SAMHSA) Center for Integrated Health Solutions research: http://www.integration.samhsa.gov/about-us/CIHS_NACHC_BH_Integration_September_19_2013_FINAL.pdf</w:t>
      </w:r>
    </w:p>
  </w:footnote>
  <w:footnote w:id="48">
    <w:p w:rsidR="009E6720" w:rsidRPr="000838EB" w:rsidRDefault="009E6720" w:rsidP="00781BA6">
      <w:pPr>
        <w:pStyle w:val="FootnoteText"/>
        <w:rPr>
          <w:rFonts w:ascii="Times New Roman" w:hAnsi="Times New Roman"/>
          <w:sz w:val="18"/>
          <w:szCs w:val="18"/>
        </w:rPr>
      </w:pPr>
      <w:r w:rsidRPr="000838EB">
        <w:rPr>
          <w:rStyle w:val="FootnoteReference"/>
          <w:rFonts w:ascii="Times New Roman" w:hAnsi="Times New Roman"/>
          <w:color w:val="000000" w:themeColor="text1"/>
          <w:sz w:val="18"/>
          <w:szCs w:val="18"/>
        </w:rPr>
        <w:footnoteRef/>
      </w:r>
      <w:r w:rsidRPr="000838EB">
        <w:rPr>
          <w:rFonts w:ascii="Times New Roman" w:hAnsi="Times New Roman"/>
          <w:color w:val="000000" w:themeColor="text1"/>
          <w:sz w:val="18"/>
          <w:szCs w:val="18"/>
        </w:rPr>
        <w:t xml:space="preserve">Substance Abuse and Mental Health Services Administration. </w:t>
      </w:r>
      <w:r w:rsidRPr="000838EB">
        <w:rPr>
          <w:rFonts w:ascii="Times New Roman" w:hAnsi="Times New Roman"/>
          <w:i/>
          <w:iCs/>
          <w:color w:val="000000" w:themeColor="text1"/>
          <w:sz w:val="18"/>
          <w:szCs w:val="18"/>
        </w:rPr>
        <w:t>Behavioral Health Barometer: Massachusetts, 2015.</w:t>
      </w:r>
      <w:r w:rsidRPr="000838EB">
        <w:rPr>
          <w:rFonts w:ascii="Times New Roman" w:hAnsi="Times New Roman"/>
          <w:color w:val="000000" w:themeColor="text1"/>
          <w:sz w:val="18"/>
          <w:szCs w:val="18"/>
        </w:rPr>
        <w:t xml:space="preserve"> HHS Publication No. SMA-16-BARO-2015-MA. Rockville, MD: Substance Abuse and Mental Health Services Administration, 2015.</w:t>
      </w:r>
    </w:p>
  </w:footnote>
  <w:footnote w:id="49">
    <w:p w:rsidR="009E6720" w:rsidRPr="000838EB" w:rsidRDefault="009E6720" w:rsidP="00781BA6">
      <w:pPr>
        <w:pStyle w:val="FootnoteText"/>
        <w:rPr>
          <w:rFonts w:ascii="Times New Roman" w:hAnsi="Times New Roman"/>
          <w:sz w:val="18"/>
          <w:szCs w:val="18"/>
        </w:rPr>
      </w:pPr>
      <w:r w:rsidRPr="000838EB">
        <w:rPr>
          <w:rStyle w:val="FootnoteReference"/>
          <w:rFonts w:ascii="Times New Roman" w:hAnsi="Times New Roman"/>
          <w:sz w:val="18"/>
          <w:szCs w:val="18"/>
        </w:rPr>
        <w:footnoteRef/>
      </w:r>
      <w:r w:rsidRPr="000838EB">
        <w:rPr>
          <w:rFonts w:ascii="Times New Roman" w:hAnsi="Times New Roman"/>
          <w:sz w:val="18"/>
          <w:szCs w:val="18"/>
        </w:rPr>
        <w:t>http://www.mass.gov/eohhs/docs/dph/quality/drugcontrol/county-level-pmp/data-brief-overdose-deaths-may-2016.pdf</w:t>
      </w:r>
    </w:p>
  </w:footnote>
  <w:footnote w:id="50">
    <w:p w:rsidR="009E6720" w:rsidRPr="000838EB" w:rsidRDefault="009E6720" w:rsidP="00781BA6">
      <w:pPr>
        <w:pStyle w:val="FootnoteText"/>
        <w:rPr>
          <w:rFonts w:ascii="Times New Roman" w:hAnsi="Times New Roman"/>
          <w:sz w:val="18"/>
          <w:szCs w:val="18"/>
        </w:rPr>
      </w:pPr>
      <w:r w:rsidRPr="000838EB">
        <w:rPr>
          <w:rStyle w:val="FootnoteReference"/>
          <w:rFonts w:ascii="Times New Roman" w:hAnsi="Times New Roman"/>
          <w:color w:val="000000" w:themeColor="text1"/>
          <w:sz w:val="18"/>
          <w:szCs w:val="18"/>
        </w:rPr>
        <w:footnoteRef/>
      </w:r>
      <w:r w:rsidRPr="000838EB">
        <w:rPr>
          <w:rFonts w:ascii="Times New Roman" w:hAnsi="Times New Roman"/>
          <w:bCs/>
          <w:color w:val="000000" w:themeColor="text1"/>
          <w:sz w:val="18"/>
          <w:szCs w:val="18"/>
        </w:rPr>
        <w:t>https://www.drugabuse.gov/publications/teaching-packets/understanding-drug-abuse-addiction/section-iv/6-cost-effectiveness-drug-treatment</w:t>
      </w:r>
    </w:p>
  </w:footnote>
  <w:footnote w:id="51">
    <w:p w:rsidR="009E6720" w:rsidRDefault="009E6720" w:rsidP="00781BA6">
      <w:pPr>
        <w:pStyle w:val="FootnoteText"/>
      </w:pPr>
      <w:r w:rsidRPr="000838EB">
        <w:rPr>
          <w:rStyle w:val="FootnoteReference"/>
          <w:rFonts w:ascii="Times New Roman" w:hAnsi="Times New Roman"/>
          <w:sz w:val="18"/>
          <w:szCs w:val="18"/>
        </w:rPr>
        <w:footnoteRef/>
      </w:r>
      <w:r w:rsidRPr="000838EB">
        <w:rPr>
          <w:rFonts w:ascii="Times New Roman" w:hAnsi="Times New Roman"/>
          <w:sz w:val="18"/>
          <w:szCs w:val="18"/>
        </w:rPr>
        <w:t>http://www.uspreventiveservicestaskforce.org/Page/Document/RecommendationStatementFinal/alcohol-misuse-screening-and-behavioral-counseling-interventions-in-primary-care</w:t>
      </w:r>
    </w:p>
  </w:footnote>
  <w:footnote w:id="52">
    <w:p w:rsidR="009E6720" w:rsidRPr="00CD2D19" w:rsidRDefault="009E6720" w:rsidP="00781BA6">
      <w:pPr>
        <w:autoSpaceDE w:val="0"/>
        <w:autoSpaceDN w:val="0"/>
        <w:adjustRightInd w:val="0"/>
        <w:spacing w:after="0" w:line="240" w:lineRule="auto"/>
        <w:rPr>
          <w:rFonts w:eastAsia="Times New Roman"/>
          <w:sz w:val="18"/>
          <w:szCs w:val="18"/>
        </w:rPr>
      </w:pPr>
      <w:r w:rsidRPr="00CD2D19">
        <w:rPr>
          <w:rStyle w:val="FootnoteReference"/>
          <w:sz w:val="18"/>
          <w:szCs w:val="18"/>
        </w:rPr>
        <w:footnoteRef/>
      </w:r>
      <w:r w:rsidRPr="00CD2D19">
        <w:rPr>
          <w:rFonts w:eastAsia="Times New Roman"/>
          <w:sz w:val="18"/>
          <w:szCs w:val="18"/>
        </w:rPr>
        <w:t>Costello EJ, Mustillo S, Erkanli A, Keeler G, Angold A. Prevalence and development of psychiatric disorders in childhood and adolescence</w:t>
      </w:r>
      <w:r w:rsidRPr="00CD2D19">
        <w:rPr>
          <w:rFonts w:eastAsia="Times New Roman"/>
          <w:i/>
          <w:sz w:val="18"/>
          <w:szCs w:val="18"/>
        </w:rPr>
        <w:t>. Arch Gen Psychiatry</w:t>
      </w:r>
      <w:r w:rsidRPr="00CD2D19">
        <w:rPr>
          <w:rFonts w:eastAsia="Times New Roman"/>
          <w:sz w:val="18"/>
          <w:szCs w:val="18"/>
        </w:rPr>
        <w:t>. 2003;60(8):837–844</w:t>
      </w:r>
    </w:p>
  </w:footnote>
  <w:footnote w:id="53">
    <w:p w:rsidR="009E6720" w:rsidRPr="00CD2D19" w:rsidRDefault="009E6720" w:rsidP="00781BA6">
      <w:pPr>
        <w:pStyle w:val="Heading1"/>
        <w:shd w:val="clear" w:color="auto" w:fill="FFFFFF"/>
        <w:rPr>
          <w:b w:val="0"/>
          <w:sz w:val="18"/>
          <w:szCs w:val="18"/>
        </w:rPr>
      </w:pPr>
      <w:r w:rsidRPr="00CD2D19">
        <w:rPr>
          <w:rStyle w:val="FootnoteReference"/>
          <w:rFonts w:eastAsia="Calibri"/>
          <w:b w:val="0"/>
          <w:sz w:val="18"/>
          <w:szCs w:val="18"/>
        </w:rPr>
        <w:footnoteRef/>
      </w:r>
      <w:r w:rsidRPr="00CD2D19">
        <w:rPr>
          <w:b w:val="0"/>
          <w:i/>
          <w:sz w:val="18"/>
          <w:szCs w:val="18"/>
        </w:rPr>
        <w:t>Report of the Surgeon General's Conference on Children's Mental Health: A National Action Agenda.</w:t>
      </w:r>
      <w:r w:rsidRPr="00CD2D19">
        <w:rPr>
          <w:b w:val="0"/>
          <w:sz w:val="18"/>
          <w:szCs w:val="18"/>
        </w:rPr>
        <w:t xml:space="preserve"> Washington (DC): US Department of Health and Human Services; US Department of Health and Human Services; US Department of Education; US Department of Justice, 2000. </w:t>
      </w:r>
    </w:p>
  </w:footnote>
  <w:footnote w:id="54">
    <w:p w:rsidR="009E6720" w:rsidRPr="00CD2D19" w:rsidRDefault="009E6720" w:rsidP="00781BA6">
      <w:pPr>
        <w:shd w:val="clear" w:color="auto" w:fill="FFFFFF"/>
        <w:spacing w:after="0" w:line="240" w:lineRule="auto"/>
        <w:rPr>
          <w:bCs/>
          <w:sz w:val="18"/>
          <w:szCs w:val="18"/>
        </w:rPr>
      </w:pPr>
      <w:r w:rsidRPr="00CD2D19">
        <w:rPr>
          <w:rStyle w:val="FootnoteReference"/>
          <w:sz w:val="18"/>
          <w:szCs w:val="18"/>
        </w:rPr>
        <w:footnoteRef/>
      </w:r>
      <w:r w:rsidRPr="00CD2D19">
        <w:rPr>
          <w:rStyle w:val="authornames"/>
          <w:sz w:val="18"/>
          <w:szCs w:val="18"/>
        </w:rPr>
        <w:t>Slomski</w:t>
      </w:r>
      <w:r w:rsidRPr="00CD2D19">
        <w:rPr>
          <w:b/>
          <w:bCs/>
          <w:sz w:val="18"/>
          <w:szCs w:val="18"/>
        </w:rPr>
        <w:t xml:space="preserve">, </w:t>
      </w:r>
      <w:r w:rsidRPr="00CD2D19">
        <w:rPr>
          <w:rStyle w:val="authornames"/>
          <w:sz w:val="18"/>
          <w:szCs w:val="18"/>
        </w:rPr>
        <w:t xml:space="preserve">A. </w:t>
      </w:r>
      <w:r w:rsidRPr="00CD2D19">
        <w:rPr>
          <w:bCs/>
          <w:sz w:val="18"/>
          <w:szCs w:val="18"/>
        </w:rPr>
        <w:t xml:space="preserve">Chronic Mental Health Issues in Children Now Loom Larger Than Physical Problems </w:t>
      </w:r>
      <w:r w:rsidRPr="00CD2D19">
        <w:rPr>
          <w:i/>
          <w:iCs/>
          <w:sz w:val="18"/>
          <w:szCs w:val="18"/>
        </w:rPr>
        <w:t xml:space="preserve">JAMA. </w:t>
      </w:r>
      <w:r w:rsidRPr="00CD2D19">
        <w:rPr>
          <w:i/>
          <w:sz w:val="18"/>
          <w:szCs w:val="18"/>
        </w:rPr>
        <w:t>2012</w:t>
      </w:r>
      <w:proofErr w:type="gramStart"/>
      <w:r w:rsidRPr="00CD2D19">
        <w:rPr>
          <w:i/>
          <w:sz w:val="18"/>
          <w:szCs w:val="18"/>
        </w:rPr>
        <w:t>;308</w:t>
      </w:r>
      <w:proofErr w:type="gramEnd"/>
      <w:r w:rsidRPr="00CD2D19">
        <w:rPr>
          <w:i/>
          <w:sz w:val="18"/>
          <w:szCs w:val="18"/>
        </w:rPr>
        <w:t xml:space="preserve">(3):223-225. </w:t>
      </w:r>
    </w:p>
  </w:footnote>
  <w:footnote w:id="55">
    <w:p w:rsidR="009E6720" w:rsidRPr="00CD2D19" w:rsidRDefault="009E6720" w:rsidP="00781BA6">
      <w:pPr>
        <w:autoSpaceDE w:val="0"/>
        <w:autoSpaceDN w:val="0"/>
        <w:adjustRightInd w:val="0"/>
        <w:spacing w:after="0" w:line="240" w:lineRule="auto"/>
        <w:rPr>
          <w:rFonts w:eastAsia="Times New Roman"/>
          <w:sz w:val="18"/>
          <w:szCs w:val="18"/>
        </w:rPr>
      </w:pPr>
      <w:r w:rsidRPr="00CD2D19">
        <w:rPr>
          <w:rStyle w:val="FootnoteReference"/>
          <w:sz w:val="18"/>
          <w:szCs w:val="18"/>
        </w:rPr>
        <w:footnoteRef/>
      </w:r>
      <w:r w:rsidRPr="00CD2D19">
        <w:rPr>
          <w:rFonts w:eastAsia="Times New Roman"/>
          <w:sz w:val="18"/>
          <w:szCs w:val="18"/>
        </w:rPr>
        <w:t xml:space="preserve">Halfon N, Houtrow A, Larson K, Newacheck PW. The changing landscape of disability in childhood. </w:t>
      </w:r>
      <w:r w:rsidRPr="00CD2D19">
        <w:rPr>
          <w:rFonts w:eastAsia="Times New Roman"/>
          <w:i/>
          <w:sz w:val="18"/>
          <w:szCs w:val="18"/>
        </w:rPr>
        <w:t>Future Child.</w:t>
      </w:r>
      <w:r w:rsidRPr="00CD2D19">
        <w:rPr>
          <w:rFonts w:eastAsia="Times New Roman"/>
          <w:sz w:val="18"/>
          <w:szCs w:val="18"/>
        </w:rPr>
        <w:t xml:space="preserve"> 2012;22(1):13–42</w:t>
      </w:r>
    </w:p>
  </w:footnote>
  <w:footnote w:id="56">
    <w:p w:rsidR="009E6720" w:rsidRPr="00CD2D19" w:rsidRDefault="009E6720" w:rsidP="00781BA6">
      <w:pPr>
        <w:spacing w:after="0" w:line="240" w:lineRule="auto"/>
        <w:textAlignment w:val="baseline"/>
        <w:rPr>
          <w:sz w:val="18"/>
          <w:szCs w:val="18"/>
        </w:rPr>
      </w:pPr>
      <w:r w:rsidRPr="00CD2D19">
        <w:rPr>
          <w:rStyle w:val="FootnoteReference"/>
          <w:sz w:val="18"/>
          <w:szCs w:val="18"/>
        </w:rPr>
        <w:footnoteRef/>
      </w:r>
      <w:hyperlink r:id="rId6" w:history="1">
        <w:r w:rsidRPr="00CD2D19">
          <w:rPr>
            <w:rStyle w:val="highwire-cite-title1"/>
            <w:sz w:val="18"/>
            <w:szCs w:val="18"/>
          </w:rPr>
          <w:t>Promoting Optimal Development: Screening for Behavioral and Emotional Problems</w:t>
        </w:r>
      </w:hyperlink>
      <w:r w:rsidRPr="00CD2D19">
        <w:rPr>
          <w:sz w:val="18"/>
          <w:szCs w:val="18"/>
        </w:rPr>
        <w:t xml:space="preserve">. </w:t>
      </w:r>
      <w:r w:rsidRPr="00CD2D19">
        <w:rPr>
          <w:rStyle w:val="nlm-given-names"/>
          <w:sz w:val="18"/>
          <w:szCs w:val="18"/>
        </w:rPr>
        <w:t>Carol</w:t>
      </w:r>
      <w:r w:rsidRPr="00CD2D19">
        <w:rPr>
          <w:rStyle w:val="highwire-citation-author"/>
          <w:sz w:val="18"/>
          <w:szCs w:val="18"/>
        </w:rPr>
        <w:t xml:space="preserve"> </w:t>
      </w:r>
      <w:r w:rsidRPr="00CD2D19">
        <w:rPr>
          <w:rStyle w:val="nlm-surname"/>
          <w:sz w:val="18"/>
          <w:szCs w:val="18"/>
        </w:rPr>
        <w:t>Weitzman</w:t>
      </w:r>
      <w:r w:rsidRPr="00CD2D19">
        <w:rPr>
          <w:rStyle w:val="highwire-citation-authors3"/>
          <w:sz w:val="18"/>
          <w:szCs w:val="18"/>
        </w:rPr>
        <w:t xml:space="preserve">, </w:t>
      </w:r>
      <w:r w:rsidRPr="00CD2D19">
        <w:rPr>
          <w:rStyle w:val="nlm-given-names"/>
          <w:sz w:val="18"/>
          <w:szCs w:val="18"/>
        </w:rPr>
        <w:t>Lynn</w:t>
      </w:r>
      <w:r w:rsidRPr="00CD2D19">
        <w:rPr>
          <w:rStyle w:val="highwire-citation-author"/>
          <w:sz w:val="18"/>
          <w:szCs w:val="18"/>
        </w:rPr>
        <w:t xml:space="preserve"> </w:t>
      </w:r>
      <w:r w:rsidRPr="00CD2D19">
        <w:rPr>
          <w:rStyle w:val="nlm-surname"/>
          <w:sz w:val="18"/>
          <w:szCs w:val="18"/>
        </w:rPr>
        <w:t>Wegner</w:t>
      </w:r>
      <w:r w:rsidRPr="00CD2D19">
        <w:rPr>
          <w:rStyle w:val="highwire-citation-authors3"/>
          <w:sz w:val="18"/>
          <w:szCs w:val="18"/>
        </w:rPr>
        <w:t xml:space="preserve">, </w:t>
      </w:r>
      <w:r w:rsidRPr="00CD2D19">
        <w:rPr>
          <w:rStyle w:val="nlm-collab"/>
          <w:sz w:val="18"/>
          <w:szCs w:val="18"/>
        </w:rPr>
        <w:t>the Section on Developmental and Behavioral Pediatrics, Committee on Psychosocial Aspects of Child and Family Health, Council on Early Childhood and Society for Develop</w:t>
      </w:r>
      <w:r w:rsidRPr="00CD2D19">
        <w:rPr>
          <w:rStyle w:val="EndnoteTextChar"/>
          <w:sz w:val="18"/>
          <w:szCs w:val="18"/>
        </w:rPr>
        <w:t xml:space="preserve"> </w:t>
      </w:r>
      <w:r w:rsidRPr="00CD2D19">
        <w:rPr>
          <w:rStyle w:val="nlm-collab"/>
          <w:sz w:val="18"/>
          <w:szCs w:val="18"/>
        </w:rPr>
        <w:t>Mental and Behavioral Pediatrics</w:t>
      </w:r>
      <w:r w:rsidRPr="00CD2D19">
        <w:rPr>
          <w:sz w:val="18"/>
          <w:szCs w:val="18"/>
        </w:rPr>
        <w:t xml:space="preserve">. </w:t>
      </w:r>
      <w:r w:rsidRPr="00CD2D19">
        <w:rPr>
          <w:rStyle w:val="highwire-cite-metadata-journal"/>
          <w:i/>
          <w:sz w:val="18"/>
          <w:szCs w:val="18"/>
        </w:rPr>
        <w:t>Pediatrics</w:t>
      </w:r>
      <w:r w:rsidRPr="00CD2D19">
        <w:rPr>
          <w:rStyle w:val="highwire-cite-metadata-journal"/>
          <w:sz w:val="18"/>
          <w:szCs w:val="18"/>
        </w:rPr>
        <w:t xml:space="preserve"> </w:t>
      </w:r>
      <w:r w:rsidRPr="00CD2D19">
        <w:rPr>
          <w:rStyle w:val="highwire-cite-metadata-date1"/>
          <w:rFonts w:ascii="Times New Roman" w:hAnsi="Times New Roman" w:cs="Times New Roman"/>
          <w:sz w:val="18"/>
          <w:szCs w:val="18"/>
        </w:rPr>
        <w:t xml:space="preserve">Feb 2015, </w:t>
      </w:r>
      <w:r w:rsidRPr="00CD2D19">
        <w:rPr>
          <w:rStyle w:val="highwire-cite-metadata-volume"/>
          <w:sz w:val="18"/>
          <w:szCs w:val="18"/>
        </w:rPr>
        <w:t xml:space="preserve">135 </w:t>
      </w:r>
      <w:r w:rsidRPr="00CD2D19">
        <w:rPr>
          <w:rStyle w:val="highwire-cite-metadata-issue"/>
          <w:sz w:val="18"/>
          <w:szCs w:val="18"/>
        </w:rPr>
        <w:t xml:space="preserve">(2) </w:t>
      </w:r>
      <w:r w:rsidRPr="00CD2D19">
        <w:rPr>
          <w:rStyle w:val="highwire-cite-metadata-elocation-id-pages"/>
          <w:sz w:val="18"/>
          <w:szCs w:val="18"/>
        </w:rPr>
        <w:t>384-395.</w:t>
      </w:r>
      <w:r w:rsidRPr="00CD2D19">
        <w:rPr>
          <w:rStyle w:val="highwire-cite-metadata-doi"/>
          <w:sz w:val="18"/>
          <w:szCs w:val="18"/>
        </w:rPr>
        <w:t xml:space="preserve"> </w:t>
      </w:r>
    </w:p>
  </w:footnote>
  <w:footnote w:id="57">
    <w:p w:rsidR="009E6720" w:rsidRPr="00CD2D19" w:rsidRDefault="009E6720" w:rsidP="00781BA6">
      <w:pPr>
        <w:spacing w:after="0" w:line="240" w:lineRule="auto"/>
        <w:textAlignment w:val="baseline"/>
        <w:rPr>
          <w:sz w:val="18"/>
          <w:szCs w:val="18"/>
        </w:rPr>
      </w:pPr>
      <w:r w:rsidRPr="00CD2D19">
        <w:rPr>
          <w:rStyle w:val="FootnoteReference"/>
          <w:sz w:val="18"/>
          <w:szCs w:val="18"/>
        </w:rPr>
        <w:footnoteRef/>
      </w:r>
      <w:hyperlink r:id="rId7" w:history="1">
        <w:r w:rsidRPr="00CD2D19">
          <w:rPr>
            <w:rStyle w:val="highwire-cite-title1"/>
            <w:sz w:val="18"/>
            <w:szCs w:val="18"/>
          </w:rPr>
          <w:t>Identifying Infants and Young Children With Developmental Disorders in the Medical Home: An Algorithm for Developmental Surveillance and Screening</w:t>
        </w:r>
      </w:hyperlink>
      <w:r w:rsidRPr="00CD2D19">
        <w:rPr>
          <w:sz w:val="18"/>
          <w:szCs w:val="18"/>
        </w:rPr>
        <w:t xml:space="preserve"> </w:t>
      </w:r>
      <w:r w:rsidRPr="00CD2D19">
        <w:rPr>
          <w:rStyle w:val="nlm-collab"/>
          <w:sz w:val="18"/>
          <w:szCs w:val="18"/>
        </w:rPr>
        <w:t>Council on Children With Disabilities</w:t>
      </w:r>
      <w:r w:rsidRPr="00CD2D19">
        <w:rPr>
          <w:rStyle w:val="highwire-citation-authors3"/>
          <w:sz w:val="18"/>
          <w:szCs w:val="18"/>
        </w:rPr>
        <w:t xml:space="preserve">, </w:t>
      </w:r>
      <w:r w:rsidRPr="00CD2D19">
        <w:rPr>
          <w:rStyle w:val="nlm-collab"/>
          <w:sz w:val="18"/>
          <w:szCs w:val="18"/>
        </w:rPr>
        <w:t>Section on Developmental Behavioral Pediatrics</w:t>
      </w:r>
      <w:r w:rsidRPr="00CD2D19">
        <w:rPr>
          <w:rStyle w:val="highwire-citation-authors3"/>
          <w:sz w:val="18"/>
          <w:szCs w:val="18"/>
        </w:rPr>
        <w:t xml:space="preserve">, </w:t>
      </w:r>
      <w:r w:rsidRPr="00CD2D19">
        <w:rPr>
          <w:rStyle w:val="nlm-collab"/>
          <w:sz w:val="18"/>
          <w:szCs w:val="18"/>
        </w:rPr>
        <w:t>Bright Futures Steering Committee</w:t>
      </w:r>
      <w:r w:rsidRPr="00CD2D19">
        <w:rPr>
          <w:rStyle w:val="highwire-citation-authors3"/>
          <w:sz w:val="18"/>
          <w:szCs w:val="18"/>
        </w:rPr>
        <w:t xml:space="preserve">, </w:t>
      </w:r>
      <w:r w:rsidRPr="00CD2D19">
        <w:rPr>
          <w:rStyle w:val="nlm-collab"/>
          <w:sz w:val="18"/>
          <w:szCs w:val="18"/>
        </w:rPr>
        <w:t>Medical Home Initiatives for Children With Special Needs Project Advisory Committee</w:t>
      </w:r>
      <w:r w:rsidRPr="00CD2D19">
        <w:rPr>
          <w:sz w:val="18"/>
          <w:szCs w:val="18"/>
        </w:rPr>
        <w:t xml:space="preserve"> </w:t>
      </w:r>
      <w:r w:rsidRPr="00CD2D19">
        <w:rPr>
          <w:rStyle w:val="highwire-cite-metadata-journal"/>
          <w:i/>
          <w:sz w:val="18"/>
          <w:szCs w:val="18"/>
        </w:rPr>
        <w:t xml:space="preserve">Pediatrics </w:t>
      </w:r>
      <w:r w:rsidRPr="00CD2D19">
        <w:rPr>
          <w:rStyle w:val="highwire-cite-metadata-date1"/>
          <w:rFonts w:ascii="Times New Roman" w:hAnsi="Times New Roman" w:cs="Times New Roman"/>
          <w:sz w:val="18"/>
          <w:szCs w:val="18"/>
        </w:rPr>
        <w:t xml:space="preserve">Jul 2006, </w:t>
      </w:r>
      <w:r w:rsidRPr="00CD2D19">
        <w:rPr>
          <w:rStyle w:val="highwire-cite-metadata-volume"/>
          <w:sz w:val="18"/>
          <w:szCs w:val="18"/>
        </w:rPr>
        <w:t xml:space="preserve">118 </w:t>
      </w:r>
      <w:r w:rsidRPr="00CD2D19">
        <w:rPr>
          <w:rStyle w:val="highwire-cite-metadata-issue"/>
          <w:sz w:val="18"/>
          <w:szCs w:val="18"/>
        </w:rPr>
        <w:t xml:space="preserve">(1) </w:t>
      </w:r>
      <w:r w:rsidRPr="00CD2D19">
        <w:rPr>
          <w:rStyle w:val="highwire-cite-metadata-elocation-id-pages"/>
          <w:sz w:val="18"/>
          <w:szCs w:val="18"/>
        </w:rPr>
        <w:t>405-420.</w:t>
      </w:r>
    </w:p>
  </w:footnote>
  <w:footnote w:id="58">
    <w:p w:rsidR="009E6720" w:rsidRPr="00CD2D19" w:rsidRDefault="009E6720" w:rsidP="00781BA6">
      <w:pPr>
        <w:pStyle w:val="FootnoteText"/>
        <w:rPr>
          <w:rFonts w:ascii="Times New Roman" w:hAnsi="Times New Roman"/>
          <w:sz w:val="18"/>
          <w:szCs w:val="18"/>
        </w:rPr>
      </w:pPr>
      <w:r w:rsidRPr="00CD2D19">
        <w:rPr>
          <w:rStyle w:val="FootnoteReference"/>
          <w:rFonts w:ascii="Times New Roman" w:hAnsi="Times New Roman"/>
          <w:sz w:val="18"/>
          <w:szCs w:val="18"/>
        </w:rPr>
        <w:footnoteRef/>
      </w:r>
      <w:r w:rsidRPr="00CD2D19">
        <w:rPr>
          <w:rStyle w:val="A11"/>
          <w:rFonts w:ascii="Times New Roman" w:hAnsi="Times New Roman" w:cs="Times New Roman"/>
          <w:sz w:val="18"/>
          <w:szCs w:val="18"/>
        </w:rPr>
        <w:t>Massachusetts Department of Public Health Bureau of Substance Abuse Services. Provider Guide: Adolescent Screening, Brief Intervention, and Referral to Treatment Using the CRAFFT Screening Tool. Boston, MA. Massachusetts Department of Public Health, 2009.</w:t>
      </w:r>
    </w:p>
  </w:footnote>
  <w:footnote w:id="59">
    <w:p w:rsidR="009E6720" w:rsidRPr="00967218" w:rsidRDefault="009E6720" w:rsidP="000838EB">
      <w:pPr>
        <w:pStyle w:val="FootnoteText"/>
        <w:rPr>
          <w:rFonts w:ascii="Times New Roman" w:hAnsi="Times New Roman"/>
        </w:rPr>
      </w:pPr>
      <w:r w:rsidRPr="00967218">
        <w:rPr>
          <w:rStyle w:val="FootnoteReference"/>
          <w:rFonts w:ascii="Times New Roman" w:hAnsi="Times New Roman"/>
          <w:sz w:val="18"/>
        </w:rPr>
        <w:footnoteRef/>
      </w:r>
      <w:r w:rsidRPr="00967218">
        <w:rPr>
          <w:rFonts w:ascii="Times New Roman" w:hAnsi="Times New Roman"/>
          <w:sz w:val="18"/>
        </w:rPr>
        <w:t xml:space="preserve"> http://www.samhsa.gov/medication-assisted-treatment</w:t>
      </w:r>
    </w:p>
  </w:footnote>
  <w:footnote w:id="60">
    <w:p w:rsidR="009E6720" w:rsidRPr="00967218" w:rsidRDefault="009E6720" w:rsidP="00967218">
      <w:pPr>
        <w:spacing w:after="0" w:line="240" w:lineRule="auto"/>
        <w:rPr>
          <w:sz w:val="18"/>
          <w:szCs w:val="18"/>
        </w:rPr>
      </w:pPr>
      <w:r w:rsidRPr="00967218">
        <w:rPr>
          <w:rStyle w:val="FootnoteReference"/>
          <w:sz w:val="18"/>
          <w:szCs w:val="18"/>
        </w:rPr>
        <w:footnoteRef/>
      </w:r>
      <w:r w:rsidRPr="00967218">
        <w:rPr>
          <w:sz w:val="18"/>
          <w:szCs w:val="18"/>
        </w:rPr>
        <w:t>Thota Et al (2012). Collaborative Care to Improve the Management of Depressive Disorders. Am J Prev Med. 42(5): 525-538.; Unutzer et al (2002)</w:t>
      </w:r>
      <w:proofErr w:type="gramStart"/>
      <w:r w:rsidRPr="00967218">
        <w:rPr>
          <w:sz w:val="18"/>
          <w:szCs w:val="18"/>
        </w:rPr>
        <w:t>.</w:t>
      </w:r>
      <w:proofErr w:type="gramEnd"/>
      <w:r w:rsidRPr="00967218">
        <w:rPr>
          <w:sz w:val="18"/>
          <w:szCs w:val="18"/>
        </w:rPr>
        <w:t xml:space="preserve"> Collaborative Care Mgmt of Late Life Depression in the Primary Care Setting. JAMA 288 (22).</w:t>
      </w:r>
    </w:p>
  </w:footnote>
  <w:footnote w:id="61">
    <w:p w:rsidR="009E6720" w:rsidRPr="00967218" w:rsidRDefault="009E6720" w:rsidP="00967218">
      <w:pPr>
        <w:spacing w:after="0" w:line="240" w:lineRule="auto"/>
        <w:rPr>
          <w:sz w:val="18"/>
          <w:szCs w:val="18"/>
        </w:rPr>
      </w:pPr>
      <w:r w:rsidRPr="00967218">
        <w:rPr>
          <w:rStyle w:val="FootnoteReference"/>
          <w:sz w:val="18"/>
          <w:szCs w:val="18"/>
        </w:rPr>
        <w:footnoteRef/>
      </w:r>
      <w:r w:rsidRPr="00967218">
        <w:rPr>
          <w:sz w:val="18"/>
          <w:szCs w:val="18"/>
        </w:rPr>
        <w:t>Thota Et al (2012). Collaborative Care to Improve the Management of Depressive Disorders. Am J Prev Med. 42(5): 525-538.; Unutzer et al (2002)</w:t>
      </w:r>
      <w:proofErr w:type="gramStart"/>
      <w:r w:rsidRPr="00967218">
        <w:rPr>
          <w:sz w:val="18"/>
          <w:szCs w:val="18"/>
        </w:rPr>
        <w:t>.</w:t>
      </w:r>
      <w:proofErr w:type="gramEnd"/>
      <w:r w:rsidRPr="00967218">
        <w:rPr>
          <w:sz w:val="18"/>
          <w:szCs w:val="18"/>
        </w:rPr>
        <w:t xml:space="preserve"> Collaborative Care Mgmt of Late Life Depression in the Primary Care Setting. JAMA 288 (22).</w:t>
      </w:r>
    </w:p>
    <w:p w:rsidR="009E6720" w:rsidRDefault="009E6720" w:rsidP="00CD2D19">
      <w:pPr>
        <w:pStyle w:val="FootnoteText"/>
      </w:pPr>
    </w:p>
  </w:footnote>
  <w:footnote w:id="62">
    <w:p w:rsidR="009E6720" w:rsidRPr="00967218" w:rsidRDefault="009E6720" w:rsidP="00CD2D19">
      <w:pPr>
        <w:pStyle w:val="FootnoteText"/>
        <w:rPr>
          <w:rFonts w:ascii="Times New Roman" w:hAnsi="Times New Roman"/>
        </w:rPr>
      </w:pPr>
      <w:r w:rsidRPr="00967218">
        <w:rPr>
          <w:rStyle w:val="FootnoteReference"/>
          <w:rFonts w:ascii="Times New Roman" w:hAnsi="Times New Roman"/>
          <w:sz w:val="18"/>
        </w:rPr>
        <w:footnoteRef/>
      </w:r>
      <w:r w:rsidRPr="00967218">
        <w:rPr>
          <w:rFonts w:ascii="Times New Roman" w:hAnsi="Times New Roman"/>
          <w:sz w:val="18"/>
        </w:rPr>
        <w:t>Bertholet N, Daeppen JB, Wietlisbach V, Fleming M, Burnand B. Reduction of Alcohol Consumption by Brief Alcohol Intervention in Primary Care. Archives of Internal Medicine. 2005;165:986-995; Babor TF, Higgins-Biddle JC, Dauser D, Burleson JA, Zarkin GA, Bray J. Brief Interventions for At-Risk Drinking: Patient Outcomes and Cost-Effectiveness in Managed Care Organizations. Alcohol and Alcoholism. 2006</w:t>
      </w:r>
      <w:proofErr w:type="gramStart"/>
      <w:r w:rsidRPr="00967218">
        <w:rPr>
          <w:rFonts w:ascii="Times New Roman" w:hAnsi="Times New Roman"/>
          <w:sz w:val="18"/>
        </w:rPr>
        <w:t>;41</w:t>
      </w:r>
      <w:proofErr w:type="gramEnd"/>
      <w:r w:rsidRPr="00967218">
        <w:rPr>
          <w:rFonts w:ascii="Times New Roman" w:hAnsi="Times New Roman"/>
          <w:sz w:val="18"/>
        </w:rPr>
        <w:t>(6):624-631. </w:t>
      </w:r>
    </w:p>
  </w:footnote>
  <w:footnote w:id="63">
    <w:p w:rsidR="009E6720" w:rsidRPr="00967218" w:rsidRDefault="009E6720" w:rsidP="00967218">
      <w:pPr>
        <w:pStyle w:val="FootnoteText"/>
        <w:rPr>
          <w:rFonts w:ascii="Times New Roman" w:hAnsi="Times New Roman"/>
          <w:sz w:val="18"/>
          <w:szCs w:val="18"/>
        </w:rPr>
      </w:pPr>
      <w:r w:rsidRPr="00967218">
        <w:rPr>
          <w:rStyle w:val="FootnoteReference"/>
          <w:rFonts w:ascii="Times New Roman" w:hAnsi="Times New Roman"/>
          <w:sz w:val="18"/>
          <w:szCs w:val="18"/>
        </w:rPr>
        <w:footnoteRef/>
      </w:r>
      <w:r w:rsidRPr="00967218">
        <w:rPr>
          <w:rFonts w:ascii="Times New Roman" w:hAnsi="Times New Roman"/>
          <w:sz w:val="18"/>
          <w:szCs w:val="18"/>
        </w:rPr>
        <w:t>Institute for Clinical Systems Improvement, Assessment and Management of Chronic Pain 2013</w:t>
      </w:r>
    </w:p>
  </w:footnote>
  <w:footnote w:id="64">
    <w:p w:rsidR="009E6720" w:rsidRDefault="009E6720" w:rsidP="00967218">
      <w:pPr>
        <w:pStyle w:val="FootnoteText"/>
      </w:pPr>
      <w:r w:rsidRPr="00967218">
        <w:rPr>
          <w:rStyle w:val="FootnoteReference"/>
          <w:rFonts w:ascii="Times New Roman" w:hAnsi="Times New Roman"/>
          <w:sz w:val="18"/>
          <w:szCs w:val="18"/>
        </w:rPr>
        <w:footnoteRef/>
      </w:r>
      <w:r w:rsidRPr="00967218">
        <w:rPr>
          <w:rFonts w:ascii="Times New Roman" w:hAnsi="Times New Roman"/>
          <w:i/>
          <w:sz w:val="18"/>
          <w:szCs w:val="18"/>
        </w:rPr>
        <w:t>Report of the Surgeon General's Conference on Children's Mental Health: A National Action Agenda.</w:t>
      </w:r>
      <w:r w:rsidRPr="00967218">
        <w:rPr>
          <w:rFonts w:ascii="Times New Roman" w:hAnsi="Times New Roman"/>
          <w:sz w:val="18"/>
          <w:szCs w:val="18"/>
        </w:rPr>
        <w:t xml:space="preserve"> Washington (DC): US Department of Health and Human Services; US Department of Health and Human Services; US Department of Education; US Department of Justice, 2000.</w:t>
      </w:r>
    </w:p>
  </w:footnote>
  <w:footnote w:id="65">
    <w:p w:rsidR="009E6720" w:rsidRPr="005F46C3" w:rsidRDefault="009E6720" w:rsidP="005F46C3">
      <w:pPr>
        <w:pStyle w:val="FootnoteText"/>
        <w:rPr>
          <w:rFonts w:ascii="Times New Roman" w:hAnsi="Times New Roman"/>
          <w:sz w:val="18"/>
        </w:rPr>
      </w:pPr>
      <w:r w:rsidRPr="005F46C3">
        <w:rPr>
          <w:rStyle w:val="FootnoteReference"/>
          <w:rFonts w:ascii="Times New Roman" w:hAnsi="Times New Roman"/>
          <w:sz w:val="18"/>
        </w:rPr>
        <w:footnoteRef/>
      </w:r>
      <w:r w:rsidRPr="005F46C3">
        <w:rPr>
          <w:rFonts w:ascii="Times New Roman" w:hAnsi="Times New Roman"/>
          <w:sz w:val="18"/>
        </w:rPr>
        <w:t>American Hospital Association, Trendwatch, Bringing Behavioral Health into the Care Continuum, Opportunities to Improve, January 2012. Available at: http://www.aha.org/research/reports/tw/12jan-tw-behavhealth.pdf.</w:t>
      </w:r>
    </w:p>
  </w:footnote>
  <w:footnote w:id="66">
    <w:p w:rsidR="009E6720" w:rsidRPr="005F46C3" w:rsidRDefault="009E6720" w:rsidP="005F46C3">
      <w:pPr>
        <w:pStyle w:val="FootnoteText"/>
        <w:rPr>
          <w:rFonts w:ascii="Times New Roman" w:hAnsi="Times New Roman"/>
          <w:sz w:val="18"/>
        </w:rPr>
      </w:pPr>
      <w:r w:rsidRPr="005F46C3">
        <w:rPr>
          <w:rStyle w:val="FootnoteReference"/>
          <w:rFonts w:ascii="Times New Roman" w:hAnsi="Times New Roman"/>
          <w:sz w:val="18"/>
        </w:rPr>
        <w:footnoteRef/>
      </w:r>
      <w:r w:rsidRPr="005F46C3">
        <w:rPr>
          <w:rFonts w:ascii="Times New Roman" w:hAnsi="Times New Roman"/>
          <w:sz w:val="18"/>
        </w:rPr>
        <w:t>Institute of Medicine (US) Committee on Quality Assurance and Accreditation Guidelines for Managed Behavioral Health Care; Edmunds M, Frank R, Hogan M, et al., editors. Managing Managed Care: Quality Improvement in Behavioral Health. Washington (DC): National Academies Press (US); 1997. Available from: http://www.ncbi.nlm.nih.gov/books/NBK233235/</w:t>
      </w:r>
    </w:p>
  </w:footnote>
  <w:footnote w:id="67">
    <w:p w:rsidR="009E6720" w:rsidRPr="005F46C3" w:rsidRDefault="009E6720" w:rsidP="005F46C3">
      <w:pPr>
        <w:pStyle w:val="FootnoteText"/>
        <w:rPr>
          <w:rFonts w:ascii="Times New Roman" w:hAnsi="Times New Roman"/>
          <w:sz w:val="18"/>
        </w:rPr>
      </w:pPr>
      <w:r w:rsidRPr="005F46C3">
        <w:rPr>
          <w:rStyle w:val="FootnoteReference"/>
          <w:rFonts w:ascii="Times New Roman" w:hAnsi="Times New Roman"/>
          <w:sz w:val="18"/>
        </w:rPr>
        <w:footnoteRef/>
      </w:r>
      <w:r w:rsidRPr="005F46C3">
        <w:rPr>
          <w:rFonts w:ascii="Times New Roman" w:hAnsi="Times New Roman"/>
          <w:bCs/>
          <w:sz w:val="18"/>
        </w:rPr>
        <w:t xml:space="preserve">Kane JM, Robinson DG, Schooler NR, et al. Comprehensive </w:t>
      </w:r>
      <w:proofErr w:type="gramStart"/>
      <w:r w:rsidRPr="005F46C3">
        <w:rPr>
          <w:rFonts w:ascii="Times New Roman" w:hAnsi="Times New Roman"/>
          <w:bCs/>
          <w:sz w:val="18"/>
        </w:rPr>
        <w:t>Versus</w:t>
      </w:r>
      <w:proofErr w:type="gramEnd"/>
      <w:r w:rsidRPr="005F46C3">
        <w:rPr>
          <w:rFonts w:ascii="Times New Roman" w:hAnsi="Times New Roman"/>
          <w:bCs/>
          <w:sz w:val="18"/>
        </w:rPr>
        <w:t xml:space="preserve"> Usual Community Care for First-Episode Psychosis: 2-Year Outcomes From the NIMH RAISE Early Treatment Program. </w:t>
      </w:r>
      <w:r w:rsidRPr="005F46C3">
        <w:rPr>
          <w:rFonts w:ascii="Times New Roman" w:hAnsi="Times New Roman"/>
          <w:bCs/>
          <w:i/>
          <w:iCs/>
          <w:sz w:val="18"/>
        </w:rPr>
        <w:t>American Journal of Psychiatry AJP</w:t>
      </w:r>
      <w:r w:rsidRPr="005F46C3">
        <w:rPr>
          <w:rFonts w:ascii="Times New Roman" w:hAnsi="Times New Roman"/>
          <w:bCs/>
          <w:sz w:val="18"/>
        </w:rPr>
        <w:t>. 2016</w:t>
      </w:r>
      <w:proofErr w:type="gramStart"/>
      <w:r w:rsidRPr="005F46C3">
        <w:rPr>
          <w:rFonts w:ascii="Times New Roman" w:hAnsi="Times New Roman"/>
          <w:bCs/>
          <w:sz w:val="18"/>
        </w:rPr>
        <w:t>;173</w:t>
      </w:r>
      <w:proofErr w:type="gramEnd"/>
      <w:r w:rsidRPr="005F46C3">
        <w:rPr>
          <w:rFonts w:ascii="Times New Roman" w:hAnsi="Times New Roman"/>
          <w:bCs/>
          <w:sz w:val="18"/>
        </w:rPr>
        <w:t>(4):362-372. doi:10.1176/appi.ajp.2015.15050632.</w:t>
      </w:r>
      <w:r w:rsidRPr="005F46C3" w:rsidDel="00476B9C">
        <w:rPr>
          <w:rFonts w:ascii="Times New Roman" w:hAnsi="Times New Roman"/>
          <w:sz w:val="18"/>
        </w:rPr>
        <w:t xml:space="preserve"> </w:t>
      </w:r>
    </w:p>
  </w:footnote>
  <w:footnote w:id="68">
    <w:p w:rsidR="009E6720" w:rsidRPr="005F46C3" w:rsidRDefault="009E6720" w:rsidP="005F46C3">
      <w:pPr>
        <w:pStyle w:val="FootnoteText"/>
        <w:rPr>
          <w:rFonts w:ascii="Times New Roman" w:hAnsi="Times New Roman"/>
          <w:sz w:val="18"/>
        </w:rPr>
      </w:pPr>
      <w:r w:rsidRPr="005F46C3">
        <w:rPr>
          <w:rStyle w:val="FootnoteReference"/>
          <w:rFonts w:ascii="Times New Roman" w:hAnsi="Times New Roman"/>
          <w:sz w:val="18"/>
        </w:rPr>
        <w:footnoteRef/>
      </w:r>
      <w:r w:rsidRPr="005F46C3">
        <w:rPr>
          <w:rFonts w:ascii="Times New Roman" w:hAnsi="Times New Roman"/>
          <w:bCs/>
          <w:sz w:val="18"/>
        </w:rPr>
        <w:t>Krupski A, West II, Scharf DM, et al. Integrating Primary Care Into Community Mental Health Centers: Impact on Utilization and Costs of Health Care. </w:t>
      </w:r>
      <w:r w:rsidRPr="005F46C3">
        <w:rPr>
          <w:rFonts w:ascii="Times New Roman" w:hAnsi="Times New Roman"/>
          <w:bCs/>
          <w:i/>
          <w:iCs/>
          <w:sz w:val="18"/>
        </w:rPr>
        <w:t>PS Psychiatric Services</w:t>
      </w:r>
      <w:r w:rsidRPr="005F46C3">
        <w:rPr>
          <w:rFonts w:ascii="Times New Roman" w:hAnsi="Times New Roman"/>
          <w:bCs/>
          <w:sz w:val="18"/>
        </w:rPr>
        <w:t>. 2016. doi:10.1176/appi.ps.201500424.</w:t>
      </w:r>
    </w:p>
  </w:footnote>
  <w:footnote w:id="69">
    <w:p w:rsidR="009E6720" w:rsidRPr="005F46C3" w:rsidRDefault="009E6720" w:rsidP="005F46C3">
      <w:pPr>
        <w:pStyle w:val="FootnoteText"/>
        <w:rPr>
          <w:rFonts w:ascii="Times New Roman" w:hAnsi="Times New Roman"/>
          <w:sz w:val="18"/>
        </w:rPr>
      </w:pPr>
      <w:r w:rsidRPr="005F46C3">
        <w:rPr>
          <w:rStyle w:val="FootnoteReference"/>
          <w:rFonts w:ascii="Times New Roman" w:hAnsi="Times New Roman"/>
          <w:sz w:val="18"/>
        </w:rPr>
        <w:footnoteRef/>
      </w:r>
      <w:r w:rsidRPr="005F46C3">
        <w:rPr>
          <w:rFonts w:ascii="Times New Roman" w:hAnsi="Times New Roman"/>
          <w:bCs/>
          <w:sz w:val="18"/>
        </w:rPr>
        <w:t>Gilmer TP, Henwood BF, Goode M, Sarkin AJ, Innes-Gomberg D. Implementation of Integrated Health Homes and Health Outcomes for Persons With Serious Mental Illness in Los Angeles County. </w:t>
      </w:r>
      <w:r w:rsidRPr="005F46C3">
        <w:rPr>
          <w:rFonts w:ascii="Times New Roman" w:hAnsi="Times New Roman"/>
          <w:bCs/>
          <w:i/>
          <w:iCs/>
          <w:sz w:val="18"/>
        </w:rPr>
        <w:t>PS Psychiatric Services</w:t>
      </w:r>
      <w:r w:rsidRPr="005F46C3">
        <w:rPr>
          <w:rFonts w:ascii="Times New Roman" w:hAnsi="Times New Roman"/>
          <w:bCs/>
          <w:sz w:val="18"/>
        </w:rPr>
        <w:t>. 2016. doi:10.1176/appi.ps.201500092.</w:t>
      </w:r>
    </w:p>
  </w:footnote>
  <w:footnote w:id="70">
    <w:p w:rsidR="009E6720" w:rsidRPr="005F46C3" w:rsidRDefault="009E6720" w:rsidP="005F46C3">
      <w:pPr>
        <w:pStyle w:val="FootnoteText"/>
        <w:rPr>
          <w:rFonts w:ascii="Times New Roman" w:hAnsi="Times New Roman"/>
          <w:sz w:val="18"/>
        </w:rPr>
      </w:pPr>
      <w:r w:rsidRPr="005F46C3">
        <w:rPr>
          <w:rStyle w:val="FootnoteReference"/>
          <w:rFonts w:ascii="Times New Roman" w:hAnsi="Times New Roman"/>
          <w:sz w:val="18"/>
        </w:rPr>
        <w:footnoteRef/>
      </w:r>
      <w:r w:rsidRPr="005F46C3">
        <w:rPr>
          <w:rFonts w:ascii="Times New Roman" w:hAnsi="Times New Roman"/>
          <w:sz w:val="18"/>
        </w:rPr>
        <w:t>American Hospital Association, Trendwatch, Bringing Behavioral Health into the Care Continuum, Opportunities to Improve, January 2012. Available at: http://www.aha.org/research/reports/tw/12jan-tw-behavhealth.pdf.</w:t>
      </w:r>
    </w:p>
  </w:footnote>
  <w:footnote w:id="71">
    <w:p w:rsidR="009E6720" w:rsidRPr="005F46C3" w:rsidRDefault="009E6720" w:rsidP="005F46C3">
      <w:pPr>
        <w:pStyle w:val="FootnoteText"/>
        <w:rPr>
          <w:rStyle w:val="FootnoteReference"/>
          <w:rFonts w:ascii="Times New Roman" w:hAnsi="Times New Roman"/>
          <w:sz w:val="18"/>
        </w:rPr>
      </w:pPr>
      <w:r w:rsidRPr="005F46C3">
        <w:rPr>
          <w:rStyle w:val="FootnoteReference"/>
          <w:rFonts w:ascii="Times New Roman" w:hAnsi="Times New Roman"/>
          <w:sz w:val="18"/>
        </w:rPr>
        <w:footnoteRef/>
      </w:r>
      <w:r w:rsidRPr="005F46C3">
        <w:rPr>
          <w:rFonts w:ascii="Times New Roman" w:hAnsi="Times New Roman"/>
          <w:bCs/>
          <w:sz w:val="18"/>
        </w:rPr>
        <w:t>Druss BG, Zhao L, Esenwein SV, Morrato EH, Marcus SC. Understanding Excess Mortality in Persons With Mental Illness: 17-year Follow Up of a Nationally Representative US Survey. </w:t>
      </w:r>
      <w:r w:rsidRPr="005F46C3">
        <w:rPr>
          <w:rFonts w:ascii="Times New Roman" w:hAnsi="Times New Roman"/>
          <w:bCs/>
          <w:i/>
          <w:iCs/>
          <w:sz w:val="18"/>
        </w:rPr>
        <w:t>Medical Care</w:t>
      </w:r>
      <w:r w:rsidRPr="005F46C3">
        <w:rPr>
          <w:rFonts w:ascii="Times New Roman" w:hAnsi="Times New Roman"/>
          <w:bCs/>
          <w:sz w:val="18"/>
        </w:rPr>
        <w:t>. 2011</w:t>
      </w:r>
      <w:proofErr w:type="gramStart"/>
      <w:r w:rsidRPr="005F46C3">
        <w:rPr>
          <w:rFonts w:ascii="Times New Roman" w:hAnsi="Times New Roman"/>
          <w:bCs/>
          <w:sz w:val="18"/>
        </w:rPr>
        <w:t>;49</w:t>
      </w:r>
      <w:proofErr w:type="gramEnd"/>
      <w:r w:rsidRPr="005F46C3">
        <w:rPr>
          <w:rFonts w:ascii="Times New Roman" w:hAnsi="Times New Roman"/>
          <w:bCs/>
          <w:sz w:val="18"/>
        </w:rPr>
        <w:t>(6):599-604. doi:10.1097/mlr.0b013e31820bf86e.</w:t>
      </w:r>
      <w:r w:rsidRPr="005F46C3" w:rsidDel="00C5494C">
        <w:rPr>
          <w:rFonts w:ascii="Times New Roman" w:hAnsi="Times New Roman"/>
          <w:sz w:val="18"/>
        </w:rPr>
        <w:t xml:space="preserve"> </w:t>
      </w:r>
    </w:p>
  </w:footnote>
  <w:footnote w:id="72">
    <w:p w:rsidR="009E6720" w:rsidRPr="005F46C3" w:rsidRDefault="009E6720" w:rsidP="005F46C3">
      <w:pPr>
        <w:pStyle w:val="FootnoteText"/>
        <w:rPr>
          <w:rFonts w:ascii="Times New Roman" w:hAnsi="Times New Roman"/>
          <w:sz w:val="18"/>
        </w:rPr>
      </w:pPr>
      <w:r w:rsidRPr="005F46C3">
        <w:rPr>
          <w:rStyle w:val="FootnoteReference"/>
          <w:rFonts w:ascii="Times New Roman" w:hAnsi="Times New Roman"/>
          <w:sz w:val="18"/>
        </w:rPr>
        <w:footnoteRef/>
      </w:r>
      <w:r w:rsidRPr="005F46C3">
        <w:rPr>
          <w:rFonts w:ascii="Times New Roman" w:hAnsi="Times New Roman"/>
          <w:sz w:val="18"/>
        </w:rPr>
        <w:t xml:space="preserve">Colton CW, Manderscheid, RW. Congruencies in increased mortality rates, years of potential life lost, and causes of death among public mental health clients in eight states. </w:t>
      </w:r>
      <w:r w:rsidRPr="005F46C3">
        <w:rPr>
          <w:rFonts w:ascii="Times New Roman" w:hAnsi="Times New Roman"/>
          <w:i/>
          <w:sz w:val="18"/>
        </w:rPr>
        <w:t>Preventing Chronic Disease</w:t>
      </w:r>
      <w:r w:rsidRPr="005F46C3">
        <w:rPr>
          <w:rFonts w:ascii="Times New Roman" w:hAnsi="Times New Roman"/>
          <w:sz w:val="18"/>
        </w:rPr>
        <w:t>. 2006</w:t>
      </w:r>
      <w:proofErr w:type="gramStart"/>
      <w:r w:rsidRPr="005F46C3">
        <w:rPr>
          <w:rFonts w:ascii="Times New Roman" w:hAnsi="Times New Roman"/>
          <w:sz w:val="18"/>
        </w:rPr>
        <w:t>;3</w:t>
      </w:r>
      <w:proofErr w:type="gramEnd"/>
      <w:r w:rsidRPr="005F46C3">
        <w:rPr>
          <w:rFonts w:ascii="Times New Roman" w:hAnsi="Times New Roman"/>
          <w:sz w:val="18"/>
        </w:rPr>
        <w:t>(2):1-14.</w:t>
      </w:r>
    </w:p>
  </w:footnote>
  <w:footnote w:id="73">
    <w:p w:rsidR="009E6720" w:rsidRPr="000D11E9" w:rsidRDefault="009E6720" w:rsidP="005F46C3">
      <w:pPr>
        <w:pStyle w:val="FootnoteText"/>
        <w:rPr>
          <w:sz w:val="18"/>
        </w:rPr>
      </w:pPr>
      <w:r w:rsidRPr="005F46C3">
        <w:rPr>
          <w:rStyle w:val="FootnoteReference"/>
          <w:rFonts w:ascii="Times New Roman" w:hAnsi="Times New Roman"/>
          <w:sz w:val="18"/>
        </w:rPr>
        <w:footnoteRef/>
      </w:r>
      <w:r w:rsidRPr="005F46C3">
        <w:rPr>
          <w:rFonts w:ascii="Times New Roman" w:hAnsi="Times New Roman"/>
          <w:bCs/>
          <w:sz w:val="18"/>
        </w:rPr>
        <w:t xml:space="preserve">Nasrallah HA, Meyer JM, </w:t>
      </w:r>
      <w:proofErr w:type="gramStart"/>
      <w:r w:rsidRPr="005F46C3">
        <w:rPr>
          <w:rFonts w:ascii="Times New Roman" w:hAnsi="Times New Roman"/>
          <w:bCs/>
          <w:sz w:val="18"/>
        </w:rPr>
        <w:t>Goff</w:t>
      </w:r>
      <w:proofErr w:type="gramEnd"/>
      <w:r w:rsidRPr="005F46C3">
        <w:rPr>
          <w:rFonts w:ascii="Times New Roman" w:hAnsi="Times New Roman"/>
          <w:bCs/>
          <w:sz w:val="18"/>
        </w:rPr>
        <w:t xml:space="preserve"> DC, et al. Low rates of treatment for hypertension, dyslipidemia and diabetes in schizophrenia: Data from the CATIE schizophrenia trial sample at baseline. </w:t>
      </w:r>
      <w:r w:rsidRPr="005F46C3">
        <w:rPr>
          <w:rFonts w:ascii="Times New Roman" w:hAnsi="Times New Roman"/>
          <w:bCs/>
          <w:i/>
          <w:iCs/>
          <w:sz w:val="18"/>
        </w:rPr>
        <w:t>Schizophrenia Research</w:t>
      </w:r>
      <w:r w:rsidRPr="005F46C3">
        <w:rPr>
          <w:rFonts w:ascii="Times New Roman" w:hAnsi="Times New Roman"/>
          <w:bCs/>
          <w:sz w:val="18"/>
        </w:rPr>
        <w:t>. 2006</w:t>
      </w:r>
      <w:proofErr w:type="gramStart"/>
      <w:r w:rsidRPr="005F46C3">
        <w:rPr>
          <w:rFonts w:ascii="Times New Roman" w:hAnsi="Times New Roman"/>
          <w:bCs/>
          <w:sz w:val="18"/>
        </w:rPr>
        <w:t>;86</w:t>
      </w:r>
      <w:proofErr w:type="gramEnd"/>
      <w:r w:rsidRPr="005F46C3">
        <w:rPr>
          <w:rFonts w:ascii="Times New Roman" w:hAnsi="Times New Roman"/>
          <w:bCs/>
          <w:sz w:val="18"/>
        </w:rPr>
        <w:t>(1-3):15-22. doi:10.1016/j.schres.2006.06.026</w:t>
      </w:r>
      <w:r w:rsidRPr="005F46C3">
        <w:rPr>
          <w:rFonts w:ascii="Times New Roman" w:hAnsi="Times New Roman"/>
          <w:sz w:val="18"/>
        </w:rPr>
        <w:t>.</w:t>
      </w:r>
    </w:p>
  </w:footnote>
  <w:footnote w:id="74">
    <w:p w:rsidR="009E6720" w:rsidRPr="005F46C3" w:rsidRDefault="009E6720" w:rsidP="005F46C3">
      <w:pPr>
        <w:pStyle w:val="FootnoteText"/>
        <w:rPr>
          <w:rFonts w:ascii="Times New Roman" w:hAnsi="Times New Roman"/>
          <w:sz w:val="18"/>
        </w:rPr>
      </w:pPr>
      <w:r w:rsidRPr="005F46C3">
        <w:rPr>
          <w:rStyle w:val="FootnoteReference"/>
          <w:rFonts w:ascii="Times New Roman" w:hAnsi="Times New Roman"/>
          <w:sz w:val="18"/>
        </w:rPr>
        <w:footnoteRef/>
      </w:r>
      <w:r w:rsidRPr="005F46C3">
        <w:rPr>
          <w:rFonts w:ascii="Times New Roman" w:hAnsi="Times New Roman"/>
          <w:bCs/>
          <w:sz w:val="18"/>
        </w:rPr>
        <w:t>Meyer JM, Davis VG, Goff DC, et al. Change in metabolic syndrome parameters with antipsychotic treatment in the CATIE Schizophrenia Trial: Prospective data from phase 1. </w:t>
      </w:r>
      <w:r w:rsidRPr="005F46C3">
        <w:rPr>
          <w:rFonts w:ascii="Times New Roman" w:hAnsi="Times New Roman"/>
          <w:bCs/>
          <w:i/>
          <w:iCs/>
          <w:sz w:val="18"/>
        </w:rPr>
        <w:t>Schizophrenia Research</w:t>
      </w:r>
      <w:r w:rsidRPr="005F46C3">
        <w:rPr>
          <w:rFonts w:ascii="Times New Roman" w:hAnsi="Times New Roman"/>
          <w:bCs/>
          <w:sz w:val="18"/>
        </w:rPr>
        <w:t>. 2008</w:t>
      </w:r>
      <w:proofErr w:type="gramStart"/>
      <w:r w:rsidRPr="005F46C3">
        <w:rPr>
          <w:rFonts w:ascii="Times New Roman" w:hAnsi="Times New Roman"/>
          <w:bCs/>
          <w:sz w:val="18"/>
        </w:rPr>
        <w:t>;101</w:t>
      </w:r>
      <w:proofErr w:type="gramEnd"/>
      <w:r w:rsidRPr="005F46C3">
        <w:rPr>
          <w:rFonts w:ascii="Times New Roman" w:hAnsi="Times New Roman"/>
          <w:bCs/>
          <w:sz w:val="18"/>
        </w:rPr>
        <w:t>(1-3):273-286. doi:10.1016/j.schres.2007.12.487</w:t>
      </w:r>
      <w:r w:rsidRPr="005F46C3">
        <w:rPr>
          <w:rFonts w:ascii="Times New Roman" w:hAnsi="Times New Roman"/>
          <w:sz w:val="18"/>
        </w:rPr>
        <w:t>.</w:t>
      </w:r>
    </w:p>
  </w:footnote>
  <w:footnote w:id="75">
    <w:p w:rsidR="009E6720" w:rsidRPr="005F46C3" w:rsidRDefault="009E6720" w:rsidP="005F46C3">
      <w:pPr>
        <w:pStyle w:val="FootnoteText"/>
        <w:rPr>
          <w:rFonts w:ascii="Times New Roman" w:hAnsi="Times New Roman"/>
          <w:sz w:val="18"/>
        </w:rPr>
      </w:pPr>
      <w:r w:rsidRPr="005F46C3">
        <w:rPr>
          <w:rStyle w:val="FootnoteReference"/>
          <w:rFonts w:ascii="Times New Roman" w:hAnsi="Times New Roman"/>
          <w:sz w:val="18"/>
        </w:rPr>
        <w:footnoteRef/>
      </w:r>
      <w:r w:rsidRPr="005F46C3">
        <w:rPr>
          <w:rFonts w:ascii="Times New Roman" w:hAnsi="Times New Roman"/>
          <w:sz w:val="18"/>
        </w:rPr>
        <w:t>SAMHSA, Center for Behavioral Health Statistics and Quality, National Survey on Drug Use and Health, 2008-2010.</w:t>
      </w:r>
    </w:p>
  </w:footnote>
  <w:footnote w:id="76">
    <w:p w:rsidR="009E6720" w:rsidRPr="005F46C3" w:rsidRDefault="009E6720" w:rsidP="005F46C3">
      <w:pPr>
        <w:pStyle w:val="FootnoteText"/>
        <w:rPr>
          <w:rFonts w:ascii="Times New Roman" w:hAnsi="Times New Roman"/>
          <w:sz w:val="18"/>
        </w:rPr>
      </w:pPr>
      <w:r w:rsidRPr="005F46C3">
        <w:rPr>
          <w:rStyle w:val="FootnoteReference"/>
          <w:rFonts w:ascii="Times New Roman" w:hAnsi="Times New Roman"/>
          <w:sz w:val="18"/>
        </w:rPr>
        <w:footnoteRef/>
      </w:r>
      <w:r w:rsidRPr="005F46C3">
        <w:rPr>
          <w:rFonts w:ascii="Times New Roman" w:hAnsi="Times New Roman"/>
          <w:sz w:val="18"/>
        </w:rPr>
        <w:t xml:space="preserve">Substance Abuse and Mental Health Services Administration (SAMHSA). Behavioral Health Barometer: Massachusetts, 2015.  HHS Publication No. SMA–16–Baro–2015–MA. Rockville, MD: Substance Abuse and Mental Health Services Administration, 2015. </w:t>
      </w:r>
    </w:p>
  </w:footnote>
  <w:footnote w:id="77">
    <w:p w:rsidR="009E6720" w:rsidRPr="005F46C3" w:rsidRDefault="009E6720" w:rsidP="005F46C3">
      <w:pPr>
        <w:pStyle w:val="FootnoteText"/>
        <w:rPr>
          <w:rFonts w:ascii="Times New Roman" w:hAnsi="Times New Roman"/>
          <w:sz w:val="18"/>
        </w:rPr>
      </w:pPr>
      <w:r w:rsidRPr="005F46C3">
        <w:rPr>
          <w:rStyle w:val="FootnoteReference"/>
          <w:rFonts w:ascii="Times New Roman" w:hAnsi="Times New Roman"/>
          <w:sz w:val="18"/>
        </w:rPr>
        <w:footnoteRef/>
      </w:r>
      <w:r w:rsidRPr="005F46C3">
        <w:rPr>
          <w:rFonts w:ascii="Times New Roman" w:hAnsi="Times New Roman"/>
          <w:sz w:val="18"/>
        </w:rPr>
        <w:t xml:space="preserve">Massachusetts Department of Public Health. State Health Plan: Behavioral Health, Dec 2014. Available at: http://www.mass.gov/eohhs/docs/dph/health-planning/hpc/deliverable/behavioral-health-state-health-plan.pdf. </w:t>
      </w:r>
    </w:p>
  </w:footnote>
  <w:footnote w:id="78">
    <w:p w:rsidR="009E6720" w:rsidRPr="005F46C3" w:rsidRDefault="009E6720" w:rsidP="005F46C3">
      <w:pPr>
        <w:pStyle w:val="FootnoteText"/>
        <w:rPr>
          <w:rFonts w:ascii="Times New Roman" w:hAnsi="Times New Roman"/>
          <w:sz w:val="18"/>
        </w:rPr>
      </w:pPr>
      <w:r w:rsidRPr="005F46C3">
        <w:rPr>
          <w:rStyle w:val="FootnoteReference"/>
          <w:rFonts w:ascii="Times New Roman" w:hAnsi="Times New Roman"/>
          <w:sz w:val="18"/>
        </w:rPr>
        <w:footnoteRef/>
      </w:r>
      <w:r w:rsidRPr="005F46C3">
        <w:rPr>
          <w:rFonts w:ascii="Times New Roman" w:hAnsi="Times New Roman"/>
          <w:sz w:val="18"/>
        </w:rPr>
        <w:t xml:space="preserve">Colton CW, Manderscheid, RW. Congruencies in increased mortality rates, years of potential life lost, and causes of death among public mental health clients in eight states. </w:t>
      </w:r>
      <w:r w:rsidRPr="005F46C3">
        <w:rPr>
          <w:rFonts w:ascii="Times New Roman" w:hAnsi="Times New Roman"/>
          <w:i/>
          <w:sz w:val="18"/>
        </w:rPr>
        <w:t>Preventing Chronic Disease</w:t>
      </w:r>
      <w:r w:rsidRPr="005F46C3">
        <w:rPr>
          <w:rFonts w:ascii="Times New Roman" w:hAnsi="Times New Roman"/>
          <w:sz w:val="18"/>
        </w:rPr>
        <w:t>. 2006</w:t>
      </w:r>
      <w:proofErr w:type="gramStart"/>
      <w:r w:rsidRPr="005F46C3">
        <w:rPr>
          <w:rFonts w:ascii="Times New Roman" w:hAnsi="Times New Roman"/>
          <w:sz w:val="18"/>
        </w:rPr>
        <w:t>;3</w:t>
      </w:r>
      <w:proofErr w:type="gramEnd"/>
      <w:r w:rsidRPr="005F46C3">
        <w:rPr>
          <w:rFonts w:ascii="Times New Roman" w:hAnsi="Times New Roman"/>
          <w:sz w:val="18"/>
        </w:rPr>
        <w:t>(2):1-14.</w:t>
      </w:r>
    </w:p>
  </w:footnote>
  <w:footnote w:id="79">
    <w:p w:rsidR="009E6720" w:rsidRPr="005F46C3" w:rsidRDefault="009E6720" w:rsidP="005F46C3">
      <w:pPr>
        <w:pStyle w:val="FootnoteText"/>
        <w:rPr>
          <w:rFonts w:ascii="Times New Roman" w:hAnsi="Times New Roman"/>
          <w:sz w:val="18"/>
        </w:rPr>
      </w:pPr>
      <w:r w:rsidRPr="005F46C3">
        <w:rPr>
          <w:rStyle w:val="FootnoteReference"/>
          <w:rFonts w:ascii="Times New Roman" w:hAnsi="Times New Roman"/>
          <w:sz w:val="18"/>
        </w:rPr>
        <w:footnoteRef/>
      </w:r>
      <w:r w:rsidRPr="005F46C3">
        <w:rPr>
          <w:rFonts w:ascii="Times New Roman" w:hAnsi="Times New Roman"/>
          <w:sz w:val="18"/>
        </w:rPr>
        <w:t xml:space="preserve">Massachusetts Department of Public Health. Data Brief: Opioid-related Overdose Deaths </w:t>
      </w:r>
      <w:proofErr w:type="gramStart"/>
      <w:r w:rsidRPr="005F46C3">
        <w:rPr>
          <w:rFonts w:ascii="Times New Roman" w:hAnsi="Times New Roman"/>
          <w:sz w:val="18"/>
        </w:rPr>
        <w:t>Among</w:t>
      </w:r>
      <w:proofErr w:type="gramEnd"/>
      <w:r w:rsidRPr="005F46C3">
        <w:rPr>
          <w:rFonts w:ascii="Times New Roman" w:hAnsi="Times New Roman"/>
          <w:sz w:val="18"/>
        </w:rPr>
        <w:t xml:space="preserve"> Massachusetts Residents. May 2016. Available at: http://www.mass.gov/eohhs/docs/dph/quality/drugcontrol/county-level-pmp/data-brief-overdose-deaths-may-2016.pdf.  </w:t>
      </w:r>
    </w:p>
  </w:footnote>
  <w:footnote w:id="80">
    <w:p w:rsidR="009E6720" w:rsidRPr="005F46C3" w:rsidRDefault="009E6720" w:rsidP="005F46C3">
      <w:pPr>
        <w:pStyle w:val="FootnoteText"/>
        <w:rPr>
          <w:rFonts w:ascii="Times New Roman" w:hAnsi="Times New Roman"/>
          <w:sz w:val="18"/>
        </w:rPr>
      </w:pPr>
      <w:r w:rsidRPr="005F46C3">
        <w:rPr>
          <w:rStyle w:val="FootnoteReference"/>
          <w:rFonts w:ascii="Times New Roman" w:hAnsi="Times New Roman"/>
          <w:sz w:val="18"/>
        </w:rPr>
        <w:footnoteRef/>
      </w:r>
      <w:r w:rsidRPr="005F46C3">
        <w:rPr>
          <w:rFonts w:ascii="Times New Roman" w:hAnsi="Times New Roman"/>
          <w:sz w:val="18"/>
        </w:rPr>
        <w:t>Institute of Medicine (US) Committee on Quality Assurance and Accreditation Guidelines for Managed Behavioral Health Care; Edmunds M, Frank R, Hogan M, et al., editors. Managing Managed Care: Quality Improvement in Behavioral Health. Washington (DC): National Academies Press (US); 1997. Available from: http://www.ncbi.nlm.nih.gov/books/NBK233235/</w:t>
      </w:r>
    </w:p>
  </w:footnote>
  <w:footnote w:id="81">
    <w:p w:rsidR="009E6720" w:rsidRPr="000D11E9" w:rsidRDefault="009E6720" w:rsidP="005F46C3">
      <w:pPr>
        <w:pStyle w:val="FootnoteText"/>
        <w:spacing w:after="120"/>
        <w:rPr>
          <w:sz w:val="18"/>
        </w:rPr>
      </w:pPr>
      <w:r w:rsidRPr="005F46C3">
        <w:rPr>
          <w:rStyle w:val="FootnoteReference"/>
          <w:rFonts w:ascii="Times New Roman" w:hAnsi="Times New Roman"/>
          <w:sz w:val="18"/>
        </w:rPr>
        <w:footnoteRef/>
      </w:r>
      <w:r w:rsidRPr="005F46C3">
        <w:rPr>
          <w:rFonts w:ascii="Times New Roman" w:hAnsi="Times New Roman"/>
          <w:bCs/>
          <w:sz w:val="18"/>
        </w:rPr>
        <w:t xml:space="preserve">Kane JM, Robinson DG, Schooler NR, et al. Comprehensive </w:t>
      </w:r>
      <w:proofErr w:type="gramStart"/>
      <w:r w:rsidRPr="005F46C3">
        <w:rPr>
          <w:rFonts w:ascii="Times New Roman" w:hAnsi="Times New Roman"/>
          <w:bCs/>
          <w:sz w:val="18"/>
        </w:rPr>
        <w:t>Versus</w:t>
      </w:r>
      <w:proofErr w:type="gramEnd"/>
      <w:r w:rsidRPr="005F46C3">
        <w:rPr>
          <w:rFonts w:ascii="Times New Roman" w:hAnsi="Times New Roman"/>
          <w:bCs/>
          <w:sz w:val="18"/>
        </w:rPr>
        <w:t xml:space="preserve"> Usual Community Care for First-Episode Psychosis: 2-Year Outcomes From the NIMH RAISE Early Treatment Program. </w:t>
      </w:r>
      <w:r w:rsidRPr="005F46C3">
        <w:rPr>
          <w:rFonts w:ascii="Times New Roman" w:hAnsi="Times New Roman"/>
          <w:bCs/>
          <w:i/>
          <w:iCs/>
          <w:sz w:val="18"/>
        </w:rPr>
        <w:t>American Journal of Psychiatry AJP</w:t>
      </w:r>
      <w:r w:rsidRPr="005F46C3">
        <w:rPr>
          <w:rFonts w:ascii="Times New Roman" w:hAnsi="Times New Roman"/>
          <w:bCs/>
          <w:sz w:val="18"/>
        </w:rPr>
        <w:t>. 2016</w:t>
      </w:r>
      <w:proofErr w:type="gramStart"/>
      <w:r w:rsidRPr="005F46C3">
        <w:rPr>
          <w:rFonts w:ascii="Times New Roman" w:hAnsi="Times New Roman"/>
          <w:bCs/>
          <w:sz w:val="18"/>
        </w:rPr>
        <w:t>;173</w:t>
      </w:r>
      <w:proofErr w:type="gramEnd"/>
      <w:r w:rsidRPr="005F46C3">
        <w:rPr>
          <w:rFonts w:ascii="Times New Roman" w:hAnsi="Times New Roman"/>
          <w:bCs/>
          <w:sz w:val="18"/>
        </w:rPr>
        <w:t>(4):362-372. doi:10.1176/appi.ajp.2015.15050632</w:t>
      </w:r>
      <w:r w:rsidRPr="005F46C3">
        <w:rPr>
          <w:rFonts w:ascii="Times New Roman" w:hAnsi="Times New Roman"/>
          <w:sz w:val="18"/>
        </w:rPr>
        <w:t>.</w:t>
      </w:r>
    </w:p>
  </w:footnote>
  <w:footnote w:id="82">
    <w:p w:rsidR="009E6720" w:rsidRPr="005F46C3" w:rsidRDefault="009E6720" w:rsidP="005F46C3">
      <w:pPr>
        <w:pStyle w:val="FootnoteText"/>
        <w:rPr>
          <w:rFonts w:ascii="Times New Roman" w:hAnsi="Times New Roman"/>
          <w:sz w:val="18"/>
        </w:rPr>
      </w:pPr>
      <w:r w:rsidRPr="005F46C3">
        <w:rPr>
          <w:rStyle w:val="FootnoteReference"/>
          <w:rFonts w:ascii="Times New Roman" w:hAnsi="Times New Roman"/>
          <w:sz w:val="18"/>
        </w:rPr>
        <w:footnoteRef/>
      </w:r>
      <w:r w:rsidRPr="005F46C3">
        <w:rPr>
          <w:rFonts w:ascii="Times New Roman" w:hAnsi="Times New Roman"/>
          <w:sz w:val="18"/>
        </w:rPr>
        <w:t>Bartels S, Desilets R. Health Promotion Programs for People with Serious Mental Illness (Prepared by the Dartmouth Health Promotion Research Team). Washington, DC. SAMHSA-HRSA Center for Integrated Health Solutions. Jan 2012.</w:t>
      </w:r>
    </w:p>
  </w:footnote>
  <w:footnote w:id="83">
    <w:p w:rsidR="009E6720" w:rsidRPr="005F46C3" w:rsidRDefault="009E6720" w:rsidP="005F46C3">
      <w:pPr>
        <w:pStyle w:val="FootnoteText"/>
        <w:rPr>
          <w:rFonts w:ascii="Times New Roman" w:hAnsi="Times New Roman"/>
          <w:sz w:val="18"/>
          <w:szCs w:val="18"/>
        </w:rPr>
      </w:pPr>
      <w:r w:rsidRPr="005F46C3">
        <w:rPr>
          <w:rStyle w:val="FootnoteReference"/>
          <w:rFonts w:ascii="Times New Roman" w:hAnsi="Times New Roman"/>
          <w:sz w:val="18"/>
        </w:rPr>
        <w:footnoteRef/>
      </w:r>
      <w:r w:rsidRPr="005F46C3">
        <w:rPr>
          <w:rFonts w:ascii="Times New Roman" w:hAnsi="Times New Roman"/>
          <w:bCs/>
          <w:sz w:val="18"/>
        </w:rPr>
        <w:t>Bruins J, Jörg F, Bruggeman R, Slooff C, Corpeleijn E, Pijnenborg M. The Effects of Lifestyle Interventions on (Long-Term) Weight Management, Cardiometabolic Risk and Depressive Symptoms in People with Psychotic Disorders: A Meta-Analysis. </w:t>
      </w:r>
      <w:r w:rsidRPr="005F46C3">
        <w:rPr>
          <w:rFonts w:ascii="Times New Roman" w:hAnsi="Times New Roman"/>
          <w:bCs/>
          <w:i/>
          <w:iCs/>
          <w:sz w:val="18"/>
        </w:rPr>
        <w:t>PLoS ONE</w:t>
      </w:r>
      <w:r w:rsidRPr="005F46C3">
        <w:rPr>
          <w:rFonts w:ascii="Times New Roman" w:hAnsi="Times New Roman"/>
          <w:bCs/>
          <w:sz w:val="18"/>
        </w:rPr>
        <w:t xml:space="preserve">. </w:t>
      </w:r>
      <w:r w:rsidRPr="005F46C3">
        <w:rPr>
          <w:rFonts w:ascii="Times New Roman" w:hAnsi="Times New Roman"/>
          <w:bCs/>
          <w:sz w:val="18"/>
          <w:szCs w:val="18"/>
        </w:rPr>
        <w:t>2014</w:t>
      </w:r>
      <w:proofErr w:type="gramStart"/>
      <w:r w:rsidRPr="005F46C3">
        <w:rPr>
          <w:rFonts w:ascii="Times New Roman" w:hAnsi="Times New Roman"/>
          <w:bCs/>
          <w:sz w:val="18"/>
          <w:szCs w:val="18"/>
        </w:rPr>
        <w:t>;9</w:t>
      </w:r>
      <w:proofErr w:type="gramEnd"/>
      <w:r w:rsidRPr="005F46C3">
        <w:rPr>
          <w:rFonts w:ascii="Times New Roman" w:hAnsi="Times New Roman"/>
          <w:bCs/>
          <w:sz w:val="18"/>
          <w:szCs w:val="18"/>
        </w:rPr>
        <w:t>(12). doi:10.1371/journal.pone.0112276.</w:t>
      </w:r>
    </w:p>
  </w:footnote>
  <w:footnote w:id="84">
    <w:p w:rsidR="009E6720" w:rsidRDefault="009E6720" w:rsidP="005F46C3">
      <w:pPr>
        <w:pStyle w:val="FootnoteText"/>
      </w:pPr>
      <w:r w:rsidRPr="005F46C3">
        <w:rPr>
          <w:rStyle w:val="FootnoteReference"/>
          <w:rFonts w:ascii="Times New Roman" w:hAnsi="Times New Roman"/>
          <w:sz w:val="18"/>
          <w:szCs w:val="18"/>
        </w:rPr>
        <w:footnoteRef/>
      </w:r>
      <w:r w:rsidRPr="005F46C3">
        <w:rPr>
          <w:rFonts w:ascii="Times New Roman" w:hAnsi="Times New Roman"/>
          <w:sz w:val="18"/>
          <w:szCs w:val="18"/>
        </w:rPr>
        <w:t xml:space="preserve">Buck JA, Teich JL, Miller K. Use of mental health and substance abuse services among high-cost Medicaid enrollees. </w:t>
      </w:r>
      <w:r w:rsidRPr="005F46C3">
        <w:rPr>
          <w:rFonts w:ascii="Times New Roman" w:hAnsi="Times New Roman"/>
          <w:i/>
          <w:sz w:val="18"/>
          <w:szCs w:val="18"/>
        </w:rPr>
        <w:t>Administration and Policy in Mental Health</w:t>
      </w:r>
      <w:r w:rsidRPr="005F46C3">
        <w:rPr>
          <w:rFonts w:ascii="Times New Roman" w:hAnsi="Times New Roman"/>
          <w:sz w:val="18"/>
          <w:szCs w:val="18"/>
        </w:rPr>
        <w:t>. Sep 2003</w:t>
      </w:r>
      <w:proofErr w:type="gramStart"/>
      <w:r w:rsidRPr="005F46C3">
        <w:rPr>
          <w:rFonts w:ascii="Times New Roman" w:hAnsi="Times New Roman"/>
          <w:sz w:val="18"/>
          <w:szCs w:val="18"/>
        </w:rPr>
        <w:t>;31</w:t>
      </w:r>
      <w:proofErr w:type="gramEnd"/>
      <w:r w:rsidRPr="005F46C3">
        <w:rPr>
          <w:rFonts w:ascii="Times New Roman" w:hAnsi="Times New Roman"/>
          <w:sz w:val="18"/>
          <w:szCs w:val="18"/>
        </w:rPr>
        <w:t>(1):3-14. PMID: 14650645.</w:t>
      </w:r>
    </w:p>
  </w:footnote>
  <w:footnote w:id="85">
    <w:p w:rsidR="009E6720" w:rsidRPr="008F4AE8" w:rsidRDefault="009E6720" w:rsidP="00C947DF">
      <w:pPr>
        <w:pStyle w:val="Default"/>
        <w:rPr>
          <w:sz w:val="18"/>
          <w:szCs w:val="18"/>
        </w:rPr>
      </w:pPr>
      <w:r w:rsidRPr="008F4AE8">
        <w:rPr>
          <w:rStyle w:val="FootnoteReference"/>
          <w:sz w:val="18"/>
          <w:szCs w:val="18"/>
        </w:rPr>
        <w:footnoteRef/>
      </w:r>
      <w:r w:rsidRPr="008F4AE8">
        <w:rPr>
          <w:bCs/>
          <w:iCs/>
          <w:sz w:val="18"/>
          <w:szCs w:val="18"/>
        </w:rPr>
        <w:t>Examination of Health Care Cost Trends and Cost Drivers Pursuant to G.L. c. 12, § 11N Report for Annual Public Hearing Under G.L. c. 6D, § 8</w:t>
      </w:r>
      <w:r w:rsidRPr="008F4AE8">
        <w:rPr>
          <w:sz w:val="18"/>
          <w:szCs w:val="18"/>
        </w:rPr>
        <w:t xml:space="preserve"> </w:t>
      </w:r>
    </w:p>
  </w:footnote>
  <w:footnote w:id="86">
    <w:p w:rsidR="009E6720" w:rsidRPr="008F4AE8" w:rsidRDefault="009E6720" w:rsidP="00C947DF">
      <w:pPr>
        <w:pStyle w:val="Default"/>
        <w:rPr>
          <w:rStyle w:val="A9"/>
          <w:sz w:val="18"/>
          <w:szCs w:val="18"/>
        </w:rPr>
      </w:pPr>
      <w:r w:rsidRPr="008F4AE8">
        <w:rPr>
          <w:rStyle w:val="FootnoteReference"/>
          <w:sz w:val="18"/>
          <w:szCs w:val="18"/>
        </w:rPr>
        <w:footnoteRef/>
      </w:r>
      <w:r w:rsidRPr="008F4AE8">
        <w:rPr>
          <w:rStyle w:val="A9"/>
          <w:sz w:val="18"/>
          <w:szCs w:val="18"/>
        </w:rPr>
        <w:t>Gruber J, &amp; McKnight R. (2014). Controlling health care costs through limited network insurance plans: Evidence from Massachusetts state employees.” NBER working paper #20462.</w:t>
      </w:r>
    </w:p>
    <w:p w:rsidR="009E6720" w:rsidRDefault="009E6720">
      <w:pPr>
        <w:pStyle w:val="FootnoteText"/>
      </w:pPr>
    </w:p>
  </w:footnote>
  <w:footnote w:id="87">
    <w:p w:rsidR="009E6720" w:rsidRPr="0065130B" w:rsidRDefault="009E6720" w:rsidP="00F229A7">
      <w:pPr>
        <w:pStyle w:val="Default"/>
        <w:rPr>
          <w:sz w:val="18"/>
          <w:szCs w:val="18"/>
        </w:rPr>
      </w:pPr>
      <w:r w:rsidRPr="0065130B">
        <w:rPr>
          <w:rStyle w:val="FootnoteReference"/>
          <w:sz w:val="18"/>
          <w:szCs w:val="18"/>
        </w:rPr>
        <w:footnoteRef/>
      </w:r>
      <w:r w:rsidRPr="0065130B">
        <w:rPr>
          <w:rStyle w:val="A9"/>
          <w:rFonts w:cs="Times New Roman"/>
          <w:sz w:val="18"/>
          <w:szCs w:val="18"/>
        </w:rPr>
        <w:t>Utilization, Benefits, and Impact of an e-Consultation Service Across Diverse Specialties and Primary care. Liddy et al. Telemedicine and e-Health 2013 Apr; 19(10):733-738</w:t>
      </w:r>
    </w:p>
  </w:footnote>
  <w:footnote w:id="88">
    <w:p w:rsidR="009E6720" w:rsidRDefault="009E6720">
      <w:pPr>
        <w:pStyle w:val="FootnoteText"/>
      </w:pPr>
      <w:r w:rsidRPr="0065130B">
        <w:rPr>
          <w:rStyle w:val="FootnoteReference"/>
          <w:rFonts w:ascii="Times New Roman" w:hAnsi="Times New Roman"/>
          <w:sz w:val="18"/>
          <w:szCs w:val="18"/>
        </w:rPr>
        <w:footnoteRef/>
      </w:r>
      <w:r w:rsidRPr="0065130B">
        <w:rPr>
          <w:rStyle w:val="A9"/>
          <w:rFonts w:ascii="Times New Roman" w:hAnsi="Times New Roman" w:cs="Times New Roman"/>
          <w:sz w:val="18"/>
          <w:szCs w:val="18"/>
        </w:rPr>
        <w:t>Text Messaging as a Tool for Behavior Change in Disease Prevention and Management. Epidemiology Reviews 2010 Apr; 32(1) 56-59</w:t>
      </w:r>
    </w:p>
  </w:footnote>
  <w:footnote w:id="89">
    <w:p w:rsidR="009E6720" w:rsidRPr="0065130B" w:rsidRDefault="009E6720" w:rsidP="0065130B">
      <w:pPr>
        <w:pStyle w:val="Default"/>
        <w:rPr>
          <w:sz w:val="18"/>
          <w:szCs w:val="18"/>
        </w:rPr>
      </w:pPr>
      <w:r w:rsidRPr="0065130B">
        <w:rPr>
          <w:rStyle w:val="FootnoteReference"/>
          <w:sz w:val="18"/>
          <w:szCs w:val="18"/>
        </w:rPr>
        <w:footnoteRef/>
      </w:r>
      <w:r w:rsidRPr="0065130B">
        <w:rPr>
          <w:sz w:val="18"/>
          <w:szCs w:val="18"/>
        </w:rPr>
        <w:t xml:space="preserve">Baseline and outcome measures are dependent on stable populations and relevant claims data. Should there be material changes in populations, payor contracts and access to claims data these measures will need to be re-based. </w:t>
      </w:r>
    </w:p>
    <w:p w:rsidR="009E6720" w:rsidRDefault="009E6720" w:rsidP="0065130B">
      <w:pPr>
        <w:pStyle w:val="FootnoteText"/>
      </w:pPr>
    </w:p>
  </w:footnote>
  <w:footnote w:id="90">
    <w:p w:rsidR="009E6720" w:rsidRPr="00C947DF" w:rsidRDefault="009E6720" w:rsidP="0065130B">
      <w:pPr>
        <w:pStyle w:val="FootnoteText"/>
        <w:rPr>
          <w:rFonts w:ascii="Times New Roman" w:hAnsi="Times New Roman"/>
          <w:sz w:val="18"/>
          <w:szCs w:val="18"/>
        </w:rPr>
      </w:pPr>
      <w:r w:rsidRPr="00C947DF">
        <w:rPr>
          <w:rStyle w:val="FootnoteReference"/>
          <w:rFonts w:ascii="Times New Roman" w:hAnsi="Times New Roman"/>
          <w:sz w:val="18"/>
          <w:szCs w:val="18"/>
        </w:rPr>
        <w:footnoteRef/>
      </w:r>
      <w:r w:rsidRPr="00C947DF">
        <w:rPr>
          <w:rFonts w:ascii="Times New Roman" w:hAnsi="Times New Roman"/>
          <w:sz w:val="18"/>
          <w:szCs w:val="18"/>
        </w:rPr>
        <w:t xml:space="preserve"> </w:t>
      </w:r>
      <w:r w:rsidRPr="00C947DF">
        <w:rPr>
          <w:rFonts w:ascii="Times New Roman" w:eastAsia="Times New Roman" w:hAnsi="Times New Roman"/>
          <w:sz w:val="18"/>
          <w:szCs w:val="18"/>
        </w:rPr>
        <w:t>Any Visiting Nurses Association (VNA) with whom public hospital system has a signed preferred provider agreement. Preferred provider relationships are evaluated annually and are subject to change if VNAs are not in compliance with the terms of the agreement.  Changes in preferred VNA relationships may require a rebasing of the measures.</w:t>
      </w:r>
    </w:p>
  </w:footnote>
  <w:footnote w:id="91">
    <w:p w:rsidR="009E6720" w:rsidRPr="00C947DF" w:rsidRDefault="009E6720" w:rsidP="0065130B">
      <w:pPr>
        <w:pStyle w:val="Default"/>
        <w:rPr>
          <w:sz w:val="18"/>
          <w:szCs w:val="18"/>
        </w:rPr>
      </w:pPr>
      <w:r w:rsidRPr="00C947DF">
        <w:rPr>
          <w:rStyle w:val="FootnoteReference"/>
          <w:sz w:val="18"/>
          <w:szCs w:val="18"/>
        </w:rPr>
        <w:footnoteRef/>
      </w:r>
      <w:r w:rsidRPr="00C947DF">
        <w:rPr>
          <w:sz w:val="18"/>
          <w:szCs w:val="18"/>
        </w:rPr>
        <w:t xml:space="preserve"> Any Skilled Nursing Facility (SNF) approved by the public hospital network development committee as being "in-network" at any point during the measurement year.  The network development committee oversees the collaborative relationships in which the public hospital system participates.  The committee abides by specific principles related to access, continuity of care, communication expectations and quality improvement. </w:t>
      </w:r>
      <w:r w:rsidRPr="00C947DF">
        <w:rPr>
          <w:rFonts w:eastAsia="Times New Roman"/>
          <w:sz w:val="18"/>
          <w:szCs w:val="18"/>
        </w:rPr>
        <w:t>Changes to in-network SNF relationships may require a rebasing of the measures.</w:t>
      </w:r>
    </w:p>
    <w:p w:rsidR="009E6720" w:rsidRDefault="009E6720" w:rsidP="0065130B">
      <w:pPr>
        <w:pStyle w:val="FootnoteText"/>
      </w:pPr>
    </w:p>
  </w:footnote>
  <w:footnote w:id="92">
    <w:p w:rsidR="009E6720" w:rsidRPr="00175454" w:rsidRDefault="009E6720" w:rsidP="004A2922">
      <w:pPr>
        <w:pStyle w:val="FootnoteText"/>
        <w:rPr>
          <w:rFonts w:ascii="Times New Roman" w:hAnsi="Times New Roman"/>
          <w:sz w:val="18"/>
        </w:rPr>
      </w:pPr>
      <w:r w:rsidRPr="00175454">
        <w:rPr>
          <w:rStyle w:val="FootnoteReference"/>
          <w:rFonts w:ascii="Times New Roman" w:hAnsi="Times New Roman"/>
          <w:sz w:val="18"/>
        </w:rPr>
        <w:footnoteRef/>
      </w:r>
      <w:r w:rsidRPr="00175454">
        <w:rPr>
          <w:rFonts w:ascii="Times New Roman" w:hAnsi="Times New Roman"/>
          <w:sz w:val="18"/>
        </w:rPr>
        <w:t>Sackett DL, Rosenberg WMC, Gray JAM et al. Evidence-based medicine: what it is and what it isn’t. Br Med J 1996;312:71-72</w:t>
      </w:r>
    </w:p>
  </w:footnote>
  <w:footnote w:id="93">
    <w:p w:rsidR="009E6720" w:rsidRPr="00175454" w:rsidRDefault="009E6720" w:rsidP="004A2922">
      <w:pPr>
        <w:pStyle w:val="FootnoteText"/>
        <w:rPr>
          <w:rFonts w:ascii="Times New Roman" w:hAnsi="Times New Roman"/>
          <w:sz w:val="18"/>
        </w:rPr>
      </w:pPr>
      <w:r w:rsidRPr="00175454">
        <w:rPr>
          <w:rStyle w:val="FootnoteReference"/>
          <w:rFonts w:ascii="Times New Roman" w:hAnsi="Times New Roman"/>
          <w:sz w:val="18"/>
        </w:rPr>
        <w:footnoteRef/>
      </w:r>
      <w:r w:rsidRPr="00175454">
        <w:rPr>
          <w:rFonts w:ascii="Times New Roman" w:hAnsi="Times New Roman"/>
          <w:sz w:val="18"/>
        </w:rPr>
        <w:t>Jonathan Skinner and Elliott S. Fisher “Reflections on Geographic Variations in U.S. Health Care,”, The Dartmouth Institute for Health Policy &amp; Clinical Practice, updated May 12</w:t>
      </w:r>
    </w:p>
  </w:footnote>
  <w:footnote w:id="94">
    <w:p w:rsidR="009E6720" w:rsidRPr="00175454" w:rsidRDefault="009E6720" w:rsidP="004A2922">
      <w:pPr>
        <w:pStyle w:val="FootnoteText"/>
        <w:rPr>
          <w:rFonts w:ascii="Times New Roman" w:hAnsi="Times New Roman"/>
          <w:sz w:val="18"/>
        </w:rPr>
      </w:pPr>
      <w:r w:rsidRPr="00175454">
        <w:rPr>
          <w:rStyle w:val="FootnoteReference"/>
          <w:rFonts w:ascii="Times New Roman" w:hAnsi="Times New Roman"/>
          <w:sz w:val="18"/>
        </w:rPr>
        <w:footnoteRef/>
      </w:r>
      <w:r w:rsidRPr="00175454">
        <w:rPr>
          <w:rFonts w:ascii="Times New Roman" w:hAnsi="Times New Roman"/>
          <w:sz w:val="18"/>
        </w:rPr>
        <w:t>Crossing the Qulity Chasm: A New Health System for the 21st Century Institute of Medicine 2001</w:t>
      </w:r>
    </w:p>
  </w:footnote>
  <w:footnote w:id="95">
    <w:p w:rsidR="009E6720" w:rsidRPr="00175454" w:rsidRDefault="009E6720" w:rsidP="004A2922">
      <w:pPr>
        <w:pStyle w:val="FootnoteText"/>
        <w:rPr>
          <w:rFonts w:ascii="Times New Roman" w:hAnsi="Times New Roman"/>
          <w:sz w:val="18"/>
        </w:rPr>
      </w:pPr>
      <w:r w:rsidRPr="00175454">
        <w:rPr>
          <w:rStyle w:val="FootnoteReference"/>
          <w:rFonts w:ascii="Times New Roman" w:hAnsi="Times New Roman"/>
          <w:sz w:val="18"/>
        </w:rPr>
        <w:footnoteRef/>
      </w:r>
      <w:r w:rsidRPr="00175454">
        <w:rPr>
          <w:rFonts w:ascii="Times New Roman" w:hAnsi="Times New Roman"/>
          <w:sz w:val="18"/>
        </w:rPr>
        <w:t>McCarthy, Mueller, Wrenn. Geisinger Health System: Achieving the Potential of System Integration through Innovation, Leadership, Measurement, and Incentives. The Commonwealth Fund, Case Study Organized Health Care Delivery System June 2009</w:t>
      </w:r>
    </w:p>
  </w:footnote>
  <w:footnote w:id="96">
    <w:p w:rsidR="009E6720" w:rsidRPr="00175454" w:rsidRDefault="009E6720" w:rsidP="004A2922">
      <w:pPr>
        <w:pStyle w:val="FootnoteText"/>
        <w:rPr>
          <w:rFonts w:ascii="Times New Roman" w:hAnsi="Times New Roman"/>
          <w:sz w:val="18"/>
        </w:rPr>
      </w:pPr>
      <w:r w:rsidRPr="00175454">
        <w:rPr>
          <w:rStyle w:val="FootnoteReference"/>
          <w:rFonts w:ascii="Times New Roman" w:hAnsi="Times New Roman"/>
          <w:sz w:val="18"/>
        </w:rPr>
        <w:footnoteRef/>
      </w:r>
      <w:r w:rsidRPr="00175454">
        <w:rPr>
          <w:rFonts w:ascii="Times New Roman" w:hAnsi="Times New Roman"/>
          <w:sz w:val="18"/>
        </w:rPr>
        <w:t>Pursuing Perfection: Raising the Bar for Healthcare Performance Robert Wood Johnson Foundation Results Report Grant ID: CPC Updated January 10, 2014</w:t>
      </w:r>
    </w:p>
  </w:footnote>
  <w:footnote w:id="97">
    <w:p w:rsidR="009E6720" w:rsidRDefault="009E6720" w:rsidP="004A2922">
      <w:pPr>
        <w:pStyle w:val="FootnoteText"/>
      </w:pPr>
      <w:r w:rsidRPr="00175454">
        <w:rPr>
          <w:rStyle w:val="FootnoteReference"/>
          <w:rFonts w:ascii="Times New Roman" w:hAnsi="Times New Roman"/>
          <w:sz w:val="18"/>
        </w:rPr>
        <w:footnoteRef/>
      </w:r>
      <w:r w:rsidRPr="00175454">
        <w:rPr>
          <w:rFonts w:ascii="Times New Roman" w:hAnsi="Times New Roman"/>
          <w:sz w:val="18"/>
        </w:rPr>
        <w:t>Remarks by Carolyn Clancy, M.D., Director of the Agency for Healthcare Research and Quality (AHRQ) World Healthcare Innovation and Technology Congress, Washington, DC, November 1, 2006</w:t>
      </w:r>
    </w:p>
  </w:footnote>
  <w:footnote w:id="98">
    <w:p w:rsidR="009E6720" w:rsidRPr="0077251A" w:rsidRDefault="009E6720" w:rsidP="001A296D">
      <w:pPr>
        <w:pStyle w:val="FootnoteText"/>
        <w:rPr>
          <w:rFonts w:ascii="Times New Roman" w:hAnsi="Times New Roman"/>
          <w:sz w:val="18"/>
          <w:szCs w:val="22"/>
        </w:rPr>
      </w:pPr>
      <w:r w:rsidRPr="0077251A">
        <w:rPr>
          <w:rStyle w:val="FootnoteReference"/>
          <w:rFonts w:ascii="Times New Roman" w:hAnsi="Times New Roman"/>
          <w:sz w:val="18"/>
          <w:szCs w:val="22"/>
        </w:rPr>
        <w:footnoteRef/>
      </w:r>
      <w:r w:rsidRPr="0077251A">
        <w:rPr>
          <w:rFonts w:ascii="Times New Roman" w:hAnsi="Times New Roman"/>
          <w:sz w:val="18"/>
          <w:szCs w:val="22"/>
        </w:rPr>
        <w:t>McGinnis et al. The Case for More Active Policy Attention to Health Promotion. Health Affairs 2002: 21(2); 78-93</w:t>
      </w:r>
    </w:p>
  </w:footnote>
  <w:footnote w:id="99">
    <w:p w:rsidR="009E6720" w:rsidRPr="0077251A" w:rsidRDefault="009E6720" w:rsidP="001A296D">
      <w:pPr>
        <w:pStyle w:val="FootnoteText"/>
        <w:rPr>
          <w:rFonts w:ascii="Times New Roman" w:hAnsi="Times New Roman"/>
          <w:sz w:val="18"/>
          <w:szCs w:val="22"/>
        </w:rPr>
      </w:pPr>
      <w:r w:rsidRPr="0077251A">
        <w:rPr>
          <w:rStyle w:val="FootnoteReference"/>
          <w:rFonts w:ascii="Times New Roman" w:hAnsi="Times New Roman"/>
          <w:sz w:val="18"/>
          <w:szCs w:val="22"/>
        </w:rPr>
        <w:footnoteRef/>
      </w:r>
      <w:r w:rsidRPr="0077251A">
        <w:rPr>
          <w:rFonts w:ascii="Times New Roman" w:hAnsi="Times New Roman"/>
          <w:sz w:val="18"/>
          <w:szCs w:val="22"/>
        </w:rPr>
        <w:t>IOM. Living well with chronic illness: a call for public health action. Washington, DC: The National Academies Press; 2012</w:t>
      </w:r>
    </w:p>
  </w:footnote>
  <w:footnote w:id="100">
    <w:p w:rsidR="009E6720" w:rsidRPr="0077251A" w:rsidRDefault="009E6720" w:rsidP="001A296D">
      <w:pPr>
        <w:pStyle w:val="FootnoteText"/>
        <w:rPr>
          <w:rFonts w:ascii="Times New Roman" w:hAnsi="Times New Roman"/>
          <w:sz w:val="18"/>
          <w:szCs w:val="22"/>
        </w:rPr>
      </w:pPr>
      <w:r w:rsidRPr="0077251A">
        <w:rPr>
          <w:rStyle w:val="FootnoteReference"/>
          <w:rFonts w:ascii="Times New Roman" w:hAnsi="Times New Roman"/>
          <w:sz w:val="18"/>
          <w:szCs w:val="22"/>
        </w:rPr>
        <w:footnoteRef/>
      </w:r>
      <w:r w:rsidRPr="0077251A">
        <w:rPr>
          <w:rFonts w:ascii="Times New Roman" w:hAnsi="Times New Roman"/>
          <w:sz w:val="18"/>
          <w:szCs w:val="22"/>
        </w:rPr>
        <w:t xml:space="preserve">Healthy People 2020. </w:t>
      </w:r>
      <w:hyperlink r:id="rId8" w:history="1">
        <w:r w:rsidRPr="0077251A">
          <w:rPr>
            <w:rStyle w:val="Hyperlink"/>
            <w:rFonts w:ascii="Times New Roman" w:hAnsi="Times New Roman"/>
            <w:sz w:val="18"/>
            <w:szCs w:val="22"/>
          </w:rPr>
          <w:t>https://www.healthypeople.gov/2020/topics-objectives/topic/social-determinants-of-health</w:t>
        </w:r>
      </w:hyperlink>
    </w:p>
  </w:footnote>
  <w:footnote w:id="101">
    <w:p w:rsidR="009E6720" w:rsidRPr="0077251A" w:rsidRDefault="009E6720" w:rsidP="001A296D">
      <w:pPr>
        <w:pStyle w:val="FootnoteText"/>
        <w:rPr>
          <w:rFonts w:ascii="Times New Roman" w:hAnsi="Times New Roman"/>
          <w:sz w:val="18"/>
          <w:szCs w:val="22"/>
        </w:rPr>
      </w:pPr>
      <w:r w:rsidRPr="0077251A">
        <w:rPr>
          <w:rStyle w:val="FootnoteReference"/>
          <w:rFonts w:ascii="Times New Roman" w:hAnsi="Times New Roman"/>
          <w:sz w:val="18"/>
          <w:szCs w:val="22"/>
        </w:rPr>
        <w:footnoteRef/>
      </w:r>
      <w:r w:rsidRPr="0077251A">
        <w:rPr>
          <w:rFonts w:ascii="Times New Roman" w:hAnsi="Times New Roman"/>
          <w:sz w:val="18"/>
          <w:szCs w:val="22"/>
        </w:rPr>
        <w:t xml:space="preserve">Alley DE, et al. </w:t>
      </w:r>
      <w:r w:rsidRPr="0077251A">
        <w:rPr>
          <w:rFonts w:ascii="Times New Roman" w:hAnsi="Times New Roman"/>
          <w:bCs/>
          <w:kern w:val="36"/>
          <w:sz w:val="18"/>
          <w:szCs w:val="22"/>
        </w:rPr>
        <w:t>Accountable Health Communities — Addressing Social Needs through Medicare and Medicaid.</w:t>
      </w:r>
      <w:r w:rsidRPr="0077251A">
        <w:rPr>
          <w:rStyle w:val="citation"/>
          <w:rFonts w:ascii="Times New Roman" w:hAnsi="Times New Roman"/>
          <w:sz w:val="18"/>
          <w:szCs w:val="22"/>
        </w:rPr>
        <w:t xml:space="preserve"> N Engl J Med 2016; 374:8-11.</w:t>
      </w:r>
    </w:p>
  </w:footnote>
  <w:footnote w:id="102">
    <w:p w:rsidR="009E6720" w:rsidRPr="0077251A" w:rsidRDefault="009E6720" w:rsidP="001A296D">
      <w:pPr>
        <w:pStyle w:val="FootnoteText"/>
        <w:rPr>
          <w:rFonts w:ascii="Times New Roman" w:hAnsi="Times New Roman"/>
          <w:sz w:val="18"/>
          <w:szCs w:val="22"/>
        </w:rPr>
      </w:pPr>
      <w:r w:rsidRPr="0077251A">
        <w:rPr>
          <w:rStyle w:val="FootnoteReference"/>
          <w:rFonts w:ascii="Times New Roman" w:hAnsi="Times New Roman"/>
          <w:sz w:val="18"/>
          <w:szCs w:val="22"/>
        </w:rPr>
        <w:footnoteRef/>
      </w:r>
      <w:r w:rsidRPr="0077251A">
        <w:rPr>
          <w:rStyle w:val="citation"/>
          <w:rFonts w:ascii="Times New Roman" w:hAnsi="Times New Roman"/>
          <w:sz w:val="18"/>
          <w:szCs w:val="22"/>
        </w:rPr>
        <w:t xml:space="preserve">CMS. </w:t>
      </w:r>
      <w:r w:rsidRPr="0077251A">
        <w:rPr>
          <w:rFonts w:ascii="Times New Roman" w:hAnsi="Times New Roman"/>
          <w:sz w:val="18"/>
          <w:szCs w:val="22"/>
        </w:rPr>
        <w:t xml:space="preserve">CMS Equity Plan for Improving Quality in Medicare. Sept 2015. </w:t>
      </w:r>
      <w:hyperlink r:id="rId9" w:history="1">
        <w:r w:rsidRPr="0077251A">
          <w:rPr>
            <w:rStyle w:val="Hyperlink"/>
            <w:rFonts w:ascii="Times New Roman" w:hAnsi="Times New Roman"/>
            <w:sz w:val="18"/>
            <w:szCs w:val="22"/>
          </w:rPr>
          <w:t>https://www.cms.gov/About-CMS/Agency-Information/OMH/OMH_Dwnld-CMS_EquityPlanforMedicare_090615.pdf</w:t>
        </w:r>
      </w:hyperlink>
    </w:p>
  </w:footnote>
  <w:footnote w:id="103">
    <w:p w:rsidR="009E6720" w:rsidRDefault="009E6720" w:rsidP="001A296D">
      <w:pPr>
        <w:pStyle w:val="FootnoteText"/>
      </w:pPr>
      <w:r w:rsidRPr="0077251A">
        <w:rPr>
          <w:rStyle w:val="FootnoteReference"/>
          <w:rFonts w:ascii="Times New Roman" w:hAnsi="Times New Roman"/>
          <w:sz w:val="18"/>
          <w:szCs w:val="22"/>
        </w:rPr>
        <w:footnoteRef/>
      </w:r>
      <w:r w:rsidRPr="0077251A">
        <w:rPr>
          <w:rFonts w:ascii="Times New Roman" w:hAnsi="Times New Roman"/>
          <w:sz w:val="18"/>
          <w:szCs w:val="22"/>
        </w:rPr>
        <w:t xml:space="preserve">CMS. </w:t>
      </w:r>
      <w:r w:rsidRPr="0077251A">
        <w:rPr>
          <w:rStyle w:val="citation"/>
          <w:rFonts w:ascii="Times New Roman" w:hAnsi="Times New Roman"/>
          <w:sz w:val="18"/>
          <w:szCs w:val="22"/>
        </w:rPr>
        <w:t>https://www.medicaid.gov/medicaid-chip-program-information/by-topics/quality-of-care/quality-of-care-health-disparities.html</w:t>
      </w:r>
    </w:p>
  </w:footnote>
  <w:footnote w:id="104">
    <w:p w:rsidR="009E6720" w:rsidRPr="00967218" w:rsidRDefault="009E6720" w:rsidP="008E52F7">
      <w:pPr>
        <w:spacing w:after="0" w:line="240" w:lineRule="auto"/>
        <w:rPr>
          <w:sz w:val="18"/>
          <w:szCs w:val="18"/>
        </w:rPr>
      </w:pPr>
      <w:r w:rsidRPr="00967218">
        <w:rPr>
          <w:rStyle w:val="FootnoteReference"/>
          <w:sz w:val="18"/>
          <w:szCs w:val="18"/>
        </w:rPr>
        <w:footnoteRef/>
      </w:r>
      <w:r w:rsidRPr="00967218">
        <w:rPr>
          <w:sz w:val="18"/>
          <w:szCs w:val="18"/>
        </w:rPr>
        <w:t>Thota Et al (2012). Collaborative Care to Improve the Management of Depressive Disorders. Am J Prev Med. 42(5): 525-538.; Unutzer et al (2002)</w:t>
      </w:r>
      <w:proofErr w:type="gramStart"/>
      <w:r w:rsidRPr="00967218">
        <w:rPr>
          <w:sz w:val="18"/>
          <w:szCs w:val="18"/>
        </w:rPr>
        <w:t>.</w:t>
      </w:r>
      <w:proofErr w:type="gramEnd"/>
      <w:r w:rsidRPr="00967218">
        <w:rPr>
          <w:sz w:val="18"/>
          <w:szCs w:val="18"/>
        </w:rPr>
        <w:t xml:space="preserve"> Collaborative Care Mgmt of Late Life Depression in the Primary Care Setting. JAMA 288 (22).</w:t>
      </w:r>
    </w:p>
  </w:footnote>
  <w:footnote w:id="105">
    <w:p w:rsidR="009E6720" w:rsidRPr="00967218" w:rsidRDefault="009E6720" w:rsidP="008E52F7">
      <w:pPr>
        <w:spacing w:after="0" w:line="240" w:lineRule="auto"/>
        <w:rPr>
          <w:sz w:val="18"/>
          <w:szCs w:val="18"/>
        </w:rPr>
      </w:pPr>
      <w:r w:rsidRPr="00967218">
        <w:rPr>
          <w:rStyle w:val="FootnoteReference"/>
          <w:sz w:val="18"/>
          <w:szCs w:val="18"/>
        </w:rPr>
        <w:footnoteRef/>
      </w:r>
      <w:r w:rsidRPr="00967218">
        <w:rPr>
          <w:sz w:val="18"/>
          <w:szCs w:val="18"/>
        </w:rPr>
        <w:t>Thota Et al (2012). Collaborative Care to Improve the Management of Depressive Disorders. Am J Prev Med. 42(5): 525-538.; Unutzer et al (2002)</w:t>
      </w:r>
      <w:proofErr w:type="gramStart"/>
      <w:r w:rsidRPr="00967218">
        <w:rPr>
          <w:sz w:val="18"/>
          <w:szCs w:val="18"/>
        </w:rPr>
        <w:t>.</w:t>
      </w:r>
      <w:proofErr w:type="gramEnd"/>
      <w:r w:rsidRPr="00967218">
        <w:rPr>
          <w:sz w:val="18"/>
          <w:szCs w:val="18"/>
        </w:rPr>
        <w:t xml:space="preserve"> Collaborative Care Mgmt of Late Life Depression in the Primary Care Setting. JAMA 288 (22).</w:t>
      </w:r>
    </w:p>
    <w:p w:rsidR="009E6720" w:rsidRDefault="009E6720" w:rsidP="008E52F7">
      <w:pPr>
        <w:pStyle w:val="FootnoteText"/>
      </w:pPr>
    </w:p>
  </w:footnote>
  <w:footnote w:id="106">
    <w:p w:rsidR="009E6720" w:rsidRPr="00967218" w:rsidRDefault="009E6720" w:rsidP="008E52F7">
      <w:pPr>
        <w:pStyle w:val="FootnoteText"/>
        <w:rPr>
          <w:rFonts w:ascii="Times New Roman" w:hAnsi="Times New Roman"/>
        </w:rPr>
      </w:pPr>
      <w:r w:rsidRPr="00967218">
        <w:rPr>
          <w:rStyle w:val="FootnoteReference"/>
          <w:rFonts w:ascii="Times New Roman" w:hAnsi="Times New Roman"/>
          <w:sz w:val="18"/>
        </w:rPr>
        <w:footnoteRef/>
      </w:r>
      <w:r w:rsidRPr="00967218">
        <w:rPr>
          <w:rFonts w:ascii="Times New Roman" w:hAnsi="Times New Roman"/>
          <w:sz w:val="18"/>
        </w:rPr>
        <w:t>Bertholet N, Daeppen JB, Wietlisbach V, Fleming M, Burnand B. Reduction of Alcohol Consumption by Brief Alcohol Intervention in Primary Care. Archives of Internal Medicine. 2005;165:986-995; Babor TF, Higgins-Biddle JC, Dauser D, Burleson JA, Zarkin GA, Bray J. Brief Interventions for At-Risk Drinking: Patient Outcomes and Cost-Effectiveness in Managed Care Organizations. Alcohol and Alcoholism. 2006</w:t>
      </w:r>
      <w:proofErr w:type="gramStart"/>
      <w:r w:rsidRPr="00967218">
        <w:rPr>
          <w:rFonts w:ascii="Times New Roman" w:hAnsi="Times New Roman"/>
          <w:sz w:val="18"/>
        </w:rPr>
        <w:t>;41</w:t>
      </w:r>
      <w:proofErr w:type="gramEnd"/>
      <w:r w:rsidRPr="00967218">
        <w:rPr>
          <w:rFonts w:ascii="Times New Roman" w:hAnsi="Times New Roman"/>
          <w:sz w:val="18"/>
        </w:rPr>
        <w:t>(6):624-631. </w:t>
      </w:r>
    </w:p>
  </w:footnote>
  <w:footnote w:id="107">
    <w:p w:rsidR="009E6720" w:rsidRPr="00967218" w:rsidRDefault="009E6720" w:rsidP="008E52F7">
      <w:pPr>
        <w:pStyle w:val="FootnoteText"/>
        <w:rPr>
          <w:rFonts w:ascii="Times New Roman" w:hAnsi="Times New Roman"/>
          <w:sz w:val="18"/>
          <w:szCs w:val="18"/>
        </w:rPr>
      </w:pPr>
      <w:r w:rsidRPr="00967218">
        <w:rPr>
          <w:rStyle w:val="FootnoteReference"/>
          <w:rFonts w:ascii="Times New Roman" w:hAnsi="Times New Roman"/>
          <w:sz w:val="18"/>
          <w:szCs w:val="18"/>
        </w:rPr>
        <w:footnoteRef/>
      </w:r>
      <w:r w:rsidRPr="00967218">
        <w:rPr>
          <w:rFonts w:ascii="Times New Roman" w:hAnsi="Times New Roman"/>
          <w:sz w:val="18"/>
          <w:szCs w:val="18"/>
        </w:rPr>
        <w:t>Institute for Clinical Systems Improvement, Assessment and Management of Chronic Pain 2013</w:t>
      </w:r>
    </w:p>
  </w:footnote>
  <w:footnote w:id="108">
    <w:p w:rsidR="009E6720" w:rsidRDefault="009E6720" w:rsidP="008E52F7">
      <w:pPr>
        <w:pStyle w:val="FootnoteText"/>
      </w:pPr>
      <w:r w:rsidRPr="00967218">
        <w:rPr>
          <w:rStyle w:val="FootnoteReference"/>
          <w:rFonts w:ascii="Times New Roman" w:hAnsi="Times New Roman"/>
          <w:sz w:val="18"/>
          <w:szCs w:val="18"/>
        </w:rPr>
        <w:footnoteRef/>
      </w:r>
      <w:r w:rsidRPr="00967218">
        <w:rPr>
          <w:rFonts w:ascii="Times New Roman" w:hAnsi="Times New Roman"/>
          <w:i/>
          <w:sz w:val="18"/>
          <w:szCs w:val="18"/>
        </w:rPr>
        <w:t>Report of the Surgeon General's Conference on Children's Mental Health: A National Action Agenda.</w:t>
      </w:r>
      <w:r w:rsidRPr="00967218">
        <w:rPr>
          <w:rFonts w:ascii="Times New Roman" w:hAnsi="Times New Roman"/>
          <w:sz w:val="18"/>
          <w:szCs w:val="18"/>
        </w:rPr>
        <w:t xml:space="preserve"> Washington (DC): US Department of Health and Human Services; US Department of Health and Human Services; US Department of Education; US Department of Justice, 2000.</w:t>
      </w:r>
    </w:p>
  </w:footnote>
  <w:footnote w:id="109">
    <w:p w:rsidR="009E6720" w:rsidRPr="0065130B" w:rsidRDefault="009E6720" w:rsidP="00CA2FE3">
      <w:pPr>
        <w:pStyle w:val="Default"/>
        <w:rPr>
          <w:sz w:val="18"/>
          <w:szCs w:val="18"/>
        </w:rPr>
      </w:pPr>
      <w:r w:rsidRPr="0065130B">
        <w:rPr>
          <w:rStyle w:val="FootnoteReference"/>
          <w:sz w:val="18"/>
          <w:szCs w:val="18"/>
        </w:rPr>
        <w:footnoteRef/>
      </w:r>
      <w:r w:rsidRPr="0065130B">
        <w:rPr>
          <w:sz w:val="18"/>
          <w:szCs w:val="18"/>
        </w:rPr>
        <w:t xml:space="preserve">Baseline and outcome measures are dependent on stable populations and relevant claims data. Should there be material changes in populations, payor contracts and access to claims data these measures will need to be re-based. </w:t>
      </w:r>
    </w:p>
    <w:p w:rsidR="009E6720" w:rsidRDefault="009E6720" w:rsidP="00CA2FE3">
      <w:pPr>
        <w:pStyle w:val="FootnoteText"/>
      </w:pPr>
    </w:p>
  </w:footnote>
  <w:footnote w:id="110">
    <w:p w:rsidR="009E6720" w:rsidRPr="00C947DF" w:rsidRDefault="009E6720" w:rsidP="00CA2FE3">
      <w:pPr>
        <w:pStyle w:val="FootnoteText"/>
        <w:rPr>
          <w:rFonts w:ascii="Times New Roman" w:hAnsi="Times New Roman"/>
          <w:sz w:val="18"/>
          <w:szCs w:val="18"/>
        </w:rPr>
      </w:pPr>
      <w:r w:rsidRPr="00C947DF">
        <w:rPr>
          <w:rStyle w:val="FootnoteReference"/>
          <w:rFonts w:ascii="Times New Roman" w:hAnsi="Times New Roman"/>
          <w:sz w:val="18"/>
          <w:szCs w:val="18"/>
        </w:rPr>
        <w:footnoteRef/>
      </w:r>
      <w:r w:rsidRPr="00C947DF">
        <w:rPr>
          <w:rFonts w:ascii="Times New Roman" w:hAnsi="Times New Roman"/>
          <w:sz w:val="18"/>
          <w:szCs w:val="18"/>
        </w:rPr>
        <w:t xml:space="preserve"> </w:t>
      </w:r>
      <w:r w:rsidRPr="00C947DF">
        <w:rPr>
          <w:rFonts w:ascii="Times New Roman" w:eastAsia="Times New Roman" w:hAnsi="Times New Roman"/>
          <w:sz w:val="18"/>
          <w:szCs w:val="18"/>
        </w:rPr>
        <w:t>Any Visiting Nurses Association (VNA) with whom public hospital system has a signed preferred provider agreement. Preferred provider relationships are evaluated annually and are subject to change if VNAs are not in compliance with the terms of the agreement.  Changes in preferred VNA relationships may require a rebasing of the measures.</w:t>
      </w:r>
    </w:p>
  </w:footnote>
  <w:footnote w:id="111">
    <w:p w:rsidR="009E6720" w:rsidRPr="00C947DF" w:rsidRDefault="009E6720" w:rsidP="00CA2FE3">
      <w:pPr>
        <w:pStyle w:val="Default"/>
        <w:rPr>
          <w:sz w:val="18"/>
          <w:szCs w:val="18"/>
        </w:rPr>
      </w:pPr>
      <w:r w:rsidRPr="00C947DF">
        <w:rPr>
          <w:rStyle w:val="FootnoteReference"/>
          <w:sz w:val="18"/>
          <w:szCs w:val="18"/>
        </w:rPr>
        <w:footnoteRef/>
      </w:r>
      <w:r w:rsidRPr="00C947DF">
        <w:rPr>
          <w:sz w:val="18"/>
          <w:szCs w:val="18"/>
        </w:rPr>
        <w:t xml:space="preserve"> Any Skilled Nursing Facility (SNF) approved by the public hospital network development committee as being "in-network" at any point during the measurement year.  The network development committee oversees the collaborative relationships in which the public hospital system participates.  The committee abides by specific principles related to access, continuity of care, communication expectations and quality improvement. </w:t>
      </w:r>
      <w:r w:rsidRPr="00C947DF">
        <w:rPr>
          <w:rFonts w:eastAsia="Times New Roman"/>
          <w:sz w:val="18"/>
          <w:szCs w:val="18"/>
        </w:rPr>
        <w:t>Changes to in-network SNF relationships may require a rebasing of the measures.</w:t>
      </w:r>
    </w:p>
    <w:p w:rsidR="009E6720" w:rsidRDefault="009E6720" w:rsidP="00CA2FE3">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06CC" w:rsidRDefault="005B06C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6720" w:rsidRPr="00E34C18" w:rsidRDefault="009E6720" w:rsidP="00F11EA6">
    <w:pPr>
      <w:pStyle w:val="Header"/>
    </w:pPr>
    <w:r w:rsidRPr="00E34C18">
      <w:t xml:space="preserve">Public Hospital </w:t>
    </w:r>
    <w:r>
      <w:t xml:space="preserve">Transformation and </w:t>
    </w:r>
    <w:r w:rsidRPr="00E34C18">
      <w:t xml:space="preserve">Incentive Initiative Protocol – </w:t>
    </w:r>
    <w:r w:rsidR="005B06CC">
      <w:t>February</w:t>
    </w:r>
    <w:bookmarkStart w:id="0" w:name="_GoBack"/>
    <w:bookmarkEnd w:id="0"/>
    <w:r w:rsidR="005B06CC">
      <w:t xml:space="preserve"> 16, 2017</w:t>
    </w:r>
  </w:p>
  <w:p w:rsidR="009E6720" w:rsidRPr="00F11EA6" w:rsidRDefault="009E6720" w:rsidP="00F11EA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06CC" w:rsidRDefault="005B06C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A24B2"/>
    <w:multiLevelType w:val="hybridMultilevel"/>
    <w:tmpl w:val="5D921624"/>
    <w:lvl w:ilvl="0" w:tplc="EB22FEAE">
      <w:start w:val="1"/>
      <w:numFmt w:val="bullet"/>
      <w:lvlText w:val="•"/>
      <w:lvlJc w:val="left"/>
      <w:pPr>
        <w:ind w:left="720" w:hanging="360"/>
      </w:pPr>
      <w:rPr>
        <w:rFonts w:ascii="Arial" w:hAnsi="Arial" w:hint="default"/>
      </w:rPr>
    </w:lvl>
    <w:lvl w:ilvl="1" w:tplc="EB22FEAE">
      <w:start w:val="1"/>
      <w:numFmt w:val="bullet"/>
      <w:lvlText w:val="•"/>
      <w:lvlJc w:val="left"/>
      <w:pPr>
        <w:ind w:left="1440" w:hanging="360"/>
      </w:pPr>
      <w:rPr>
        <w:rFonts w:ascii="Arial" w:hAnsi="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F223A8"/>
    <w:multiLevelType w:val="hybridMultilevel"/>
    <w:tmpl w:val="DB98D546"/>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39B119D"/>
    <w:multiLevelType w:val="hybridMultilevel"/>
    <w:tmpl w:val="B48E44CC"/>
    <w:lvl w:ilvl="0" w:tplc="0409000F">
      <w:start w:val="1"/>
      <w:numFmt w:val="decimal"/>
      <w:lvlText w:val="%1."/>
      <w:lvlJc w:val="left"/>
      <w:pPr>
        <w:ind w:left="360" w:hanging="360"/>
      </w:p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3AD351B"/>
    <w:multiLevelType w:val="hybridMultilevel"/>
    <w:tmpl w:val="1EE471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3C54110"/>
    <w:multiLevelType w:val="multilevel"/>
    <w:tmpl w:val="0F0A7972"/>
    <w:lvl w:ilvl="0">
      <w:start w:val="8"/>
      <w:numFmt w:val="upperRoman"/>
      <w:lvlText w:val="%1."/>
      <w:lvlJc w:val="left"/>
      <w:pPr>
        <w:ind w:left="360" w:hanging="360"/>
      </w:pPr>
      <w:rPr>
        <w:rFonts w:hint="default"/>
      </w:rPr>
    </w:lvl>
    <w:lvl w:ilvl="1">
      <w:start w:val="25"/>
      <w:numFmt w:val="decimal"/>
      <w:lvlText w:val="%2."/>
      <w:lvlJc w:val="left"/>
      <w:pPr>
        <w:ind w:left="720" w:hanging="360"/>
      </w:pPr>
      <w:rPr>
        <w:rFonts w:hint="default"/>
        <w:b/>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47C3670"/>
    <w:multiLevelType w:val="hybridMultilevel"/>
    <w:tmpl w:val="3C8E98C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55C55C4"/>
    <w:multiLevelType w:val="multilevel"/>
    <w:tmpl w:val="3196BF02"/>
    <w:lvl w:ilvl="0">
      <w:start w:val="5"/>
      <w:numFmt w:val="upperRoman"/>
      <w:lvlText w:val="%1."/>
      <w:lvlJc w:val="left"/>
      <w:pPr>
        <w:ind w:left="720" w:hanging="360"/>
      </w:pPr>
      <w:rPr>
        <w:rFonts w:hint="default"/>
      </w:rPr>
    </w:lvl>
    <w:lvl w:ilvl="1">
      <w:start w:val="10"/>
      <w:numFmt w:val="decimal"/>
      <w:lvlText w:val="%2."/>
      <w:lvlJc w:val="left"/>
      <w:pPr>
        <w:ind w:left="1080" w:hanging="360"/>
      </w:pPr>
      <w:rPr>
        <w:rFonts w:hint="default"/>
      </w:rPr>
    </w:lvl>
    <w:lvl w:ilvl="2">
      <w:start w:val="1"/>
      <w:numFmt w:val="lowerLetter"/>
      <w:lvlText w:val="%3."/>
      <w:lvlJc w:val="left"/>
      <w:pPr>
        <w:ind w:left="1440" w:hanging="360"/>
      </w:pPr>
      <w:rPr>
        <w:rFonts w:hint="default"/>
      </w:rPr>
    </w:lvl>
    <w:lvl w:ilvl="3">
      <w:start w:val="1"/>
      <w:numFmt w:val="lowerRoman"/>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7" w15:restartNumberingAfterBreak="0">
    <w:nsid w:val="064A7585"/>
    <w:multiLevelType w:val="multilevel"/>
    <w:tmpl w:val="DD220D9C"/>
    <w:lvl w:ilvl="0">
      <w:start w:val="2"/>
      <w:numFmt w:val="upperRoman"/>
      <w:lvlText w:val="%1."/>
      <w:lvlJc w:val="left"/>
      <w:pPr>
        <w:ind w:left="360" w:hanging="360"/>
      </w:pPr>
      <w:rPr>
        <w:rFonts w:hint="default"/>
      </w:rPr>
    </w:lvl>
    <w:lvl w:ilvl="1">
      <w:start w:val="3"/>
      <w:numFmt w:val="decimal"/>
      <w:lvlText w:val="%2."/>
      <w:lvlJc w:val="left"/>
      <w:pPr>
        <w:ind w:left="720" w:hanging="360"/>
      </w:pPr>
      <w:rPr>
        <w:rFonts w:hint="default"/>
        <w:b/>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06F81B0A"/>
    <w:multiLevelType w:val="multilevel"/>
    <w:tmpl w:val="9094E9CE"/>
    <w:styleLink w:val="Protocol"/>
    <w:lvl w:ilvl="0">
      <w:start w:val="1"/>
      <w:numFmt w:val="upperRoman"/>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0A806ED2"/>
    <w:multiLevelType w:val="hybridMultilevel"/>
    <w:tmpl w:val="997CB0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C706001"/>
    <w:multiLevelType w:val="hybridMultilevel"/>
    <w:tmpl w:val="BE6A9A38"/>
    <w:lvl w:ilvl="0" w:tplc="04090001">
      <w:start w:val="1"/>
      <w:numFmt w:val="bullet"/>
      <w:lvlText w:val=""/>
      <w:lvlJc w:val="left"/>
      <w:pPr>
        <w:ind w:left="1008" w:hanging="360"/>
      </w:pPr>
      <w:rPr>
        <w:rFonts w:ascii="Symbol" w:hAnsi="Symbol" w:hint="default"/>
      </w:rPr>
    </w:lvl>
    <w:lvl w:ilvl="1" w:tplc="04090003">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1" w15:restartNumberingAfterBreak="0">
    <w:nsid w:val="0FDD362A"/>
    <w:multiLevelType w:val="hybridMultilevel"/>
    <w:tmpl w:val="7570E4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103F6BEF"/>
    <w:multiLevelType w:val="hybridMultilevel"/>
    <w:tmpl w:val="E8744DA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116B646A"/>
    <w:multiLevelType w:val="hybridMultilevel"/>
    <w:tmpl w:val="136C558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11AD503E"/>
    <w:multiLevelType w:val="hybridMultilevel"/>
    <w:tmpl w:val="00E6ED1E"/>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5" w15:restartNumberingAfterBreak="0">
    <w:nsid w:val="13CD6436"/>
    <w:multiLevelType w:val="hybridMultilevel"/>
    <w:tmpl w:val="762C10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14A24AC2"/>
    <w:multiLevelType w:val="multilevel"/>
    <w:tmpl w:val="9094E9CE"/>
    <w:numStyleLink w:val="Protocol"/>
  </w:abstractNum>
  <w:abstractNum w:abstractNumId="17" w15:restartNumberingAfterBreak="0">
    <w:nsid w:val="167542F4"/>
    <w:multiLevelType w:val="hybridMultilevel"/>
    <w:tmpl w:val="7E42166C"/>
    <w:lvl w:ilvl="0" w:tplc="04090001">
      <w:start w:val="1"/>
      <w:numFmt w:val="bullet"/>
      <w:lvlText w:val=""/>
      <w:lvlJc w:val="left"/>
      <w:pPr>
        <w:ind w:left="1008" w:hanging="360"/>
      </w:pPr>
      <w:rPr>
        <w:rFonts w:ascii="Symbol" w:hAnsi="Symbol" w:hint="default"/>
      </w:rPr>
    </w:lvl>
    <w:lvl w:ilvl="1" w:tplc="04090003">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8" w15:restartNumberingAfterBreak="0">
    <w:nsid w:val="169C168B"/>
    <w:multiLevelType w:val="multilevel"/>
    <w:tmpl w:val="9094E9CE"/>
    <w:numStyleLink w:val="Protocol"/>
  </w:abstractNum>
  <w:abstractNum w:abstractNumId="19" w15:restartNumberingAfterBreak="0">
    <w:nsid w:val="1B9D1387"/>
    <w:multiLevelType w:val="multilevel"/>
    <w:tmpl w:val="16783A5C"/>
    <w:lvl w:ilvl="0">
      <w:start w:val="6"/>
      <w:numFmt w:val="upperRoman"/>
      <w:lvlText w:val="%1."/>
      <w:lvlJc w:val="left"/>
      <w:pPr>
        <w:ind w:left="360" w:hanging="360"/>
      </w:pPr>
      <w:rPr>
        <w:rFonts w:hint="default"/>
      </w:rPr>
    </w:lvl>
    <w:lvl w:ilvl="1">
      <w:start w:val="10"/>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1C105334"/>
    <w:multiLevelType w:val="hybridMultilevel"/>
    <w:tmpl w:val="7428B3C4"/>
    <w:lvl w:ilvl="0" w:tplc="04090001">
      <w:start w:val="1"/>
      <w:numFmt w:val="bullet"/>
      <w:lvlText w:val=""/>
      <w:lvlJc w:val="left"/>
      <w:pPr>
        <w:ind w:left="-504" w:hanging="360"/>
      </w:pPr>
      <w:rPr>
        <w:rFonts w:ascii="Symbol" w:hAnsi="Symbol" w:hint="default"/>
      </w:rPr>
    </w:lvl>
    <w:lvl w:ilvl="1" w:tplc="04090003" w:tentative="1">
      <w:start w:val="1"/>
      <w:numFmt w:val="bullet"/>
      <w:lvlText w:val="o"/>
      <w:lvlJc w:val="left"/>
      <w:pPr>
        <w:ind w:left="216" w:hanging="360"/>
      </w:pPr>
      <w:rPr>
        <w:rFonts w:ascii="Courier New" w:hAnsi="Courier New" w:cs="Courier New" w:hint="default"/>
      </w:rPr>
    </w:lvl>
    <w:lvl w:ilvl="2" w:tplc="04090005" w:tentative="1">
      <w:start w:val="1"/>
      <w:numFmt w:val="bullet"/>
      <w:lvlText w:val=""/>
      <w:lvlJc w:val="left"/>
      <w:pPr>
        <w:ind w:left="936" w:hanging="360"/>
      </w:pPr>
      <w:rPr>
        <w:rFonts w:ascii="Wingdings" w:hAnsi="Wingdings" w:hint="default"/>
      </w:rPr>
    </w:lvl>
    <w:lvl w:ilvl="3" w:tplc="04090001" w:tentative="1">
      <w:start w:val="1"/>
      <w:numFmt w:val="bullet"/>
      <w:lvlText w:val=""/>
      <w:lvlJc w:val="left"/>
      <w:pPr>
        <w:ind w:left="1656" w:hanging="360"/>
      </w:pPr>
      <w:rPr>
        <w:rFonts w:ascii="Symbol" w:hAnsi="Symbol" w:hint="default"/>
      </w:rPr>
    </w:lvl>
    <w:lvl w:ilvl="4" w:tplc="04090003" w:tentative="1">
      <w:start w:val="1"/>
      <w:numFmt w:val="bullet"/>
      <w:lvlText w:val="o"/>
      <w:lvlJc w:val="left"/>
      <w:pPr>
        <w:ind w:left="2376" w:hanging="360"/>
      </w:pPr>
      <w:rPr>
        <w:rFonts w:ascii="Courier New" w:hAnsi="Courier New" w:cs="Courier New" w:hint="default"/>
      </w:rPr>
    </w:lvl>
    <w:lvl w:ilvl="5" w:tplc="04090005" w:tentative="1">
      <w:start w:val="1"/>
      <w:numFmt w:val="bullet"/>
      <w:lvlText w:val=""/>
      <w:lvlJc w:val="left"/>
      <w:pPr>
        <w:ind w:left="3096" w:hanging="360"/>
      </w:pPr>
      <w:rPr>
        <w:rFonts w:ascii="Wingdings" w:hAnsi="Wingdings" w:hint="default"/>
      </w:rPr>
    </w:lvl>
    <w:lvl w:ilvl="6" w:tplc="04090001" w:tentative="1">
      <w:start w:val="1"/>
      <w:numFmt w:val="bullet"/>
      <w:lvlText w:val=""/>
      <w:lvlJc w:val="left"/>
      <w:pPr>
        <w:ind w:left="3816" w:hanging="360"/>
      </w:pPr>
      <w:rPr>
        <w:rFonts w:ascii="Symbol" w:hAnsi="Symbol" w:hint="default"/>
      </w:rPr>
    </w:lvl>
    <w:lvl w:ilvl="7" w:tplc="04090003" w:tentative="1">
      <w:start w:val="1"/>
      <w:numFmt w:val="bullet"/>
      <w:lvlText w:val="o"/>
      <w:lvlJc w:val="left"/>
      <w:pPr>
        <w:ind w:left="4536" w:hanging="360"/>
      </w:pPr>
      <w:rPr>
        <w:rFonts w:ascii="Courier New" w:hAnsi="Courier New" w:cs="Courier New" w:hint="default"/>
      </w:rPr>
    </w:lvl>
    <w:lvl w:ilvl="8" w:tplc="04090005" w:tentative="1">
      <w:start w:val="1"/>
      <w:numFmt w:val="bullet"/>
      <w:lvlText w:val=""/>
      <w:lvlJc w:val="left"/>
      <w:pPr>
        <w:ind w:left="5256" w:hanging="360"/>
      </w:pPr>
      <w:rPr>
        <w:rFonts w:ascii="Wingdings" w:hAnsi="Wingdings" w:hint="default"/>
      </w:rPr>
    </w:lvl>
  </w:abstractNum>
  <w:abstractNum w:abstractNumId="21" w15:restartNumberingAfterBreak="0">
    <w:nsid w:val="1CC97C14"/>
    <w:multiLevelType w:val="hybridMultilevel"/>
    <w:tmpl w:val="CC5EB390"/>
    <w:lvl w:ilvl="0" w:tplc="04090001">
      <w:start w:val="1"/>
      <w:numFmt w:val="bullet"/>
      <w:lvlText w:val=""/>
      <w:lvlJc w:val="left"/>
      <w:pPr>
        <w:ind w:left="1008" w:hanging="360"/>
      </w:pPr>
      <w:rPr>
        <w:rFonts w:ascii="Symbol" w:hAnsi="Symbol" w:hint="default"/>
      </w:rPr>
    </w:lvl>
    <w:lvl w:ilvl="1" w:tplc="04090003">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2" w15:restartNumberingAfterBreak="0">
    <w:nsid w:val="1F3C6FDA"/>
    <w:multiLevelType w:val="multilevel"/>
    <w:tmpl w:val="8858199A"/>
    <w:lvl w:ilvl="0">
      <w:start w:val="2"/>
      <w:numFmt w:val="upperRoman"/>
      <w:lvlText w:val="%1."/>
      <w:lvlJc w:val="left"/>
      <w:pPr>
        <w:ind w:left="360" w:hanging="360"/>
      </w:pPr>
      <w:rPr>
        <w:rFonts w:hint="default"/>
      </w:rPr>
    </w:lvl>
    <w:lvl w:ilvl="1">
      <w:start w:val="4"/>
      <w:numFmt w:val="decimal"/>
      <w:lvlText w:val="%2."/>
      <w:lvlJc w:val="left"/>
      <w:pPr>
        <w:ind w:left="720" w:hanging="360"/>
      </w:pPr>
      <w:rPr>
        <w:rFonts w:hint="default"/>
        <w:b/>
      </w:rPr>
    </w:lvl>
    <w:lvl w:ilvl="2">
      <w:start w:val="2"/>
      <w:numFmt w:val="lowerLetter"/>
      <w:lvlText w:val="%3."/>
      <w:lvlJc w:val="left"/>
      <w:pPr>
        <w:ind w:left="1080" w:hanging="360"/>
      </w:pPr>
      <w:rPr>
        <w:rFonts w:hint="default"/>
        <w:b w:val="0"/>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20A0493F"/>
    <w:multiLevelType w:val="hybridMultilevel"/>
    <w:tmpl w:val="69F20610"/>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0E63D03"/>
    <w:multiLevelType w:val="hybridMultilevel"/>
    <w:tmpl w:val="BB8205E6"/>
    <w:lvl w:ilvl="0" w:tplc="CA8AB896">
      <w:start w:val="1"/>
      <w:numFmt w:val="bullet"/>
      <w:lvlText w:val="•"/>
      <w:lvlJc w:val="left"/>
      <w:pPr>
        <w:tabs>
          <w:tab w:val="num" w:pos="720"/>
        </w:tabs>
        <w:ind w:left="720" w:hanging="360"/>
      </w:pPr>
      <w:rPr>
        <w:rFonts w:ascii="Arial" w:hAnsi="Arial" w:hint="default"/>
      </w:rPr>
    </w:lvl>
    <w:lvl w:ilvl="1" w:tplc="EE14FA18">
      <w:numFmt w:val="bullet"/>
      <w:lvlText w:val="•"/>
      <w:lvlJc w:val="left"/>
      <w:pPr>
        <w:tabs>
          <w:tab w:val="num" w:pos="1440"/>
        </w:tabs>
        <w:ind w:left="1440" w:hanging="360"/>
      </w:pPr>
      <w:rPr>
        <w:rFonts w:ascii="Arial" w:hAnsi="Arial" w:hint="default"/>
      </w:rPr>
    </w:lvl>
    <w:lvl w:ilvl="2" w:tplc="0D327C3A" w:tentative="1">
      <w:start w:val="1"/>
      <w:numFmt w:val="bullet"/>
      <w:lvlText w:val="•"/>
      <w:lvlJc w:val="left"/>
      <w:pPr>
        <w:tabs>
          <w:tab w:val="num" w:pos="2160"/>
        </w:tabs>
        <w:ind w:left="2160" w:hanging="360"/>
      </w:pPr>
      <w:rPr>
        <w:rFonts w:ascii="Arial" w:hAnsi="Arial" w:hint="default"/>
      </w:rPr>
    </w:lvl>
    <w:lvl w:ilvl="3" w:tplc="54907F94" w:tentative="1">
      <w:start w:val="1"/>
      <w:numFmt w:val="bullet"/>
      <w:lvlText w:val="•"/>
      <w:lvlJc w:val="left"/>
      <w:pPr>
        <w:tabs>
          <w:tab w:val="num" w:pos="2880"/>
        </w:tabs>
        <w:ind w:left="2880" w:hanging="360"/>
      </w:pPr>
      <w:rPr>
        <w:rFonts w:ascii="Arial" w:hAnsi="Arial" w:hint="default"/>
      </w:rPr>
    </w:lvl>
    <w:lvl w:ilvl="4" w:tplc="F048BA90" w:tentative="1">
      <w:start w:val="1"/>
      <w:numFmt w:val="bullet"/>
      <w:lvlText w:val="•"/>
      <w:lvlJc w:val="left"/>
      <w:pPr>
        <w:tabs>
          <w:tab w:val="num" w:pos="3600"/>
        </w:tabs>
        <w:ind w:left="3600" w:hanging="360"/>
      </w:pPr>
      <w:rPr>
        <w:rFonts w:ascii="Arial" w:hAnsi="Arial" w:hint="default"/>
      </w:rPr>
    </w:lvl>
    <w:lvl w:ilvl="5" w:tplc="D12656B6" w:tentative="1">
      <w:start w:val="1"/>
      <w:numFmt w:val="bullet"/>
      <w:lvlText w:val="•"/>
      <w:lvlJc w:val="left"/>
      <w:pPr>
        <w:tabs>
          <w:tab w:val="num" w:pos="4320"/>
        </w:tabs>
        <w:ind w:left="4320" w:hanging="360"/>
      </w:pPr>
      <w:rPr>
        <w:rFonts w:ascii="Arial" w:hAnsi="Arial" w:hint="default"/>
      </w:rPr>
    </w:lvl>
    <w:lvl w:ilvl="6" w:tplc="D6A8A276" w:tentative="1">
      <w:start w:val="1"/>
      <w:numFmt w:val="bullet"/>
      <w:lvlText w:val="•"/>
      <w:lvlJc w:val="left"/>
      <w:pPr>
        <w:tabs>
          <w:tab w:val="num" w:pos="5040"/>
        </w:tabs>
        <w:ind w:left="5040" w:hanging="360"/>
      </w:pPr>
      <w:rPr>
        <w:rFonts w:ascii="Arial" w:hAnsi="Arial" w:hint="default"/>
      </w:rPr>
    </w:lvl>
    <w:lvl w:ilvl="7" w:tplc="250A7874" w:tentative="1">
      <w:start w:val="1"/>
      <w:numFmt w:val="bullet"/>
      <w:lvlText w:val="•"/>
      <w:lvlJc w:val="left"/>
      <w:pPr>
        <w:tabs>
          <w:tab w:val="num" w:pos="5760"/>
        </w:tabs>
        <w:ind w:left="5760" w:hanging="360"/>
      </w:pPr>
      <w:rPr>
        <w:rFonts w:ascii="Arial" w:hAnsi="Arial" w:hint="default"/>
      </w:rPr>
    </w:lvl>
    <w:lvl w:ilvl="8" w:tplc="61C67C0C"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22F83E5D"/>
    <w:multiLevelType w:val="hybridMultilevel"/>
    <w:tmpl w:val="934A02CC"/>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6" w15:restartNumberingAfterBreak="0">
    <w:nsid w:val="23CC76D9"/>
    <w:multiLevelType w:val="multilevel"/>
    <w:tmpl w:val="20269376"/>
    <w:lvl w:ilvl="0">
      <w:start w:val="8"/>
      <w:numFmt w:val="upperRoman"/>
      <w:lvlText w:val="%1."/>
      <w:lvlJc w:val="left"/>
      <w:pPr>
        <w:ind w:left="360" w:hanging="360"/>
      </w:pPr>
      <w:rPr>
        <w:rFonts w:hint="default"/>
      </w:rPr>
    </w:lvl>
    <w:lvl w:ilvl="1">
      <w:start w:val="20"/>
      <w:numFmt w:val="decimal"/>
      <w:lvlText w:val="%2."/>
      <w:lvlJc w:val="left"/>
      <w:pPr>
        <w:ind w:left="720" w:hanging="360"/>
      </w:pPr>
      <w:rPr>
        <w:rFonts w:hint="default"/>
        <w:b/>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249E0791"/>
    <w:multiLevelType w:val="hybridMultilevel"/>
    <w:tmpl w:val="11707A96"/>
    <w:lvl w:ilvl="0" w:tplc="04090001">
      <w:start w:val="1"/>
      <w:numFmt w:val="bullet"/>
      <w:lvlText w:val=""/>
      <w:lvlJc w:val="left"/>
      <w:pPr>
        <w:ind w:left="1008" w:hanging="360"/>
      </w:pPr>
      <w:rPr>
        <w:rFonts w:ascii="Symbol" w:hAnsi="Symbol" w:hint="default"/>
      </w:rPr>
    </w:lvl>
    <w:lvl w:ilvl="1" w:tplc="04090003">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8" w15:restartNumberingAfterBreak="0">
    <w:nsid w:val="24E47296"/>
    <w:multiLevelType w:val="hybridMultilevel"/>
    <w:tmpl w:val="027E09A6"/>
    <w:lvl w:ilvl="0" w:tplc="75163EE6">
      <w:start w:val="1"/>
      <w:numFmt w:val="decimal"/>
      <w:lvlText w:val="%1."/>
      <w:lvlJc w:val="left"/>
      <w:pPr>
        <w:ind w:left="360" w:hanging="360"/>
      </w:pPr>
      <w:rPr>
        <w:rFonts w:ascii="Times New Roman" w:eastAsiaTheme="minorHAnsi" w:hAnsi="Times New Roman" w:cs="Times New Roman"/>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25961F5A"/>
    <w:multiLevelType w:val="multilevel"/>
    <w:tmpl w:val="5B3EF3EC"/>
    <w:lvl w:ilvl="0">
      <w:start w:val="7"/>
      <w:numFmt w:val="upperRoman"/>
      <w:lvlText w:val="%1."/>
      <w:lvlJc w:val="left"/>
      <w:pPr>
        <w:ind w:left="-360" w:hanging="360"/>
      </w:pPr>
      <w:rPr>
        <w:rFonts w:hint="default"/>
      </w:rPr>
    </w:lvl>
    <w:lvl w:ilvl="1">
      <w:start w:val="18"/>
      <w:numFmt w:val="decimal"/>
      <w:lvlText w:val="%2."/>
      <w:lvlJc w:val="left"/>
      <w:pPr>
        <w:ind w:left="0" w:hanging="360"/>
      </w:pPr>
      <w:rPr>
        <w:rFonts w:hint="default"/>
      </w:rPr>
    </w:lvl>
    <w:lvl w:ilvl="2">
      <w:start w:val="1"/>
      <w:numFmt w:val="lowerLetter"/>
      <w:lvlText w:val="%3."/>
      <w:lvlJc w:val="left"/>
      <w:pPr>
        <w:ind w:left="360" w:hanging="360"/>
      </w:pPr>
      <w:rPr>
        <w:rFonts w:hint="default"/>
      </w:rPr>
    </w:lvl>
    <w:lvl w:ilvl="3">
      <w:start w:val="1"/>
      <w:numFmt w:val="lowerRoman"/>
      <w:lvlText w:val="%4."/>
      <w:lvlJc w:val="left"/>
      <w:pPr>
        <w:ind w:left="720" w:hanging="360"/>
      </w:pPr>
      <w:rPr>
        <w:rFonts w:hint="default"/>
      </w:rPr>
    </w:lvl>
    <w:lvl w:ilvl="4">
      <w:start w:val="1"/>
      <w:numFmt w:val="lowerLetter"/>
      <w:lvlText w:val="(%5)"/>
      <w:lvlJc w:val="left"/>
      <w:pPr>
        <w:ind w:left="1080" w:hanging="360"/>
      </w:pPr>
      <w:rPr>
        <w:rFonts w:hint="default"/>
      </w:rPr>
    </w:lvl>
    <w:lvl w:ilvl="5">
      <w:start w:val="1"/>
      <w:numFmt w:val="lowerRoman"/>
      <w:lvlText w:val="(%6)"/>
      <w:lvlJc w:val="left"/>
      <w:pPr>
        <w:ind w:left="1440" w:hanging="360"/>
      </w:pPr>
      <w:rPr>
        <w:rFonts w:hint="default"/>
      </w:rPr>
    </w:lvl>
    <w:lvl w:ilvl="6">
      <w:start w:val="1"/>
      <w:numFmt w:val="decimal"/>
      <w:lvlText w:val="%7."/>
      <w:lvlJc w:val="left"/>
      <w:pPr>
        <w:ind w:left="1800" w:hanging="360"/>
      </w:pPr>
      <w:rPr>
        <w:rFonts w:hint="default"/>
      </w:rPr>
    </w:lvl>
    <w:lvl w:ilvl="7">
      <w:start w:val="1"/>
      <w:numFmt w:val="lowerLetter"/>
      <w:lvlText w:val="%8."/>
      <w:lvlJc w:val="left"/>
      <w:pPr>
        <w:ind w:left="2160" w:hanging="360"/>
      </w:pPr>
      <w:rPr>
        <w:rFonts w:hint="default"/>
      </w:rPr>
    </w:lvl>
    <w:lvl w:ilvl="8">
      <w:start w:val="1"/>
      <w:numFmt w:val="lowerRoman"/>
      <w:lvlText w:val="%9."/>
      <w:lvlJc w:val="left"/>
      <w:pPr>
        <w:ind w:left="2520" w:hanging="360"/>
      </w:pPr>
      <w:rPr>
        <w:rFonts w:hint="default"/>
      </w:rPr>
    </w:lvl>
  </w:abstractNum>
  <w:abstractNum w:abstractNumId="30" w15:restartNumberingAfterBreak="0">
    <w:nsid w:val="26E8470E"/>
    <w:multiLevelType w:val="hybridMultilevel"/>
    <w:tmpl w:val="6F3008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28C30B14"/>
    <w:multiLevelType w:val="multilevel"/>
    <w:tmpl w:val="3196BF02"/>
    <w:lvl w:ilvl="0">
      <w:start w:val="5"/>
      <w:numFmt w:val="upperRoman"/>
      <w:lvlText w:val="%1."/>
      <w:lvlJc w:val="left"/>
      <w:pPr>
        <w:ind w:left="360" w:hanging="360"/>
      </w:pPr>
      <w:rPr>
        <w:rFonts w:hint="default"/>
      </w:rPr>
    </w:lvl>
    <w:lvl w:ilvl="1">
      <w:start w:val="10"/>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2CE50B21"/>
    <w:multiLevelType w:val="multilevel"/>
    <w:tmpl w:val="0409001D"/>
    <w:styleLink w:val="Style1"/>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2D9B5FC0"/>
    <w:multiLevelType w:val="hybridMultilevel"/>
    <w:tmpl w:val="151E737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2F7F5049"/>
    <w:multiLevelType w:val="multilevel"/>
    <w:tmpl w:val="10BEC9B2"/>
    <w:lvl w:ilvl="0">
      <w:start w:val="6"/>
      <w:numFmt w:val="upperRoman"/>
      <w:lvlText w:val="%1."/>
      <w:lvlJc w:val="left"/>
      <w:pPr>
        <w:ind w:left="360" w:hanging="360"/>
      </w:pPr>
      <w:rPr>
        <w:rFonts w:hint="default"/>
      </w:rPr>
    </w:lvl>
    <w:lvl w:ilvl="1">
      <w:start w:val="19"/>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2FAF0486"/>
    <w:multiLevelType w:val="hybridMultilevel"/>
    <w:tmpl w:val="662E7FC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15D060D"/>
    <w:multiLevelType w:val="multilevel"/>
    <w:tmpl w:val="78DC07DC"/>
    <w:lvl w:ilvl="0">
      <w:start w:val="3"/>
      <w:numFmt w:val="upperRoman"/>
      <w:lvlText w:val="%1."/>
      <w:lvlJc w:val="left"/>
      <w:pPr>
        <w:ind w:left="360" w:hanging="360"/>
      </w:pPr>
      <w:rPr>
        <w:rFonts w:hint="default"/>
      </w:rPr>
    </w:lvl>
    <w:lvl w:ilvl="1">
      <w:start w:val="4"/>
      <w:numFmt w:val="decimal"/>
      <w:lvlText w:val="%2."/>
      <w:lvlJc w:val="left"/>
      <w:pPr>
        <w:ind w:left="720" w:hanging="360"/>
      </w:pPr>
      <w:rPr>
        <w:rFonts w:hint="default"/>
        <w:b/>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315E327C"/>
    <w:multiLevelType w:val="multilevel"/>
    <w:tmpl w:val="877417F2"/>
    <w:lvl w:ilvl="0">
      <w:start w:val="4"/>
      <w:numFmt w:val="upperRoman"/>
      <w:lvlText w:val="%1."/>
      <w:lvlJc w:val="left"/>
      <w:pPr>
        <w:ind w:left="360" w:hanging="360"/>
      </w:pPr>
      <w:rPr>
        <w:rFonts w:hint="default"/>
      </w:rPr>
    </w:lvl>
    <w:lvl w:ilvl="1">
      <w:start w:val="9"/>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32BF7846"/>
    <w:multiLevelType w:val="hybridMultilevel"/>
    <w:tmpl w:val="E794DD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33630D3C"/>
    <w:multiLevelType w:val="hybridMultilevel"/>
    <w:tmpl w:val="CB7859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340C0041"/>
    <w:multiLevelType w:val="hybridMultilevel"/>
    <w:tmpl w:val="B40A7C7A"/>
    <w:lvl w:ilvl="0" w:tplc="04090001">
      <w:start w:val="1"/>
      <w:numFmt w:val="bullet"/>
      <w:lvlText w:val=""/>
      <w:lvlJc w:val="left"/>
      <w:pPr>
        <w:tabs>
          <w:tab w:val="num" w:pos="720"/>
        </w:tabs>
        <w:ind w:left="720" w:hanging="360"/>
      </w:pPr>
      <w:rPr>
        <w:rFonts w:ascii="Symbol" w:hAnsi="Symbol" w:hint="default"/>
      </w:rPr>
    </w:lvl>
    <w:lvl w:ilvl="1" w:tplc="1978509A">
      <w:start w:val="1"/>
      <w:numFmt w:val="decimal"/>
      <w:lvlText w:val="%2."/>
      <w:lvlJc w:val="left"/>
      <w:pPr>
        <w:tabs>
          <w:tab w:val="num" w:pos="1440"/>
        </w:tabs>
        <w:ind w:left="1440" w:hanging="360"/>
      </w:pPr>
      <w:rPr>
        <w:rFonts w:ascii="Times New Roman" w:eastAsiaTheme="minorHAnsi" w:hAnsi="Times New Roman" w:cs="Times New Roman"/>
      </w:rPr>
    </w:lvl>
    <w:lvl w:ilvl="2" w:tplc="5A7806EC" w:tentative="1">
      <w:start w:val="1"/>
      <w:numFmt w:val="bullet"/>
      <w:lvlText w:val="•"/>
      <w:lvlJc w:val="left"/>
      <w:pPr>
        <w:tabs>
          <w:tab w:val="num" w:pos="2160"/>
        </w:tabs>
        <w:ind w:left="2160" w:hanging="360"/>
      </w:pPr>
      <w:rPr>
        <w:rFonts w:ascii="Arial" w:hAnsi="Arial" w:hint="default"/>
      </w:rPr>
    </w:lvl>
    <w:lvl w:ilvl="3" w:tplc="D9B6C91C" w:tentative="1">
      <w:start w:val="1"/>
      <w:numFmt w:val="bullet"/>
      <w:lvlText w:val="•"/>
      <w:lvlJc w:val="left"/>
      <w:pPr>
        <w:tabs>
          <w:tab w:val="num" w:pos="2880"/>
        </w:tabs>
        <w:ind w:left="2880" w:hanging="360"/>
      </w:pPr>
      <w:rPr>
        <w:rFonts w:ascii="Arial" w:hAnsi="Arial" w:hint="default"/>
      </w:rPr>
    </w:lvl>
    <w:lvl w:ilvl="4" w:tplc="B23EAC14" w:tentative="1">
      <w:start w:val="1"/>
      <w:numFmt w:val="bullet"/>
      <w:lvlText w:val="•"/>
      <w:lvlJc w:val="left"/>
      <w:pPr>
        <w:tabs>
          <w:tab w:val="num" w:pos="3600"/>
        </w:tabs>
        <w:ind w:left="3600" w:hanging="360"/>
      </w:pPr>
      <w:rPr>
        <w:rFonts w:ascii="Arial" w:hAnsi="Arial" w:hint="default"/>
      </w:rPr>
    </w:lvl>
    <w:lvl w:ilvl="5" w:tplc="F3A6BDA2" w:tentative="1">
      <w:start w:val="1"/>
      <w:numFmt w:val="bullet"/>
      <w:lvlText w:val="•"/>
      <w:lvlJc w:val="left"/>
      <w:pPr>
        <w:tabs>
          <w:tab w:val="num" w:pos="4320"/>
        </w:tabs>
        <w:ind w:left="4320" w:hanging="360"/>
      </w:pPr>
      <w:rPr>
        <w:rFonts w:ascii="Arial" w:hAnsi="Arial" w:hint="default"/>
      </w:rPr>
    </w:lvl>
    <w:lvl w:ilvl="6" w:tplc="7AA22EC8" w:tentative="1">
      <w:start w:val="1"/>
      <w:numFmt w:val="bullet"/>
      <w:lvlText w:val="•"/>
      <w:lvlJc w:val="left"/>
      <w:pPr>
        <w:tabs>
          <w:tab w:val="num" w:pos="5040"/>
        </w:tabs>
        <w:ind w:left="5040" w:hanging="360"/>
      </w:pPr>
      <w:rPr>
        <w:rFonts w:ascii="Arial" w:hAnsi="Arial" w:hint="default"/>
      </w:rPr>
    </w:lvl>
    <w:lvl w:ilvl="7" w:tplc="295408D2" w:tentative="1">
      <w:start w:val="1"/>
      <w:numFmt w:val="bullet"/>
      <w:lvlText w:val="•"/>
      <w:lvlJc w:val="left"/>
      <w:pPr>
        <w:tabs>
          <w:tab w:val="num" w:pos="5760"/>
        </w:tabs>
        <w:ind w:left="5760" w:hanging="360"/>
      </w:pPr>
      <w:rPr>
        <w:rFonts w:ascii="Arial" w:hAnsi="Arial" w:hint="default"/>
      </w:rPr>
    </w:lvl>
    <w:lvl w:ilvl="8" w:tplc="D6D8C3F6" w:tentative="1">
      <w:start w:val="1"/>
      <w:numFmt w:val="bullet"/>
      <w:lvlText w:val="•"/>
      <w:lvlJc w:val="left"/>
      <w:pPr>
        <w:tabs>
          <w:tab w:val="num" w:pos="6480"/>
        </w:tabs>
        <w:ind w:left="6480" w:hanging="360"/>
      </w:pPr>
      <w:rPr>
        <w:rFonts w:ascii="Arial" w:hAnsi="Arial" w:hint="default"/>
      </w:rPr>
    </w:lvl>
  </w:abstractNum>
  <w:abstractNum w:abstractNumId="41" w15:restartNumberingAfterBreak="0">
    <w:nsid w:val="346D7251"/>
    <w:multiLevelType w:val="hybridMultilevel"/>
    <w:tmpl w:val="BDB43702"/>
    <w:lvl w:ilvl="0" w:tplc="EB22FEA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34B013BA"/>
    <w:multiLevelType w:val="hybridMultilevel"/>
    <w:tmpl w:val="E0B4FBD4"/>
    <w:lvl w:ilvl="0" w:tplc="AC54A342">
      <w:start w:val="1"/>
      <w:numFmt w:val="bullet"/>
      <w:lvlText w:val="•"/>
      <w:lvlJc w:val="left"/>
      <w:pPr>
        <w:tabs>
          <w:tab w:val="num" w:pos="720"/>
        </w:tabs>
        <w:ind w:left="720" w:hanging="360"/>
      </w:pPr>
      <w:rPr>
        <w:rFonts w:ascii="Arial" w:hAnsi="Arial" w:hint="default"/>
      </w:rPr>
    </w:lvl>
    <w:lvl w:ilvl="1" w:tplc="BD40F75C" w:tentative="1">
      <w:start w:val="1"/>
      <w:numFmt w:val="bullet"/>
      <w:lvlText w:val="•"/>
      <w:lvlJc w:val="left"/>
      <w:pPr>
        <w:tabs>
          <w:tab w:val="num" w:pos="1440"/>
        </w:tabs>
        <w:ind w:left="1440" w:hanging="360"/>
      </w:pPr>
      <w:rPr>
        <w:rFonts w:ascii="Arial" w:hAnsi="Arial" w:hint="default"/>
      </w:rPr>
    </w:lvl>
    <w:lvl w:ilvl="2" w:tplc="3D4AA0FC" w:tentative="1">
      <w:start w:val="1"/>
      <w:numFmt w:val="bullet"/>
      <w:lvlText w:val="•"/>
      <w:lvlJc w:val="left"/>
      <w:pPr>
        <w:tabs>
          <w:tab w:val="num" w:pos="2160"/>
        </w:tabs>
        <w:ind w:left="2160" w:hanging="360"/>
      </w:pPr>
      <w:rPr>
        <w:rFonts w:ascii="Arial" w:hAnsi="Arial" w:hint="default"/>
      </w:rPr>
    </w:lvl>
    <w:lvl w:ilvl="3" w:tplc="57DAE2BA" w:tentative="1">
      <w:start w:val="1"/>
      <w:numFmt w:val="bullet"/>
      <w:lvlText w:val="•"/>
      <w:lvlJc w:val="left"/>
      <w:pPr>
        <w:tabs>
          <w:tab w:val="num" w:pos="2880"/>
        </w:tabs>
        <w:ind w:left="2880" w:hanging="360"/>
      </w:pPr>
      <w:rPr>
        <w:rFonts w:ascii="Arial" w:hAnsi="Arial" w:hint="default"/>
      </w:rPr>
    </w:lvl>
    <w:lvl w:ilvl="4" w:tplc="A7421D28" w:tentative="1">
      <w:start w:val="1"/>
      <w:numFmt w:val="bullet"/>
      <w:lvlText w:val="•"/>
      <w:lvlJc w:val="left"/>
      <w:pPr>
        <w:tabs>
          <w:tab w:val="num" w:pos="3600"/>
        </w:tabs>
        <w:ind w:left="3600" w:hanging="360"/>
      </w:pPr>
      <w:rPr>
        <w:rFonts w:ascii="Arial" w:hAnsi="Arial" w:hint="default"/>
      </w:rPr>
    </w:lvl>
    <w:lvl w:ilvl="5" w:tplc="CCAEAA98" w:tentative="1">
      <w:start w:val="1"/>
      <w:numFmt w:val="bullet"/>
      <w:lvlText w:val="•"/>
      <w:lvlJc w:val="left"/>
      <w:pPr>
        <w:tabs>
          <w:tab w:val="num" w:pos="4320"/>
        </w:tabs>
        <w:ind w:left="4320" w:hanging="360"/>
      </w:pPr>
      <w:rPr>
        <w:rFonts w:ascii="Arial" w:hAnsi="Arial" w:hint="default"/>
      </w:rPr>
    </w:lvl>
    <w:lvl w:ilvl="6" w:tplc="05501094" w:tentative="1">
      <w:start w:val="1"/>
      <w:numFmt w:val="bullet"/>
      <w:lvlText w:val="•"/>
      <w:lvlJc w:val="left"/>
      <w:pPr>
        <w:tabs>
          <w:tab w:val="num" w:pos="5040"/>
        </w:tabs>
        <w:ind w:left="5040" w:hanging="360"/>
      </w:pPr>
      <w:rPr>
        <w:rFonts w:ascii="Arial" w:hAnsi="Arial" w:hint="default"/>
      </w:rPr>
    </w:lvl>
    <w:lvl w:ilvl="7" w:tplc="81D8D1A0" w:tentative="1">
      <w:start w:val="1"/>
      <w:numFmt w:val="bullet"/>
      <w:lvlText w:val="•"/>
      <w:lvlJc w:val="left"/>
      <w:pPr>
        <w:tabs>
          <w:tab w:val="num" w:pos="5760"/>
        </w:tabs>
        <w:ind w:left="5760" w:hanging="360"/>
      </w:pPr>
      <w:rPr>
        <w:rFonts w:ascii="Arial" w:hAnsi="Arial" w:hint="default"/>
      </w:rPr>
    </w:lvl>
    <w:lvl w:ilvl="8" w:tplc="6A860866" w:tentative="1">
      <w:start w:val="1"/>
      <w:numFmt w:val="bullet"/>
      <w:lvlText w:val="•"/>
      <w:lvlJc w:val="left"/>
      <w:pPr>
        <w:tabs>
          <w:tab w:val="num" w:pos="6480"/>
        </w:tabs>
        <w:ind w:left="6480" w:hanging="360"/>
      </w:pPr>
      <w:rPr>
        <w:rFonts w:ascii="Arial" w:hAnsi="Arial" w:hint="default"/>
      </w:rPr>
    </w:lvl>
  </w:abstractNum>
  <w:abstractNum w:abstractNumId="43" w15:restartNumberingAfterBreak="0">
    <w:nsid w:val="376304D6"/>
    <w:multiLevelType w:val="hybridMultilevel"/>
    <w:tmpl w:val="46A80C8C"/>
    <w:lvl w:ilvl="0" w:tplc="D828311C">
      <w:start w:val="1"/>
      <w:numFmt w:val="bullet"/>
      <w:lvlText w:val="•"/>
      <w:lvlJc w:val="left"/>
      <w:pPr>
        <w:tabs>
          <w:tab w:val="num" w:pos="720"/>
        </w:tabs>
        <w:ind w:left="720" w:hanging="360"/>
      </w:pPr>
      <w:rPr>
        <w:rFonts w:ascii="Arial" w:hAnsi="Arial" w:hint="default"/>
      </w:rPr>
    </w:lvl>
    <w:lvl w:ilvl="1" w:tplc="5FAE0284" w:tentative="1">
      <w:start w:val="1"/>
      <w:numFmt w:val="bullet"/>
      <w:lvlText w:val="•"/>
      <w:lvlJc w:val="left"/>
      <w:pPr>
        <w:tabs>
          <w:tab w:val="num" w:pos="1440"/>
        </w:tabs>
        <w:ind w:left="1440" w:hanging="360"/>
      </w:pPr>
      <w:rPr>
        <w:rFonts w:ascii="Arial" w:hAnsi="Arial" w:hint="default"/>
      </w:rPr>
    </w:lvl>
    <w:lvl w:ilvl="2" w:tplc="003C799A" w:tentative="1">
      <w:start w:val="1"/>
      <w:numFmt w:val="bullet"/>
      <w:lvlText w:val="•"/>
      <w:lvlJc w:val="left"/>
      <w:pPr>
        <w:tabs>
          <w:tab w:val="num" w:pos="2160"/>
        </w:tabs>
        <w:ind w:left="2160" w:hanging="360"/>
      </w:pPr>
      <w:rPr>
        <w:rFonts w:ascii="Arial" w:hAnsi="Arial" w:hint="default"/>
      </w:rPr>
    </w:lvl>
    <w:lvl w:ilvl="3" w:tplc="6B16AAE0" w:tentative="1">
      <w:start w:val="1"/>
      <w:numFmt w:val="bullet"/>
      <w:lvlText w:val="•"/>
      <w:lvlJc w:val="left"/>
      <w:pPr>
        <w:tabs>
          <w:tab w:val="num" w:pos="2880"/>
        </w:tabs>
        <w:ind w:left="2880" w:hanging="360"/>
      </w:pPr>
      <w:rPr>
        <w:rFonts w:ascii="Arial" w:hAnsi="Arial" w:hint="default"/>
      </w:rPr>
    </w:lvl>
    <w:lvl w:ilvl="4" w:tplc="FCA6002C" w:tentative="1">
      <w:start w:val="1"/>
      <w:numFmt w:val="bullet"/>
      <w:lvlText w:val="•"/>
      <w:lvlJc w:val="left"/>
      <w:pPr>
        <w:tabs>
          <w:tab w:val="num" w:pos="3600"/>
        </w:tabs>
        <w:ind w:left="3600" w:hanging="360"/>
      </w:pPr>
      <w:rPr>
        <w:rFonts w:ascii="Arial" w:hAnsi="Arial" w:hint="default"/>
      </w:rPr>
    </w:lvl>
    <w:lvl w:ilvl="5" w:tplc="CE82F728" w:tentative="1">
      <w:start w:val="1"/>
      <w:numFmt w:val="bullet"/>
      <w:lvlText w:val="•"/>
      <w:lvlJc w:val="left"/>
      <w:pPr>
        <w:tabs>
          <w:tab w:val="num" w:pos="4320"/>
        </w:tabs>
        <w:ind w:left="4320" w:hanging="360"/>
      </w:pPr>
      <w:rPr>
        <w:rFonts w:ascii="Arial" w:hAnsi="Arial" w:hint="default"/>
      </w:rPr>
    </w:lvl>
    <w:lvl w:ilvl="6" w:tplc="6DB42CD8" w:tentative="1">
      <w:start w:val="1"/>
      <w:numFmt w:val="bullet"/>
      <w:lvlText w:val="•"/>
      <w:lvlJc w:val="left"/>
      <w:pPr>
        <w:tabs>
          <w:tab w:val="num" w:pos="5040"/>
        </w:tabs>
        <w:ind w:left="5040" w:hanging="360"/>
      </w:pPr>
      <w:rPr>
        <w:rFonts w:ascii="Arial" w:hAnsi="Arial" w:hint="default"/>
      </w:rPr>
    </w:lvl>
    <w:lvl w:ilvl="7" w:tplc="C7BE5718" w:tentative="1">
      <w:start w:val="1"/>
      <w:numFmt w:val="bullet"/>
      <w:lvlText w:val="•"/>
      <w:lvlJc w:val="left"/>
      <w:pPr>
        <w:tabs>
          <w:tab w:val="num" w:pos="5760"/>
        </w:tabs>
        <w:ind w:left="5760" w:hanging="360"/>
      </w:pPr>
      <w:rPr>
        <w:rFonts w:ascii="Arial" w:hAnsi="Arial" w:hint="default"/>
      </w:rPr>
    </w:lvl>
    <w:lvl w:ilvl="8" w:tplc="89DAD054" w:tentative="1">
      <w:start w:val="1"/>
      <w:numFmt w:val="bullet"/>
      <w:lvlText w:val="•"/>
      <w:lvlJc w:val="left"/>
      <w:pPr>
        <w:tabs>
          <w:tab w:val="num" w:pos="6480"/>
        </w:tabs>
        <w:ind w:left="6480" w:hanging="360"/>
      </w:pPr>
      <w:rPr>
        <w:rFonts w:ascii="Arial" w:hAnsi="Arial" w:hint="default"/>
      </w:rPr>
    </w:lvl>
  </w:abstractNum>
  <w:abstractNum w:abstractNumId="44" w15:restartNumberingAfterBreak="0">
    <w:nsid w:val="39E134FD"/>
    <w:multiLevelType w:val="hybridMultilevel"/>
    <w:tmpl w:val="04B84E7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15:restartNumberingAfterBreak="0">
    <w:nsid w:val="3A725FF7"/>
    <w:multiLevelType w:val="hybridMultilevel"/>
    <w:tmpl w:val="4402771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3BB1326D"/>
    <w:multiLevelType w:val="multilevel"/>
    <w:tmpl w:val="10BEC9B2"/>
    <w:lvl w:ilvl="0">
      <w:start w:val="6"/>
      <w:numFmt w:val="upperRoman"/>
      <w:lvlText w:val="%1."/>
      <w:lvlJc w:val="left"/>
      <w:pPr>
        <w:ind w:left="360" w:hanging="360"/>
      </w:pPr>
      <w:rPr>
        <w:rFonts w:hint="default"/>
      </w:rPr>
    </w:lvl>
    <w:lvl w:ilvl="1">
      <w:start w:val="19"/>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3CAA0DE1"/>
    <w:multiLevelType w:val="hybridMultilevel"/>
    <w:tmpl w:val="6B5AF700"/>
    <w:lvl w:ilvl="0" w:tplc="76760B6E">
      <w:start w:val="1"/>
      <w:numFmt w:val="bullet"/>
      <w:lvlText w:val=""/>
      <w:lvlJc w:val="left"/>
      <w:pPr>
        <w:tabs>
          <w:tab w:val="num" w:pos="720"/>
        </w:tabs>
        <w:ind w:left="720" w:hanging="360"/>
      </w:pPr>
      <w:rPr>
        <w:rFonts w:ascii="Wingdings" w:hAnsi="Wingdings" w:hint="default"/>
      </w:rPr>
    </w:lvl>
    <w:lvl w:ilvl="1" w:tplc="C3B459E0">
      <w:start w:val="1105"/>
      <w:numFmt w:val="bullet"/>
      <w:lvlText w:val="–"/>
      <w:lvlJc w:val="left"/>
      <w:pPr>
        <w:tabs>
          <w:tab w:val="num" w:pos="1440"/>
        </w:tabs>
        <w:ind w:left="1440" w:hanging="360"/>
      </w:pPr>
      <w:rPr>
        <w:rFonts w:ascii="Arial" w:hAnsi="Arial" w:hint="default"/>
      </w:rPr>
    </w:lvl>
    <w:lvl w:ilvl="2" w:tplc="4D5C55BE" w:tentative="1">
      <w:start w:val="1"/>
      <w:numFmt w:val="bullet"/>
      <w:lvlText w:val=""/>
      <w:lvlJc w:val="left"/>
      <w:pPr>
        <w:tabs>
          <w:tab w:val="num" w:pos="2160"/>
        </w:tabs>
        <w:ind w:left="2160" w:hanging="360"/>
      </w:pPr>
      <w:rPr>
        <w:rFonts w:ascii="Wingdings" w:hAnsi="Wingdings" w:hint="default"/>
      </w:rPr>
    </w:lvl>
    <w:lvl w:ilvl="3" w:tplc="D06A22A0" w:tentative="1">
      <w:start w:val="1"/>
      <w:numFmt w:val="bullet"/>
      <w:lvlText w:val=""/>
      <w:lvlJc w:val="left"/>
      <w:pPr>
        <w:tabs>
          <w:tab w:val="num" w:pos="2880"/>
        </w:tabs>
        <w:ind w:left="2880" w:hanging="360"/>
      </w:pPr>
      <w:rPr>
        <w:rFonts w:ascii="Wingdings" w:hAnsi="Wingdings" w:hint="default"/>
      </w:rPr>
    </w:lvl>
    <w:lvl w:ilvl="4" w:tplc="9F8423F2" w:tentative="1">
      <w:start w:val="1"/>
      <w:numFmt w:val="bullet"/>
      <w:lvlText w:val=""/>
      <w:lvlJc w:val="left"/>
      <w:pPr>
        <w:tabs>
          <w:tab w:val="num" w:pos="3600"/>
        </w:tabs>
        <w:ind w:left="3600" w:hanging="360"/>
      </w:pPr>
      <w:rPr>
        <w:rFonts w:ascii="Wingdings" w:hAnsi="Wingdings" w:hint="default"/>
      </w:rPr>
    </w:lvl>
    <w:lvl w:ilvl="5" w:tplc="51B287B0" w:tentative="1">
      <w:start w:val="1"/>
      <w:numFmt w:val="bullet"/>
      <w:lvlText w:val=""/>
      <w:lvlJc w:val="left"/>
      <w:pPr>
        <w:tabs>
          <w:tab w:val="num" w:pos="4320"/>
        </w:tabs>
        <w:ind w:left="4320" w:hanging="360"/>
      </w:pPr>
      <w:rPr>
        <w:rFonts w:ascii="Wingdings" w:hAnsi="Wingdings" w:hint="default"/>
      </w:rPr>
    </w:lvl>
    <w:lvl w:ilvl="6" w:tplc="D23E1D98" w:tentative="1">
      <w:start w:val="1"/>
      <w:numFmt w:val="bullet"/>
      <w:lvlText w:val=""/>
      <w:lvlJc w:val="left"/>
      <w:pPr>
        <w:tabs>
          <w:tab w:val="num" w:pos="5040"/>
        </w:tabs>
        <w:ind w:left="5040" w:hanging="360"/>
      </w:pPr>
      <w:rPr>
        <w:rFonts w:ascii="Wingdings" w:hAnsi="Wingdings" w:hint="default"/>
      </w:rPr>
    </w:lvl>
    <w:lvl w:ilvl="7" w:tplc="9D8ED4EC" w:tentative="1">
      <w:start w:val="1"/>
      <w:numFmt w:val="bullet"/>
      <w:lvlText w:val=""/>
      <w:lvlJc w:val="left"/>
      <w:pPr>
        <w:tabs>
          <w:tab w:val="num" w:pos="5760"/>
        </w:tabs>
        <w:ind w:left="5760" w:hanging="360"/>
      </w:pPr>
      <w:rPr>
        <w:rFonts w:ascii="Wingdings" w:hAnsi="Wingdings" w:hint="default"/>
      </w:rPr>
    </w:lvl>
    <w:lvl w:ilvl="8" w:tplc="00C4D936"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3CC47483"/>
    <w:multiLevelType w:val="hybridMultilevel"/>
    <w:tmpl w:val="1AC696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9" w15:restartNumberingAfterBreak="0">
    <w:nsid w:val="3E8E0131"/>
    <w:multiLevelType w:val="multilevel"/>
    <w:tmpl w:val="DD220D9C"/>
    <w:lvl w:ilvl="0">
      <w:start w:val="2"/>
      <w:numFmt w:val="upperRoman"/>
      <w:lvlText w:val="%1."/>
      <w:lvlJc w:val="left"/>
      <w:pPr>
        <w:ind w:left="360" w:hanging="360"/>
      </w:pPr>
      <w:rPr>
        <w:rFonts w:hint="default"/>
      </w:rPr>
    </w:lvl>
    <w:lvl w:ilvl="1">
      <w:start w:val="3"/>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0" w15:restartNumberingAfterBreak="0">
    <w:nsid w:val="42434DB2"/>
    <w:multiLevelType w:val="hybridMultilevel"/>
    <w:tmpl w:val="2E28070E"/>
    <w:lvl w:ilvl="0" w:tplc="F40E4292">
      <w:start w:val="1"/>
      <w:numFmt w:val="bullet"/>
      <w:lvlText w:val=""/>
      <w:lvlJc w:val="left"/>
      <w:pPr>
        <w:ind w:left="720" w:hanging="360"/>
      </w:pPr>
      <w:rPr>
        <w:rFonts w:ascii="Symbol" w:hAnsi="Symbol" w:hint="default"/>
        <w:sz w:val="16"/>
      </w:rPr>
    </w:lvl>
    <w:lvl w:ilvl="1" w:tplc="F40E4292">
      <w:start w:val="1"/>
      <w:numFmt w:val="bullet"/>
      <w:lvlText w:val=""/>
      <w:lvlJc w:val="left"/>
      <w:pPr>
        <w:ind w:left="1440" w:hanging="360"/>
      </w:pPr>
      <w:rPr>
        <w:rFonts w:ascii="Symbol" w:hAnsi="Symbol" w:hint="default"/>
        <w:sz w:val="16"/>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433224A7"/>
    <w:multiLevelType w:val="hybridMultilevel"/>
    <w:tmpl w:val="E196C84A"/>
    <w:lvl w:ilvl="0" w:tplc="E2EAC73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2" w15:restartNumberingAfterBreak="0">
    <w:nsid w:val="43A4287E"/>
    <w:multiLevelType w:val="hybridMultilevel"/>
    <w:tmpl w:val="D0CEF46C"/>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3" w15:restartNumberingAfterBreak="0">
    <w:nsid w:val="44EF392A"/>
    <w:multiLevelType w:val="hybridMultilevel"/>
    <w:tmpl w:val="607E47D0"/>
    <w:lvl w:ilvl="0" w:tplc="04090001">
      <w:start w:val="1"/>
      <w:numFmt w:val="bullet"/>
      <w:lvlText w:val=""/>
      <w:lvlJc w:val="left"/>
      <w:pPr>
        <w:tabs>
          <w:tab w:val="num" w:pos="360"/>
        </w:tabs>
        <w:ind w:left="360" w:hanging="360"/>
      </w:pPr>
      <w:rPr>
        <w:rFonts w:ascii="Symbol" w:hAnsi="Symbol" w:hint="default"/>
        <w:b w:val="0"/>
      </w:rPr>
    </w:lvl>
    <w:lvl w:ilvl="1" w:tplc="9C0E3ADE" w:tentative="1">
      <w:start w:val="1"/>
      <w:numFmt w:val="decimal"/>
      <w:lvlText w:val="%2)"/>
      <w:lvlJc w:val="left"/>
      <w:pPr>
        <w:tabs>
          <w:tab w:val="num" w:pos="1080"/>
        </w:tabs>
        <w:ind w:left="1080" w:hanging="360"/>
      </w:pPr>
    </w:lvl>
    <w:lvl w:ilvl="2" w:tplc="B00C5A7C" w:tentative="1">
      <w:start w:val="1"/>
      <w:numFmt w:val="decimal"/>
      <w:lvlText w:val="%3)"/>
      <w:lvlJc w:val="left"/>
      <w:pPr>
        <w:tabs>
          <w:tab w:val="num" w:pos="1800"/>
        </w:tabs>
        <w:ind w:left="1800" w:hanging="360"/>
      </w:pPr>
    </w:lvl>
    <w:lvl w:ilvl="3" w:tplc="A1A82FD6" w:tentative="1">
      <w:start w:val="1"/>
      <w:numFmt w:val="decimal"/>
      <w:lvlText w:val="%4)"/>
      <w:lvlJc w:val="left"/>
      <w:pPr>
        <w:tabs>
          <w:tab w:val="num" w:pos="2520"/>
        </w:tabs>
        <w:ind w:left="2520" w:hanging="360"/>
      </w:pPr>
    </w:lvl>
    <w:lvl w:ilvl="4" w:tplc="6D8ADA4A" w:tentative="1">
      <w:start w:val="1"/>
      <w:numFmt w:val="decimal"/>
      <w:lvlText w:val="%5)"/>
      <w:lvlJc w:val="left"/>
      <w:pPr>
        <w:tabs>
          <w:tab w:val="num" w:pos="3240"/>
        </w:tabs>
        <w:ind w:left="3240" w:hanging="360"/>
      </w:pPr>
    </w:lvl>
    <w:lvl w:ilvl="5" w:tplc="C8D63C46" w:tentative="1">
      <w:start w:val="1"/>
      <w:numFmt w:val="decimal"/>
      <w:lvlText w:val="%6)"/>
      <w:lvlJc w:val="left"/>
      <w:pPr>
        <w:tabs>
          <w:tab w:val="num" w:pos="3960"/>
        </w:tabs>
        <w:ind w:left="3960" w:hanging="360"/>
      </w:pPr>
    </w:lvl>
    <w:lvl w:ilvl="6" w:tplc="AA7E388E" w:tentative="1">
      <w:start w:val="1"/>
      <w:numFmt w:val="decimal"/>
      <w:lvlText w:val="%7)"/>
      <w:lvlJc w:val="left"/>
      <w:pPr>
        <w:tabs>
          <w:tab w:val="num" w:pos="4680"/>
        </w:tabs>
        <w:ind w:left="4680" w:hanging="360"/>
      </w:pPr>
    </w:lvl>
    <w:lvl w:ilvl="7" w:tplc="17A44E40" w:tentative="1">
      <w:start w:val="1"/>
      <w:numFmt w:val="decimal"/>
      <w:lvlText w:val="%8)"/>
      <w:lvlJc w:val="left"/>
      <w:pPr>
        <w:tabs>
          <w:tab w:val="num" w:pos="5400"/>
        </w:tabs>
        <w:ind w:left="5400" w:hanging="360"/>
      </w:pPr>
    </w:lvl>
    <w:lvl w:ilvl="8" w:tplc="7F6CD6A0" w:tentative="1">
      <w:start w:val="1"/>
      <w:numFmt w:val="decimal"/>
      <w:lvlText w:val="%9)"/>
      <w:lvlJc w:val="left"/>
      <w:pPr>
        <w:tabs>
          <w:tab w:val="num" w:pos="6120"/>
        </w:tabs>
        <w:ind w:left="6120" w:hanging="360"/>
      </w:pPr>
    </w:lvl>
  </w:abstractNum>
  <w:abstractNum w:abstractNumId="54" w15:restartNumberingAfterBreak="0">
    <w:nsid w:val="48762B99"/>
    <w:multiLevelType w:val="multilevel"/>
    <w:tmpl w:val="FFD88DFC"/>
    <w:lvl w:ilvl="0">
      <w:start w:val="5"/>
      <w:numFmt w:val="upperRoman"/>
      <w:lvlText w:val="%1."/>
      <w:lvlJc w:val="left"/>
      <w:pPr>
        <w:ind w:left="360" w:hanging="360"/>
      </w:pPr>
      <w:rPr>
        <w:rFonts w:hint="default"/>
      </w:rPr>
    </w:lvl>
    <w:lvl w:ilvl="1">
      <w:start w:val="13"/>
      <w:numFmt w:val="decimal"/>
      <w:lvlText w:val="%2."/>
      <w:lvlJc w:val="left"/>
      <w:pPr>
        <w:ind w:left="720" w:hanging="360"/>
      </w:pPr>
      <w:rPr>
        <w:rFonts w:hint="default"/>
        <w:b/>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5" w15:restartNumberingAfterBreak="0">
    <w:nsid w:val="4A0318B6"/>
    <w:multiLevelType w:val="hybridMultilevel"/>
    <w:tmpl w:val="499654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6" w15:restartNumberingAfterBreak="0">
    <w:nsid w:val="4C45361E"/>
    <w:multiLevelType w:val="hybridMultilevel"/>
    <w:tmpl w:val="180E29EA"/>
    <w:lvl w:ilvl="0" w:tplc="E2EAC73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7" w15:restartNumberingAfterBreak="0">
    <w:nsid w:val="4C8377C2"/>
    <w:multiLevelType w:val="hybridMultilevel"/>
    <w:tmpl w:val="54223326"/>
    <w:lvl w:ilvl="0" w:tplc="E2EAC73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8" w15:restartNumberingAfterBreak="0">
    <w:nsid w:val="506327E0"/>
    <w:multiLevelType w:val="hybridMultilevel"/>
    <w:tmpl w:val="B8FC3E10"/>
    <w:lvl w:ilvl="0" w:tplc="0409000F">
      <w:start w:val="1"/>
      <w:numFmt w:val="decimal"/>
      <w:lvlText w:val="%1."/>
      <w:lvlJc w:val="left"/>
      <w:pPr>
        <w:tabs>
          <w:tab w:val="num" w:pos="360"/>
        </w:tabs>
        <w:ind w:left="360" w:hanging="360"/>
      </w:pPr>
      <w:rPr>
        <w:rFonts w:hint="default"/>
      </w:rPr>
    </w:lvl>
    <w:lvl w:ilvl="1" w:tplc="1978509A">
      <w:start w:val="1"/>
      <w:numFmt w:val="decimal"/>
      <w:lvlText w:val="%2."/>
      <w:lvlJc w:val="left"/>
      <w:pPr>
        <w:tabs>
          <w:tab w:val="num" w:pos="1080"/>
        </w:tabs>
        <w:ind w:left="1080" w:hanging="360"/>
      </w:pPr>
      <w:rPr>
        <w:rFonts w:ascii="Times New Roman" w:eastAsiaTheme="minorHAnsi" w:hAnsi="Times New Roman" w:cs="Times New Roman"/>
      </w:rPr>
    </w:lvl>
    <w:lvl w:ilvl="2" w:tplc="5A7806EC" w:tentative="1">
      <w:start w:val="1"/>
      <w:numFmt w:val="bullet"/>
      <w:lvlText w:val="•"/>
      <w:lvlJc w:val="left"/>
      <w:pPr>
        <w:tabs>
          <w:tab w:val="num" w:pos="1800"/>
        </w:tabs>
        <w:ind w:left="1800" w:hanging="360"/>
      </w:pPr>
      <w:rPr>
        <w:rFonts w:ascii="Arial" w:hAnsi="Arial" w:hint="default"/>
      </w:rPr>
    </w:lvl>
    <w:lvl w:ilvl="3" w:tplc="D9B6C91C" w:tentative="1">
      <w:start w:val="1"/>
      <w:numFmt w:val="bullet"/>
      <w:lvlText w:val="•"/>
      <w:lvlJc w:val="left"/>
      <w:pPr>
        <w:tabs>
          <w:tab w:val="num" w:pos="2520"/>
        </w:tabs>
        <w:ind w:left="2520" w:hanging="360"/>
      </w:pPr>
      <w:rPr>
        <w:rFonts w:ascii="Arial" w:hAnsi="Arial" w:hint="default"/>
      </w:rPr>
    </w:lvl>
    <w:lvl w:ilvl="4" w:tplc="B23EAC14" w:tentative="1">
      <w:start w:val="1"/>
      <w:numFmt w:val="bullet"/>
      <w:lvlText w:val="•"/>
      <w:lvlJc w:val="left"/>
      <w:pPr>
        <w:tabs>
          <w:tab w:val="num" w:pos="3240"/>
        </w:tabs>
        <w:ind w:left="3240" w:hanging="360"/>
      </w:pPr>
      <w:rPr>
        <w:rFonts w:ascii="Arial" w:hAnsi="Arial" w:hint="default"/>
      </w:rPr>
    </w:lvl>
    <w:lvl w:ilvl="5" w:tplc="F3A6BDA2" w:tentative="1">
      <w:start w:val="1"/>
      <w:numFmt w:val="bullet"/>
      <w:lvlText w:val="•"/>
      <w:lvlJc w:val="left"/>
      <w:pPr>
        <w:tabs>
          <w:tab w:val="num" w:pos="3960"/>
        </w:tabs>
        <w:ind w:left="3960" w:hanging="360"/>
      </w:pPr>
      <w:rPr>
        <w:rFonts w:ascii="Arial" w:hAnsi="Arial" w:hint="default"/>
      </w:rPr>
    </w:lvl>
    <w:lvl w:ilvl="6" w:tplc="7AA22EC8" w:tentative="1">
      <w:start w:val="1"/>
      <w:numFmt w:val="bullet"/>
      <w:lvlText w:val="•"/>
      <w:lvlJc w:val="left"/>
      <w:pPr>
        <w:tabs>
          <w:tab w:val="num" w:pos="4680"/>
        </w:tabs>
        <w:ind w:left="4680" w:hanging="360"/>
      </w:pPr>
      <w:rPr>
        <w:rFonts w:ascii="Arial" w:hAnsi="Arial" w:hint="default"/>
      </w:rPr>
    </w:lvl>
    <w:lvl w:ilvl="7" w:tplc="295408D2" w:tentative="1">
      <w:start w:val="1"/>
      <w:numFmt w:val="bullet"/>
      <w:lvlText w:val="•"/>
      <w:lvlJc w:val="left"/>
      <w:pPr>
        <w:tabs>
          <w:tab w:val="num" w:pos="5400"/>
        </w:tabs>
        <w:ind w:left="5400" w:hanging="360"/>
      </w:pPr>
      <w:rPr>
        <w:rFonts w:ascii="Arial" w:hAnsi="Arial" w:hint="default"/>
      </w:rPr>
    </w:lvl>
    <w:lvl w:ilvl="8" w:tplc="D6D8C3F6" w:tentative="1">
      <w:start w:val="1"/>
      <w:numFmt w:val="bullet"/>
      <w:lvlText w:val="•"/>
      <w:lvlJc w:val="left"/>
      <w:pPr>
        <w:tabs>
          <w:tab w:val="num" w:pos="6120"/>
        </w:tabs>
        <w:ind w:left="6120" w:hanging="360"/>
      </w:pPr>
      <w:rPr>
        <w:rFonts w:ascii="Arial" w:hAnsi="Arial" w:hint="default"/>
      </w:rPr>
    </w:lvl>
  </w:abstractNum>
  <w:abstractNum w:abstractNumId="59" w15:restartNumberingAfterBreak="0">
    <w:nsid w:val="51A61E14"/>
    <w:multiLevelType w:val="hybridMultilevel"/>
    <w:tmpl w:val="1B4454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0" w15:restartNumberingAfterBreak="0">
    <w:nsid w:val="51B67CF0"/>
    <w:multiLevelType w:val="hybridMultilevel"/>
    <w:tmpl w:val="89B6AD4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529B5CFD"/>
    <w:multiLevelType w:val="hybridMultilevel"/>
    <w:tmpl w:val="54223326"/>
    <w:lvl w:ilvl="0" w:tplc="E2EAC73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2" w15:restartNumberingAfterBreak="0">
    <w:nsid w:val="52A00690"/>
    <w:multiLevelType w:val="hybridMultilevel"/>
    <w:tmpl w:val="C6C899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3" w15:restartNumberingAfterBreak="0">
    <w:nsid w:val="53332356"/>
    <w:multiLevelType w:val="hybridMultilevel"/>
    <w:tmpl w:val="918AD2D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4" w15:restartNumberingAfterBreak="0">
    <w:nsid w:val="53436F0A"/>
    <w:multiLevelType w:val="multilevel"/>
    <w:tmpl w:val="8858199A"/>
    <w:lvl w:ilvl="0">
      <w:start w:val="2"/>
      <w:numFmt w:val="upperRoman"/>
      <w:lvlText w:val="%1."/>
      <w:lvlJc w:val="left"/>
      <w:pPr>
        <w:ind w:left="360" w:hanging="360"/>
      </w:pPr>
      <w:rPr>
        <w:rFonts w:hint="default"/>
      </w:rPr>
    </w:lvl>
    <w:lvl w:ilvl="1">
      <w:start w:val="4"/>
      <w:numFmt w:val="decimal"/>
      <w:lvlText w:val="%2."/>
      <w:lvlJc w:val="left"/>
      <w:pPr>
        <w:ind w:left="720" w:hanging="360"/>
      </w:pPr>
      <w:rPr>
        <w:rFonts w:hint="default"/>
        <w:b/>
      </w:rPr>
    </w:lvl>
    <w:lvl w:ilvl="2">
      <w:start w:val="2"/>
      <w:numFmt w:val="lowerLetter"/>
      <w:lvlText w:val="%3."/>
      <w:lvlJc w:val="left"/>
      <w:pPr>
        <w:ind w:left="1080" w:hanging="360"/>
      </w:pPr>
      <w:rPr>
        <w:rFonts w:hint="default"/>
        <w:b w:val="0"/>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5" w15:restartNumberingAfterBreak="0">
    <w:nsid w:val="539B26A1"/>
    <w:multiLevelType w:val="hybridMultilevel"/>
    <w:tmpl w:val="46AA4A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53DE2692"/>
    <w:multiLevelType w:val="multilevel"/>
    <w:tmpl w:val="B184A1B6"/>
    <w:lvl w:ilvl="0">
      <w:start w:val="3"/>
      <w:numFmt w:val="upperRoman"/>
      <w:lvlText w:val="%1."/>
      <w:lvlJc w:val="left"/>
      <w:pPr>
        <w:ind w:left="360" w:hanging="360"/>
      </w:pPr>
      <w:rPr>
        <w:rFonts w:hint="default"/>
      </w:rPr>
    </w:lvl>
    <w:lvl w:ilvl="1">
      <w:start w:val="4"/>
      <w:numFmt w:val="decimal"/>
      <w:lvlText w:val="%2."/>
      <w:lvlJc w:val="left"/>
      <w:pPr>
        <w:ind w:left="720" w:hanging="360"/>
      </w:pPr>
      <w:rPr>
        <w:rFonts w:hint="default"/>
        <w:b/>
      </w:rPr>
    </w:lvl>
    <w:lvl w:ilvl="2">
      <w:start w:val="1"/>
      <w:numFmt w:val="lowerRoman"/>
      <w:lvlText w:val="%3."/>
      <w:lvlJc w:val="righ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7" w15:restartNumberingAfterBreak="0">
    <w:nsid w:val="55810DBE"/>
    <w:multiLevelType w:val="multilevel"/>
    <w:tmpl w:val="9094E9CE"/>
    <w:numStyleLink w:val="Protocol"/>
  </w:abstractNum>
  <w:abstractNum w:abstractNumId="68" w15:restartNumberingAfterBreak="0">
    <w:nsid w:val="55880D7C"/>
    <w:multiLevelType w:val="hybridMultilevel"/>
    <w:tmpl w:val="1E667B1C"/>
    <w:lvl w:ilvl="0" w:tplc="04090001">
      <w:start w:val="1"/>
      <w:numFmt w:val="bullet"/>
      <w:lvlText w:val=""/>
      <w:lvlJc w:val="left"/>
      <w:pPr>
        <w:ind w:left="1008" w:hanging="360"/>
      </w:pPr>
      <w:rPr>
        <w:rFonts w:ascii="Symbol" w:hAnsi="Symbol" w:hint="default"/>
      </w:rPr>
    </w:lvl>
    <w:lvl w:ilvl="1" w:tplc="04090003">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69" w15:restartNumberingAfterBreak="0">
    <w:nsid w:val="55F861DD"/>
    <w:multiLevelType w:val="hybridMultilevel"/>
    <w:tmpl w:val="62328D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0" w15:restartNumberingAfterBreak="0">
    <w:nsid w:val="56077F8A"/>
    <w:multiLevelType w:val="multilevel"/>
    <w:tmpl w:val="28DAA0D2"/>
    <w:lvl w:ilvl="0">
      <w:start w:val="4"/>
      <w:numFmt w:val="upperRoman"/>
      <w:lvlText w:val="%1."/>
      <w:lvlJc w:val="left"/>
      <w:pPr>
        <w:ind w:left="360" w:hanging="360"/>
      </w:pPr>
      <w:rPr>
        <w:rFonts w:hint="default"/>
      </w:rPr>
    </w:lvl>
    <w:lvl w:ilvl="1">
      <w:start w:val="1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1" w15:restartNumberingAfterBreak="0">
    <w:nsid w:val="587708C6"/>
    <w:multiLevelType w:val="hybridMultilevel"/>
    <w:tmpl w:val="A3986B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2" w15:restartNumberingAfterBreak="0">
    <w:nsid w:val="5B5767B0"/>
    <w:multiLevelType w:val="multilevel"/>
    <w:tmpl w:val="78DC07DC"/>
    <w:lvl w:ilvl="0">
      <w:start w:val="3"/>
      <w:numFmt w:val="upperRoman"/>
      <w:lvlText w:val="%1."/>
      <w:lvlJc w:val="left"/>
      <w:pPr>
        <w:ind w:left="360" w:hanging="360"/>
      </w:pPr>
      <w:rPr>
        <w:rFonts w:hint="default"/>
      </w:rPr>
    </w:lvl>
    <w:lvl w:ilvl="1">
      <w:start w:val="4"/>
      <w:numFmt w:val="decimal"/>
      <w:lvlText w:val="%2."/>
      <w:lvlJc w:val="left"/>
      <w:pPr>
        <w:ind w:left="720" w:hanging="360"/>
      </w:pPr>
      <w:rPr>
        <w:rFonts w:hint="default"/>
        <w:b/>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3" w15:restartNumberingAfterBreak="0">
    <w:nsid w:val="5D6A6FB8"/>
    <w:multiLevelType w:val="multilevel"/>
    <w:tmpl w:val="E146DAAE"/>
    <w:lvl w:ilvl="0">
      <w:start w:val="7"/>
      <w:numFmt w:val="upperRoman"/>
      <w:lvlText w:val="%1."/>
      <w:lvlJc w:val="left"/>
      <w:pPr>
        <w:ind w:left="360" w:hanging="360"/>
      </w:pPr>
      <w:rPr>
        <w:rFonts w:hint="default"/>
      </w:rPr>
    </w:lvl>
    <w:lvl w:ilvl="1">
      <w:start w:val="17"/>
      <w:numFmt w:val="decimal"/>
      <w:lvlText w:val="%2."/>
      <w:lvlJc w:val="left"/>
      <w:pPr>
        <w:ind w:left="720" w:hanging="360"/>
      </w:pPr>
      <w:rPr>
        <w:rFonts w:hint="default"/>
        <w:b/>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4" w15:restartNumberingAfterBreak="0">
    <w:nsid w:val="5D9035E2"/>
    <w:multiLevelType w:val="multilevel"/>
    <w:tmpl w:val="3FB68C88"/>
    <w:lvl w:ilvl="0">
      <w:start w:val="3"/>
      <w:numFmt w:val="upperRoman"/>
      <w:lvlText w:val="%1."/>
      <w:lvlJc w:val="left"/>
      <w:pPr>
        <w:ind w:left="360" w:hanging="360"/>
      </w:pPr>
      <w:rPr>
        <w:rFonts w:hint="default"/>
      </w:rPr>
    </w:lvl>
    <w:lvl w:ilvl="1">
      <w:start w:val="6"/>
      <w:numFmt w:val="decimal"/>
      <w:lvlText w:val="%2."/>
      <w:lvlJc w:val="left"/>
      <w:pPr>
        <w:ind w:left="720" w:hanging="360"/>
      </w:pPr>
      <w:rPr>
        <w:rFonts w:hint="default"/>
        <w:b/>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5" w15:restartNumberingAfterBreak="0">
    <w:nsid w:val="604E66F3"/>
    <w:multiLevelType w:val="multilevel"/>
    <w:tmpl w:val="E09C5F2E"/>
    <w:lvl w:ilvl="0">
      <w:start w:val="6"/>
      <w:numFmt w:val="upperRoman"/>
      <w:lvlText w:val="%1."/>
      <w:lvlJc w:val="left"/>
      <w:pPr>
        <w:ind w:left="360" w:hanging="360"/>
      </w:pPr>
      <w:rPr>
        <w:rFonts w:hint="default"/>
      </w:rPr>
    </w:lvl>
    <w:lvl w:ilvl="1">
      <w:start w:val="18"/>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6" w15:restartNumberingAfterBreak="0">
    <w:nsid w:val="617A5769"/>
    <w:multiLevelType w:val="hybridMultilevel"/>
    <w:tmpl w:val="2D322362"/>
    <w:lvl w:ilvl="0" w:tplc="A5203FD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7" w15:restartNumberingAfterBreak="0">
    <w:nsid w:val="62C61746"/>
    <w:multiLevelType w:val="hybridMultilevel"/>
    <w:tmpl w:val="1108A402"/>
    <w:lvl w:ilvl="0" w:tplc="6862E110">
      <w:start w:val="1"/>
      <w:numFmt w:val="bullet"/>
      <w:lvlText w:val="•"/>
      <w:lvlJc w:val="left"/>
      <w:pPr>
        <w:tabs>
          <w:tab w:val="num" w:pos="720"/>
        </w:tabs>
        <w:ind w:left="720" w:hanging="360"/>
      </w:pPr>
      <w:rPr>
        <w:rFonts w:ascii="Arial" w:hAnsi="Arial" w:hint="default"/>
      </w:rPr>
    </w:lvl>
    <w:lvl w:ilvl="1" w:tplc="E268553E">
      <w:numFmt w:val="bullet"/>
      <w:lvlText w:val="•"/>
      <w:lvlJc w:val="left"/>
      <w:pPr>
        <w:tabs>
          <w:tab w:val="num" w:pos="1440"/>
        </w:tabs>
        <w:ind w:left="1440" w:hanging="360"/>
      </w:pPr>
      <w:rPr>
        <w:rFonts w:ascii="Arial" w:hAnsi="Arial" w:hint="default"/>
      </w:rPr>
    </w:lvl>
    <w:lvl w:ilvl="2" w:tplc="B36E3A60" w:tentative="1">
      <w:start w:val="1"/>
      <w:numFmt w:val="bullet"/>
      <w:lvlText w:val="•"/>
      <w:lvlJc w:val="left"/>
      <w:pPr>
        <w:tabs>
          <w:tab w:val="num" w:pos="2160"/>
        </w:tabs>
        <w:ind w:left="2160" w:hanging="360"/>
      </w:pPr>
      <w:rPr>
        <w:rFonts w:ascii="Arial" w:hAnsi="Arial" w:hint="default"/>
      </w:rPr>
    </w:lvl>
    <w:lvl w:ilvl="3" w:tplc="D5B2AB82" w:tentative="1">
      <w:start w:val="1"/>
      <w:numFmt w:val="bullet"/>
      <w:lvlText w:val="•"/>
      <w:lvlJc w:val="left"/>
      <w:pPr>
        <w:tabs>
          <w:tab w:val="num" w:pos="2880"/>
        </w:tabs>
        <w:ind w:left="2880" w:hanging="360"/>
      </w:pPr>
      <w:rPr>
        <w:rFonts w:ascii="Arial" w:hAnsi="Arial" w:hint="default"/>
      </w:rPr>
    </w:lvl>
    <w:lvl w:ilvl="4" w:tplc="1FDC941E" w:tentative="1">
      <w:start w:val="1"/>
      <w:numFmt w:val="bullet"/>
      <w:lvlText w:val="•"/>
      <w:lvlJc w:val="left"/>
      <w:pPr>
        <w:tabs>
          <w:tab w:val="num" w:pos="3600"/>
        </w:tabs>
        <w:ind w:left="3600" w:hanging="360"/>
      </w:pPr>
      <w:rPr>
        <w:rFonts w:ascii="Arial" w:hAnsi="Arial" w:hint="default"/>
      </w:rPr>
    </w:lvl>
    <w:lvl w:ilvl="5" w:tplc="D45E9DD8" w:tentative="1">
      <w:start w:val="1"/>
      <w:numFmt w:val="bullet"/>
      <w:lvlText w:val="•"/>
      <w:lvlJc w:val="left"/>
      <w:pPr>
        <w:tabs>
          <w:tab w:val="num" w:pos="4320"/>
        </w:tabs>
        <w:ind w:left="4320" w:hanging="360"/>
      </w:pPr>
      <w:rPr>
        <w:rFonts w:ascii="Arial" w:hAnsi="Arial" w:hint="default"/>
      </w:rPr>
    </w:lvl>
    <w:lvl w:ilvl="6" w:tplc="F21CC562" w:tentative="1">
      <w:start w:val="1"/>
      <w:numFmt w:val="bullet"/>
      <w:lvlText w:val="•"/>
      <w:lvlJc w:val="left"/>
      <w:pPr>
        <w:tabs>
          <w:tab w:val="num" w:pos="5040"/>
        </w:tabs>
        <w:ind w:left="5040" w:hanging="360"/>
      </w:pPr>
      <w:rPr>
        <w:rFonts w:ascii="Arial" w:hAnsi="Arial" w:hint="default"/>
      </w:rPr>
    </w:lvl>
    <w:lvl w:ilvl="7" w:tplc="EBEC5588" w:tentative="1">
      <w:start w:val="1"/>
      <w:numFmt w:val="bullet"/>
      <w:lvlText w:val="•"/>
      <w:lvlJc w:val="left"/>
      <w:pPr>
        <w:tabs>
          <w:tab w:val="num" w:pos="5760"/>
        </w:tabs>
        <w:ind w:left="5760" w:hanging="360"/>
      </w:pPr>
      <w:rPr>
        <w:rFonts w:ascii="Arial" w:hAnsi="Arial" w:hint="default"/>
      </w:rPr>
    </w:lvl>
    <w:lvl w:ilvl="8" w:tplc="A362582A" w:tentative="1">
      <w:start w:val="1"/>
      <w:numFmt w:val="bullet"/>
      <w:lvlText w:val="•"/>
      <w:lvlJc w:val="left"/>
      <w:pPr>
        <w:tabs>
          <w:tab w:val="num" w:pos="6480"/>
        </w:tabs>
        <w:ind w:left="6480" w:hanging="360"/>
      </w:pPr>
      <w:rPr>
        <w:rFonts w:ascii="Arial" w:hAnsi="Arial" w:hint="default"/>
      </w:rPr>
    </w:lvl>
  </w:abstractNum>
  <w:abstractNum w:abstractNumId="78" w15:restartNumberingAfterBreak="0">
    <w:nsid w:val="62EA7E37"/>
    <w:multiLevelType w:val="hybridMultilevel"/>
    <w:tmpl w:val="AA46E088"/>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79" w15:restartNumberingAfterBreak="0">
    <w:nsid w:val="63E232CE"/>
    <w:multiLevelType w:val="hybridMultilevel"/>
    <w:tmpl w:val="AC8848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0" w15:restartNumberingAfterBreak="0">
    <w:nsid w:val="65AD767E"/>
    <w:multiLevelType w:val="hybridMultilevel"/>
    <w:tmpl w:val="4630F1B4"/>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1" w15:restartNumberingAfterBreak="0">
    <w:nsid w:val="67A458B8"/>
    <w:multiLevelType w:val="multilevel"/>
    <w:tmpl w:val="8858199A"/>
    <w:lvl w:ilvl="0">
      <w:start w:val="2"/>
      <w:numFmt w:val="upperRoman"/>
      <w:lvlText w:val="%1."/>
      <w:lvlJc w:val="left"/>
      <w:pPr>
        <w:ind w:left="360" w:hanging="360"/>
      </w:pPr>
      <w:rPr>
        <w:rFonts w:hint="default"/>
      </w:rPr>
    </w:lvl>
    <w:lvl w:ilvl="1">
      <w:start w:val="4"/>
      <w:numFmt w:val="decimal"/>
      <w:lvlText w:val="%2."/>
      <w:lvlJc w:val="left"/>
      <w:pPr>
        <w:ind w:left="720" w:hanging="360"/>
      </w:pPr>
      <w:rPr>
        <w:rFonts w:hint="default"/>
        <w:b/>
      </w:rPr>
    </w:lvl>
    <w:lvl w:ilvl="2">
      <w:start w:val="2"/>
      <w:numFmt w:val="lowerLetter"/>
      <w:lvlText w:val="%3."/>
      <w:lvlJc w:val="left"/>
      <w:pPr>
        <w:ind w:left="1080" w:hanging="360"/>
      </w:pPr>
      <w:rPr>
        <w:rFonts w:hint="default"/>
        <w:b w:val="0"/>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2" w15:restartNumberingAfterBreak="0">
    <w:nsid w:val="67A73057"/>
    <w:multiLevelType w:val="hybridMultilevel"/>
    <w:tmpl w:val="4C4690BE"/>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3" w15:restartNumberingAfterBreak="0">
    <w:nsid w:val="681C430B"/>
    <w:multiLevelType w:val="hybridMultilevel"/>
    <w:tmpl w:val="9FF400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4" w15:restartNumberingAfterBreak="0">
    <w:nsid w:val="69A95107"/>
    <w:multiLevelType w:val="hybridMultilevel"/>
    <w:tmpl w:val="915635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5" w15:restartNumberingAfterBreak="0">
    <w:nsid w:val="69C0477A"/>
    <w:multiLevelType w:val="multilevel"/>
    <w:tmpl w:val="0B120F64"/>
    <w:lvl w:ilvl="0">
      <w:start w:val="2"/>
      <w:numFmt w:val="upperRoman"/>
      <w:lvlText w:val="%1."/>
      <w:lvlJc w:val="left"/>
      <w:pPr>
        <w:ind w:left="360" w:hanging="360"/>
      </w:pPr>
      <w:rPr>
        <w:rFonts w:hint="default"/>
      </w:rPr>
    </w:lvl>
    <w:lvl w:ilvl="1">
      <w:start w:val="4"/>
      <w:numFmt w:val="decimal"/>
      <w:lvlText w:val="%2."/>
      <w:lvlJc w:val="left"/>
      <w:pPr>
        <w:ind w:left="720" w:hanging="360"/>
      </w:pPr>
      <w:rPr>
        <w:rFonts w:hint="default"/>
        <w:b/>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6" w15:restartNumberingAfterBreak="0">
    <w:nsid w:val="6A6D1EBC"/>
    <w:multiLevelType w:val="multilevel"/>
    <w:tmpl w:val="78DC07DC"/>
    <w:lvl w:ilvl="0">
      <w:start w:val="3"/>
      <w:numFmt w:val="upperRoman"/>
      <w:lvlText w:val="%1."/>
      <w:lvlJc w:val="left"/>
      <w:pPr>
        <w:ind w:left="360" w:hanging="360"/>
      </w:pPr>
      <w:rPr>
        <w:rFonts w:hint="default"/>
      </w:rPr>
    </w:lvl>
    <w:lvl w:ilvl="1">
      <w:start w:val="4"/>
      <w:numFmt w:val="decimal"/>
      <w:lvlText w:val="%2."/>
      <w:lvlJc w:val="left"/>
      <w:pPr>
        <w:ind w:left="720" w:hanging="360"/>
      </w:pPr>
      <w:rPr>
        <w:rFonts w:hint="default"/>
        <w:b/>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7" w15:restartNumberingAfterBreak="0">
    <w:nsid w:val="6D4E06DE"/>
    <w:multiLevelType w:val="hybridMultilevel"/>
    <w:tmpl w:val="4A16C050"/>
    <w:lvl w:ilvl="0" w:tplc="04090001">
      <w:start w:val="1"/>
      <w:numFmt w:val="bullet"/>
      <w:lvlText w:val=""/>
      <w:lvlJc w:val="left"/>
      <w:pPr>
        <w:ind w:left="1008" w:hanging="360"/>
      </w:pPr>
      <w:rPr>
        <w:rFonts w:ascii="Symbol" w:hAnsi="Symbol" w:hint="default"/>
      </w:rPr>
    </w:lvl>
    <w:lvl w:ilvl="1" w:tplc="04090003">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88" w15:restartNumberingAfterBreak="0">
    <w:nsid w:val="6DEB24D5"/>
    <w:multiLevelType w:val="hybridMultilevel"/>
    <w:tmpl w:val="76C017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9" w15:restartNumberingAfterBreak="0">
    <w:nsid w:val="6EBB471A"/>
    <w:multiLevelType w:val="multilevel"/>
    <w:tmpl w:val="1970608A"/>
    <w:lvl w:ilvl="0">
      <w:start w:val="10"/>
      <w:numFmt w:val="upperRoman"/>
      <w:lvlText w:val="%1."/>
      <w:lvlJc w:val="left"/>
      <w:pPr>
        <w:ind w:left="360" w:hanging="360"/>
      </w:pPr>
      <w:rPr>
        <w:rFonts w:hint="default"/>
      </w:rPr>
    </w:lvl>
    <w:lvl w:ilvl="1">
      <w:start w:val="18"/>
      <w:numFmt w:val="decimal"/>
      <w:lvlText w:val="%2."/>
      <w:lvlJc w:val="left"/>
      <w:pPr>
        <w:ind w:left="720" w:hanging="360"/>
      </w:pPr>
      <w:rPr>
        <w:rFonts w:hint="default"/>
        <w:b/>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0" w15:restartNumberingAfterBreak="0">
    <w:nsid w:val="70AD5FE0"/>
    <w:multiLevelType w:val="multilevel"/>
    <w:tmpl w:val="877417F2"/>
    <w:lvl w:ilvl="0">
      <w:start w:val="4"/>
      <w:numFmt w:val="upperRoman"/>
      <w:lvlText w:val="%1."/>
      <w:lvlJc w:val="left"/>
      <w:pPr>
        <w:ind w:left="360" w:hanging="360"/>
      </w:pPr>
      <w:rPr>
        <w:rFonts w:hint="default"/>
      </w:rPr>
    </w:lvl>
    <w:lvl w:ilvl="1">
      <w:start w:val="9"/>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1" w15:restartNumberingAfterBreak="0">
    <w:nsid w:val="756D1C8E"/>
    <w:multiLevelType w:val="hybridMultilevel"/>
    <w:tmpl w:val="701E904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CA1050CC">
      <w:numFmt w:val="bullet"/>
      <w:lvlText w:val="-"/>
      <w:lvlJc w:val="left"/>
      <w:pPr>
        <w:ind w:left="2160" w:hanging="360"/>
      </w:pPr>
      <w:rPr>
        <w:rFonts w:ascii="Times New Roman" w:eastAsia="MS Mincho"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76237C1F"/>
    <w:multiLevelType w:val="hybridMultilevel"/>
    <w:tmpl w:val="54223326"/>
    <w:lvl w:ilvl="0" w:tplc="E2EAC73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3" w15:restartNumberingAfterBreak="0">
    <w:nsid w:val="76D059B4"/>
    <w:multiLevelType w:val="multilevel"/>
    <w:tmpl w:val="E146DAAE"/>
    <w:lvl w:ilvl="0">
      <w:start w:val="7"/>
      <w:numFmt w:val="upperRoman"/>
      <w:lvlText w:val="%1."/>
      <w:lvlJc w:val="left"/>
      <w:pPr>
        <w:ind w:left="360" w:hanging="360"/>
      </w:pPr>
      <w:rPr>
        <w:rFonts w:hint="default"/>
      </w:rPr>
    </w:lvl>
    <w:lvl w:ilvl="1">
      <w:start w:val="17"/>
      <w:numFmt w:val="decimal"/>
      <w:lvlText w:val="%2."/>
      <w:lvlJc w:val="left"/>
      <w:pPr>
        <w:ind w:left="720" w:hanging="360"/>
      </w:pPr>
      <w:rPr>
        <w:rFonts w:hint="default"/>
        <w:b/>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4" w15:restartNumberingAfterBreak="0">
    <w:nsid w:val="76D356DC"/>
    <w:multiLevelType w:val="multilevel"/>
    <w:tmpl w:val="ED4E46C4"/>
    <w:lvl w:ilvl="0">
      <w:start w:val="7"/>
      <w:numFmt w:val="upperRoman"/>
      <w:lvlText w:val="%1."/>
      <w:lvlJc w:val="left"/>
      <w:pPr>
        <w:ind w:left="360" w:hanging="360"/>
      </w:pPr>
      <w:rPr>
        <w:rFonts w:hint="default"/>
      </w:rPr>
    </w:lvl>
    <w:lvl w:ilvl="1">
      <w:start w:val="18"/>
      <w:numFmt w:val="decimal"/>
      <w:lvlText w:val="%2."/>
      <w:lvlJc w:val="left"/>
      <w:pPr>
        <w:ind w:left="720" w:hanging="360"/>
      </w:pPr>
      <w:rPr>
        <w:rFonts w:hint="default"/>
        <w:b/>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5" w15:restartNumberingAfterBreak="0">
    <w:nsid w:val="76E63595"/>
    <w:multiLevelType w:val="hybridMultilevel"/>
    <w:tmpl w:val="054C71CC"/>
    <w:lvl w:ilvl="0" w:tplc="5BC04344">
      <w:start w:val="2"/>
      <w:numFmt w:val="decimal"/>
      <w:lvlText w:val="%1."/>
      <w:lvlJc w:val="left"/>
      <w:pPr>
        <w:tabs>
          <w:tab w:val="num" w:pos="360"/>
        </w:tabs>
        <w:ind w:left="360" w:hanging="360"/>
      </w:pPr>
      <w:rPr>
        <w:rFonts w:hint="default"/>
      </w:rPr>
    </w:lvl>
    <w:lvl w:ilvl="1" w:tplc="A0242A3A" w:tentative="1">
      <w:start w:val="1"/>
      <w:numFmt w:val="bullet"/>
      <w:lvlText w:val="•"/>
      <w:lvlJc w:val="left"/>
      <w:pPr>
        <w:tabs>
          <w:tab w:val="num" w:pos="1080"/>
        </w:tabs>
        <w:ind w:left="1080" w:hanging="360"/>
      </w:pPr>
      <w:rPr>
        <w:rFonts w:ascii="Arial" w:hAnsi="Arial" w:hint="default"/>
      </w:rPr>
    </w:lvl>
    <w:lvl w:ilvl="2" w:tplc="5FB2C2E2" w:tentative="1">
      <w:start w:val="1"/>
      <w:numFmt w:val="bullet"/>
      <w:lvlText w:val="•"/>
      <w:lvlJc w:val="left"/>
      <w:pPr>
        <w:tabs>
          <w:tab w:val="num" w:pos="1800"/>
        </w:tabs>
        <w:ind w:left="1800" w:hanging="360"/>
      </w:pPr>
      <w:rPr>
        <w:rFonts w:ascii="Arial" w:hAnsi="Arial" w:hint="default"/>
      </w:rPr>
    </w:lvl>
    <w:lvl w:ilvl="3" w:tplc="DE8080FE" w:tentative="1">
      <w:start w:val="1"/>
      <w:numFmt w:val="bullet"/>
      <w:lvlText w:val="•"/>
      <w:lvlJc w:val="left"/>
      <w:pPr>
        <w:tabs>
          <w:tab w:val="num" w:pos="2520"/>
        </w:tabs>
        <w:ind w:left="2520" w:hanging="360"/>
      </w:pPr>
      <w:rPr>
        <w:rFonts w:ascii="Arial" w:hAnsi="Arial" w:hint="default"/>
      </w:rPr>
    </w:lvl>
    <w:lvl w:ilvl="4" w:tplc="201C2D9E" w:tentative="1">
      <w:start w:val="1"/>
      <w:numFmt w:val="bullet"/>
      <w:lvlText w:val="•"/>
      <w:lvlJc w:val="left"/>
      <w:pPr>
        <w:tabs>
          <w:tab w:val="num" w:pos="3240"/>
        </w:tabs>
        <w:ind w:left="3240" w:hanging="360"/>
      </w:pPr>
      <w:rPr>
        <w:rFonts w:ascii="Arial" w:hAnsi="Arial" w:hint="default"/>
      </w:rPr>
    </w:lvl>
    <w:lvl w:ilvl="5" w:tplc="62221910" w:tentative="1">
      <w:start w:val="1"/>
      <w:numFmt w:val="bullet"/>
      <w:lvlText w:val="•"/>
      <w:lvlJc w:val="left"/>
      <w:pPr>
        <w:tabs>
          <w:tab w:val="num" w:pos="3960"/>
        </w:tabs>
        <w:ind w:left="3960" w:hanging="360"/>
      </w:pPr>
      <w:rPr>
        <w:rFonts w:ascii="Arial" w:hAnsi="Arial" w:hint="default"/>
      </w:rPr>
    </w:lvl>
    <w:lvl w:ilvl="6" w:tplc="E2C40D2A" w:tentative="1">
      <w:start w:val="1"/>
      <w:numFmt w:val="bullet"/>
      <w:lvlText w:val="•"/>
      <w:lvlJc w:val="left"/>
      <w:pPr>
        <w:tabs>
          <w:tab w:val="num" w:pos="4680"/>
        </w:tabs>
        <w:ind w:left="4680" w:hanging="360"/>
      </w:pPr>
      <w:rPr>
        <w:rFonts w:ascii="Arial" w:hAnsi="Arial" w:hint="default"/>
      </w:rPr>
    </w:lvl>
    <w:lvl w:ilvl="7" w:tplc="81586C06" w:tentative="1">
      <w:start w:val="1"/>
      <w:numFmt w:val="bullet"/>
      <w:lvlText w:val="•"/>
      <w:lvlJc w:val="left"/>
      <w:pPr>
        <w:tabs>
          <w:tab w:val="num" w:pos="5400"/>
        </w:tabs>
        <w:ind w:left="5400" w:hanging="360"/>
      </w:pPr>
      <w:rPr>
        <w:rFonts w:ascii="Arial" w:hAnsi="Arial" w:hint="default"/>
      </w:rPr>
    </w:lvl>
    <w:lvl w:ilvl="8" w:tplc="95820780" w:tentative="1">
      <w:start w:val="1"/>
      <w:numFmt w:val="bullet"/>
      <w:lvlText w:val="•"/>
      <w:lvlJc w:val="left"/>
      <w:pPr>
        <w:tabs>
          <w:tab w:val="num" w:pos="6120"/>
        </w:tabs>
        <w:ind w:left="6120" w:hanging="360"/>
      </w:pPr>
      <w:rPr>
        <w:rFonts w:ascii="Arial" w:hAnsi="Arial" w:hint="default"/>
      </w:rPr>
    </w:lvl>
  </w:abstractNum>
  <w:abstractNum w:abstractNumId="96" w15:restartNumberingAfterBreak="0">
    <w:nsid w:val="79EF2528"/>
    <w:multiLevelType w:val="hybridMultilevel"/>
    <w:tmpl w:val="3B768B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7" w15:restartNumberingAfterBreak="0">
    <w:nsid w:val="7B2C17BA"/>
    <w:multiLevelType w:val="hybridMultilevel"/>
    <w:tmpl w:val="C56434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8" w15:restartNumberingAfterBreak="0">
    <w:nsid w:val="7C4252CD"/>
    <w:multiLevelType w:val="multilevel"/>
    <w:tmpl w:val="54800584"/>
    <w:lvl w:ilvl="0">
      <w:start w:val="6"/>
      <w:numFmt w:val="upperRoman"/>
      <w:lvlText w:val="%1."/>
      <w:lvlJc w:val="left"/>
      <w:pPr>
        <w:ind w:left="360" w:hanging="360"/>
      </w:pPr>
      <w:rPr>
        <w:rFonts w:hint="default"/>
      </w:rPr>
    </w:lvl>
    <w:lvl w:ilvl="1">
      <w:start w:val="17"/>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9" w15:restartNumberingAfterBreak="0">
    <w:nsid w:val="7C5237D2"/>
    <w:multiLevelType w:val="multilevel"/>
    <w:tmpl w:val="344A6D60"/>
    <w:lvl w:ilvl="0">
      <w:start w:val="2"/>
      <w:numFmt w:val="upperRoman"/>
      <w:lvlText w:val="%1."/>
      <w:lvlJc w:val="left"/>
      <w:pPr>
        <w:ind w:left="360" w:hanging="360"/>
      </w:pPr>
      <w:rPr>
        <w:rFonts w:hint="default"/>
      </w:rPr>
    </w:lvl>
    <w:lvl w:ilvl="1">
      <w:start w:val="12"/>
      <w:numFmt w:val="decimal"/>
      <w:lvlText w:val="%2."/>
      <w:lvlJc w:val="left"/>
      <w:pPr>
        <w:ind w:left="720" w:hanging="360"/>
      </w:pPr>
      <w:rPr>
        <w:rFonts w:hint="default"/>
        <w:b/>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0" w15:restartNumberingAfterBreak="0">
    <w:nsid w:val="7D591B02"/>
    <w:multiLevelType w:val="hybridMultilevel"/>
    <w:tmpl w:val="873465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2"/>
  </w:num>
  <w:num w:numId="2">
    <w:abstractNumId w:val="0"/>
  </w:num>
  <w:num w:numId="3">
    <w:abstractNumId w:val="60"/>
  </w:num>
  <w:num w:numId="4">
    <w:abstractNumId w:val="41"/>
  </w:num>
  <w:num w:numId="5">
    <w:abstractNumId w:val="76"/>
  </w:num>
  <w:num w:numId="6">
    <w:abstractNumId w:val="8"/>
  </w:num>
  <w:num w:numId="7">
    <w:abstractNumId w:val="18"/>
  </w:num>
  <w:num w:numId="8">
    <w:abstractNumId w:val="16"/>
    <w:lvlOverride w:ilvl="0">
      <w:lvl w:ilvl="0">
        <w:numFmt w:val="decimal"/>
        <w:lvlText w:val=""/>
        <w:lvlJc w:val="left"/>
      </w:lvl>
    </w:lvlOverride>
    <w:lvlOverride w:ilvl="1">
      <w:lvl w:ilvl="1">
        <w:start w:val="1"/>
        <w:numFmt w:val="decimal"/>
        <w:lvlText w:val="%2."/>
        <w:lvlJc w:val="left"/>
        <w:pPr>
          <w:ind w:left="720" w:hanging="360"/>
        </w:pPr>
        <w:rPr>
          <w:rFonts w:hint="default"/>
          <w:b/>
        </w:rPr>
      </w:lvl>
    </w:lvlOverride>
  </w:num>
  <w:num w:numId="9">
    <w:abstractNumId w:val="49"/>
  </w:num>
  <w:num w:numId="10">
    <w:abstractNumId w:val="36"/>
  </w:num>
  <w:num w:numId="11">
    <w:abstractNumId w:val="70"/>
  </w:num>
  <w:num w:numId="12">
    <w:abstractNumId w:val="99"/>
  </w:num>
  <w:num w:numId="13">
    <w:abstractNumId w:val="34"/>
  </w:num>
  <w:num w:numId="14">
    <w:abstractNumId w:val="73"/>
  </w:num>
  <w:num w:numId="15">
    <w:abstractNumId w:val="98"/>
  </w:num>
  <w:num w:numId="16">
    <w:abstractNumId w:val="26"/>
  </w:num>
  <w:num w:numId="17">
    <w:abstractNumId w:val="89"/>
  </w:num>
  <w:num w:numId="18">
    <w:abstractNumId w:val="72"/>
  </w:num>
  <w:num w:numId="19">
    <w:abstractNumId w:val="90"/>
  </w:num>
  <w:num w:numId="20">
    <w:abstractNumId w:val="19"/>
  </w:num>
  <w:num w:numId="21">
    <w:abstractNumId w:val="75"/>
  </w:num>
  <w:num w:numId="22">
    <w:abstractNumId w:val="29"/>
  </w:num>
  <w:num w:numId="23">
    <w:abstractNumId w:val="4"/>
  </w:num>
  <w:num w:numId="24">
    <w:abstractNumId w:val="93"/>
  </w:num>
  <w:num w:numId="25">
    <w:abstractNumId w:val="7"/>
  </w:num>
  <w:num w:numId="26">
    <w:abstractNumId w:val="66"/>
  </w:num>
  <w:num w:numId="27">
    <w:abstractNumId w:val="22"/>
  </w:num>
  <w:num w:numId="28">
    <w:abstractNumId w:val="64"/>
  </w:num>
  <w:num w:numId="29">
    <w:abstractNumId w:val="35"/>
  </w:num>
  <w:num w:numId="30">
    <w:abstractNumId w:val="94"/>
  </w:num>
  <w:num w:numId="31">
    <w:abstractNumId w:val="56"/>
  </w:num>
  <w:num w:numId="32">
    <w:abstractNumId w:val="51"/>
  </w:num>
  <w:num w:numId="33">
    <w:abstractNumId w:val="67"/>
  </w:num>
  <w:num w:numId="34">
    <w:abstractNumId w:val="86"/>
  </w:num>
  <w:num w:numId="35">
    <w:abstractNumId w:val="85"/>
  </w:num>
  <w:num w:numId="36">
    <w:abstractNumId w:val="6"/>
  </w:num>
  <w:num w:numId="37">
    <w:abstractNumId w:val="31"/>
  </w:num>
  <w:num w:numId="38">
    <w:abstractNumId w:val="57"/>
  </w:num>
  <w:num w:numId="39">
    <w:abstractNumId w:val="74"/>
  </w:num>
  <w:num w:numId="40">
    <w:abstractNumId w:val="46"/>
  </w:num>
  <w:num w:numId="41">
    <w:abstractNumId w:val="83"/>
  </w:num>
  <w:num w:numId="42">
    <w:abstractNumId w:val="50"/>
  </w:num>
  <w:num w:numId="43">
    <w:abstractNumId w:val="45"/>
  </w:num>
  <w:num w:numId="44">
    <w:abstractNumId w:val="12"/>
  </w:num>
  <w:num w:numId="45">
    <w:abstractNumId w:val="23"/>
  </w:num>
  <w:num w:numId="46">
    <w:abstractNumId w:val="39"/>
  </w:num>
  <w:num w:numId="47">
    <w:abstractNumId w:val="96"/>
  </w:num>
  <w:num w:numId="48">
    <w:abstractNumId w:val="47"/>
  </w:num>
  <w:num w:numId="49">
    <w:abstractNumId w:val="28"/>
  </w:num>
  <w:num w:numId="50">
    <w:abstractNumId w:val="53"/>
  </w:num>
  <w:num w:numId="51">
    <w:abstractNumId w:val="95"/>
  </w:num>
  <w:num w:numId="52">
    <w:abstractNumId w:val="20"/>
  </w:num>
  <w:num w:numId="53">
    <w:abstractNumId w:val="14"/>
  </w:num>
  <w:num w:numId="5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6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3"/>
  </w:num>
  <w:num w:numId="58">
    <w:abstractNumId w:val="63"/>
  </w:num>
  <w:num w:numId="59">
    <w:abstractNumId w:val="52"/>
  </w:num>
  <w:num w:numId="60">
    <w:abstractNumId w:val="68"/>
  </w:num>
  <w:num w:numId="61">
    <w:abstractNumId w:val="33"/>
  </w:num>
  <w:num w:numId="62">
    <w:abstractNumId w:val="62"/>
  </w:num>
  <w:num w:numId="63">
    <w:abstractNumId w:val="97"/>
  </w:num>
  <w:num w:numId="64">
    <w:abstractNumId w:val="78"/>
  </w:num>
  <w:num w:numId="65">
    <w:abstractNumId w:val="48"/>
  </w:num>
  <w:num w:numId="66">
    <w:abstractNumId w:val="27"/>
  </w:num>
  <w:num w:numId="67">
    <w:abstractNumId w:val="44"/>
  </w:num>
  <w:num w:numId="68">
    <w:abstractNumId w:val="30"/>
  </w:num>
  <w:num w:numId="69">
    <w:abstractNumId w:val="91"/>
  </w:num>
  <w:num w:numId="70">
    <w:abstractNumId w:val="61"/>
  </w:num>
  <w:num w:numId="71">
    <w:abstractNumId w:val="58"/>
  </w:num>
  <w:num w:numId="72">
    <w:abstractNumId w:val="43"/>
  </w:num>
  <w:num w:numId="73">
    <w:abstractNumId w:val="40"/>
  </w:num>
  <w:num w:numId="74">
    <w:abstractNumId w:val="24"/>
  </w:num>
  <w:num w:numId="75">
    <w:abstractNumId w:val="77"/>
  </w:num>
  <w:num w:numId="76">
    <w:abstractNumId w:val="42"/>
  </w:num>
  <w:num w:numId="77">
    <w:abstractNumId w:val="71"/>
  </w:num>
  <w:num w:numId="78">
    <w:abstractNumId w:val="79"/>
  </w:num>
  <w:num w:numId="79">
    <w:abstractNumId w:val="1"/>
  </w:num>
  <w:num w:numId="80">
    <w:abstractNumId w:val="88"/>
  </w:num>
  <w:num w:numId="81">
    <w:abstractNumId w:val="15"/>
  </w:num>
  <w:num w:numId="82">
    <w:abstractNumId w:val="82"/>
  </w:num>
  <w:num w:numId="83">
    <w:abstractNumId w:val="25"/>
  </w:num>
  <w:num w:numId="84">
    <w:abstractNumId w:val="5"/>
  </w:num>
  <w:num w:numId="85">
    <w:abstractNumId w:val="84"/>
  </w:num>
  <w:num w:numId="86">
    <w:abstractNumId w:val="3"/>
  </w:num>
  <w:num w:numId="87">
    <w:abstractNumId w:val="55"/>
  </w:num>
  <w:num w:numId="88">
    <w:abstractNumId w:val="87"/>
  </w:num>
  <w:num w:numId="89">
    <w:abstractNumId w:val="38"/>
  </w:num>
  <w:num w:numId="90">
    <w:abstractNumId w:val="21"/>
  </w:num>
  <w:num w:numId="91">
    <w:abstractNumId w:val="11"/>
  </w:num>
  <w:num w:numId="92">
    <w:abstractNumId w:val="2"/>
  </w:num>
  <w:num w:numId="93">
    <w:abstractNumId w:val="80"/>
  </w:num>
  <w:num w:numId="94">
    <w:abstractNumId w:val="17"/>
  </w:num>
  <w:num w:numId="95">
    <w:abstractNumId w:val="59"/>
  </w:num>
  <w:num w:numId="96">
    <w:abstractNumId w:val="10"/>
  </w:num>
  <w:num w:numId="97">
    <w:abstractNumId w:val="100"/>
  </w:num>
  <w:num w:numId="98">
    <w:abstractNumId w:val="69"/>
  </w:num>
  <w:num w:numId="99">
    <w:abstractNumId w:val="92"/>
  </w:num>
  <w:num w:numId="100">
    <w:abstractNumId w:val="54"/>
  </w:num>
  <w:num w:numId="101">
    <w:abstractNumId w:val="81"/>
  </w:num>
  <w:num w:numId="102">
    <w:abstractNumId w:val="37"/>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63F5"/>
    <w:rsid w:val="0000014A"/>
    <w:rsid w:val="00004063"/>
    <w:rsid w:val="000069C1"/>
    <w:rsid w:val="00007792"/>
    <w:rsid w:val="00014AAA"/>
    <w:rsid w:val="00017A41"/>
    <w:rsid w:val="00024669"/>
    <w:rsid w:val="00024BEC"/>
    <w:rsid w:val="00026222"/>
    <w:rsid w:val="000262A3"/>
    <w:rsid w:val="00030614"/>
    <w:rsid w:val="00031039"/>
    <w:rsid w:val="00031EE9"/>
    <w:rsid w:val="000337D9"/>
    <w:rsid w:val="00035022"/>
    <w:rsid w:val="000360F0"/>
    <w:rsid w:val="000423D2"/>
    <w:rsid w:val="00042941"/>
    <w:rsid w:val="00042BA5"/>
    <w:rsid w:val="00043653"/>
    <w:rsid w:val="0004501C"/>
    <w:rsid w:val="00045BF4"/>
    <w:rsid w:val="00046084"/>
    <w:rsid w:val="000464B5"/>
    <w:rsid w:val="00046533"/>
    <w:rsid w:val="00047BDF"/>
    <w:rsid w:val="00051472"/>
    <w:rsid w:val="000534C5"/>
    <w:rsid w:val="00054F1A"/>
    <w:rsid w:val="0005604E"/>
    <w:rsid w:val="00063527"/>
    <w:rsid w:val="000664D4"/>
    <w:rsid w:val="00066685"/>
    <w:rsid w:val="00072079"/>
    <w:rsid w:val="000721B6"/>
    <w:rsid w:val="0007341A"/>
    <w:rsid w:val="00073764"/>
    <w:rsid w:val="000806D8"/>
    <w:rsid w:val="00081FE9"/>
    <w:rsid w:val="00082548"/>
    <w:rsid w:val="00082716"/>
    <w:rsid w:val="00082812"/>
    <w:rsid w:val="00083020"/>
    <w:rsid w:val="000836E9"/>
    <w:rsid w:val="000838EB"/>
    <w:rsid w:val="00083D3D"/>
    <w:rsid w:val="0008439E"/>
    <w:rsid w:val="00085541"/>
    <w:rsid w:val="00090C46"/>
    <w:rsid w:val="00092C69"/>
    <w:rsid w:val="0009633F"/>
    <w:rsid w:val="000A1B1D"/>
    <w:rsid w:val="000A22D2"/>
    <w:rsid w:val="000A37E6"/>
    <w:rsid w:val="000A4D18"/>
    <w:rsid w:val="000B0482"/>
    <w:rsid w:val="000B2899"/>
    <w:rsid w:val="000B34A2"/>
    <w:rsid w:val="000C0448"/>
    <w:rsid w:val="000C0F95"/>
    <w:rsid w:val="000C213D"/>
    <w:rsid w:val="000C4FC2"/>
    <w:rsid w:val="000C7031"/>
    <w:rsid w:val="000D08DB"/>
    <w:rsid w:val="000D1706"/>
    <w:rsid w:val="000D1FCD"/>
    <w:rsid w:val="000D24E6"/>
    <w:rsid w:val="000D526D"/>
    <w:rsid w:val="000D52D8"/>
    <w:rsid w:val="000D70B4"/>
    <w:rsid w:val="000D7F7E"/>
    <w:rsid w:val="000E1D88"/>
    <w:rsid w:val="000E22EC"/>
    <w:rsid w:val="000E56E3"/>
    <w:rsid w:val="000F1A5E"/>
    <w:rsid w:val="000F1D36"/>
    <w:rsid w:val="000F23F8"/>
    <w:rsid w:val="000F2A03"/>
    <w:rsid w:val="000F3ED2"/>
    <w:rsid w:val="000F5C4E"/>
    <w:rsid w:val="000F6C49"/>
    <w:rsid w:val="000F756D"/>
    <w:rsid w:val="00100EF1"/>
    <w:rsid w:val="0010100D"/>
    <w:rsid w:val="00101F32"/>
    <w:rsid w:val="00103516"/>
    <w:rsid w:val="0010396B"/>
    <w:rsid w:val="001075EC"/>
    <w:rsid w:val="00107BAC"/>
    <w:rsid w:val="00112F0A"/>
    <w:rsid w:val="00113F13"/>
    <w:rsid w:val="00116B30"/>
    <w:rsid w:val="00121C2B"/>
    <w:rsid w:val="00124748"/>
    <w:rsid w:val="00125D01"/>
    <w:rsid w:val="00130181"/>
    <w:rsid w:val="0013070F"/>
    <w:rsid w:val="00131C03"/>
    <w:rsid w:val="00132BE0"/>
    <w:rsid w:val="00133272"/>
    <w:rsid w:val="001336A1"/>
    <w:rsid w:val="00134FBE"/>
    <w:rsid w:val="00140063"/>
    <w:rsid w:val="0014129C"/>
    <w:rsid w:val="001468DE"/>
    <w:rsid w:val="00147DA7"/>
    <w:rsid w:val="001514C2"/>
    <w:rsid w:val="00152B40"/>
    <w:rsid w:val="00153343"/>
    <w:rsid w:val="00153D91"/>
    <w:rsid w:val="00154299"/>
    <w:rsid w:val="00154DD3"/>
    <w:rsid w:val="00155A4D"/>
    <w:rsid w:val="0015709C"/>
    <w:rsid w:val="001579A1"/>
    <w:rsid w:val="001600DF"/>
    <w:rsid w:val="001615D7"/>
    <w:rsid w:val="00165D26"/>
    <w:rsid w:val="0016657D"/>
    <w:rsid w:val="00166A0C"/>
    <w:rsid w:val="00167F29"/>
    <w:rsid w:val="00170259"/>
    <w:rsid w:val="001711F9"/>
    <w:rsid w:val="0017357D"/>
    <w:rsid w:val="00175454"/>
    <w:rsid w:val="00175965"/>
    <w:rsid w:val="001763F5"/>
    <w:rsid w:val="001847D7"/>
    <w:rsid w:val="00185906"/>
    <w:rsid w:val="00185EE2"/>
    <w:rsid w:val="001867AC"/>
    <w:rsid w:val="00192341"/>
    <w:rsid w:val="00194920"/>
    <w:rsid w:val="001A1ECE"/>
    <w:rsid w:val="001A25F6"/>
    <w:rsid w:val="001A296D"/>
    <w:rsid w:val="001A7F66"/>
    <w:rsid w:val="001B30C9"/>
    <w:rsid w:val="001B3B3A"/>
    <w:rsid w:val="001B486A"/>
    <w:rsid w:val="001B5D85"/>
    <w:rsid w:val="001B7F7A"/>
    <w:rsid w:val="001C0061"/>
    <w:rsid w:val="001C2684"/>
    <w:rsid w:val="001C2E07"/>
    <w:rsid w:val="001C2ECF"/>
    <w:rsid w:val="001C441B"/>
    <w:rsid w:val="001D43E7"/>
    <w:rsid w:val="001E0CEB"/>
    <w:rsid w:val="001E0DF0"/>
    <w:rsid w:val="001E127C"/>
    <w:rsid w:val="001E2C46"/>
    <w:rsid w:val="001E2D99"/>
    <w:rsid w:val="001E38FE"/>
    <w:rsid w:val="001E48AC"/>
    <w:rsid w:val="001F05C9"/>
    <w:rsid w:val="001F25D3"/>
    <w:rsid w:val="001F27D8"/>
    <w:rsid w:val="001F2FD7"/>
    <w:rsid w:val="001F7064"/>
    <w:rsid w:val="001F7D02"/>
    <w:rsid w:val="0020094C"/>
    <w:rsid w:val="002009C4"/>
    <w:rsid w:val="00201180"/>
    <w:rsid w:val="00205289"/>
    <w:rsid w:val="00205B34"/>
    <w:rsid w:val="00207E88"/>
    <w:rsid w:val="00212C90"/>
    <w:rsid w:val="002146E4"/>
    <w:rsid w:val="00214A8A"/>
    <w:rsid w:val="00215A87"/>
    <w:rsid w:val="0021798D"/>
    <w:rsid w:val="002213F3"/>
    <w:rsid w:val="002222E7"/>
    <w:rsid w:val="002238F7"/>
    <w:rsid w:val="00224C28"/>
    <w:rsid w:val="00224FC8"/>
    <w:rsid w:val="00226EF5"/>
    <w:rsid w:val="002272F0"/>
    <w:rsid w:val="00231D5C"/>
    <w:rsid w:val="0023422A"/>
    <w:rsid w:val="00235D24"/>
    <w:rsid w:val="002369F3"/>
    <w:rsid w:val="00237BCC"/>
    <w:rsid w:val="00243739"/>
    <w:rsid w:val="00243CE9"/>
    <w:rsid w:val="00243E02"/>
    <w:rsid w:val="002463A7"/>
    <w:rsid w:val="00247BF4"/>
    <w:rsid w:val="00263C5B"/>
    <w:rsid w:val="00263D43"/>
    <w:rsid w:val="002658A1"/>
    <w:rsid w:val="00272EF7"/>
    <w:rsid w:val="00273E3E"/>
    <w:rsid w:val="00274BB8"/>
    <w:rsid w:val="002806D5"/>
    <w:rsid w:val="00281F37"/>
    <w:rsid w:val="002826B2"/>
    <w:rsid w:val="002839DC"/>
    <w:rsid w:val="00294EA3"/>
    <w:rsid w:val="00295D98"/>
    <w:rsid w:val="0029757D"/>
    <w:rsid w:val="00297E0B"/>
    <w:rsid w:val="00297EA9"/>
    <w:rsid w:val="002A4260"/>
    <w:rsid w:val="002A48A6"/>
    <w:rsid w:val="002B1C9D"/>
    <w:rsid w:val="002B5327"/>
    <w:rsid w:val="002B5FFC"/>
    <w:rsid w:val="002C08DD"/>
    <w:rsid w:val="002C2F85"/>
    <w:rsid w:val="002C301A"/>
    <w:rsid w:val="002C616F"/>
    <w:rsid w:val="002D00D8"/>
    <w:rsid w:val="002D394E"/>
    <w:rsid w:val="002D3B66"/>
    <w:rsid w:val="002D707E"/>
    <w:rsid w:val="002D7A3A"/>
    <w:rsid w:val="002E4B58"/>
    <w:rsid w:val="002E4B73"/>
    <w:rsid w:val="002E68F6"/>
    <w:rsid w:val="002E72DC"/>
    <w:rsid w:val="002F0973"/>
    <w:rsid w:val="002F2100"/>
    <w:rsid w:val="002F7730"/>
    <w:rsid w:val="00301447"/>
    <w:rsid w:val="003014C3"/>
    <w:rsid w:val="00303718"/>
    <w:rsid w:val="003108FA"/>
    <w:rsid w:val="00310A31"/>
    <w:rsid w:val="00312ABC"/>
    <w:rsid w:val="00313052"/>
    <w:rsid w:val="00313777"/>
    <w:rsid w:val="003150D5"/>
    <w:rsid w:val="003170EE"/>
    <w:rsid w:val="00320CA6"/>
    <w:rsid w:val="0032123E"/>
    <w:rsid w:val="00321A10"/>
    <w:rsid w:val="00323EF8"/>
    <w:rsid w:val="00324A3D"/>
    <w:rsid w:val="003251C2"/>
    <w:rsid w:val="003265BC"/>
    <w:rsid w:val="003343F2"/>
    <w:rsid w:val="003360D5"/>
    <w:rsid w:val="00337251"/>
    <w:rsid w:val="00337E94"/>
    <w:rsid w:val="00340210"/>
    <w:rsid w:val="00341AD1"/>
    <w:rsid w:val="00341F11"/>
    <w:rsid w:val="00344791"/>
    <w:rsid w:val="003476BF"/>
    <w:rsid w:val="003501E2"/>
    <w:rsid w:val="00350BB3"/>
    <w:rsid w:val="00352EFB"/>
    <w:rsid w:val="00353EC0"/>
    <w:rsid w:val="0035425E"/>
    <w:rsid w:val="00355FAD"/>
    <w:rsid w:val="0036065A"/>
    <w:rsid w:val="00360EC5"/>
    <w:rsid w:val="0036147F"/>
    <w:rsid w:val="0037298D"/>
    <w:rsid w:val="0037514B"/>
    <w:rsid w:val="003773E8"/>
    <w:rsid w:val="00380D30"/>
    <w:rsid w:val="00381A88"/>
    <w:rsid w:val="0038449E"/>
    <w:rsid w:val="00385F69"/>
    <w:rsid w:val="00391138"/>
    <w:rsid w:val="00392A14"/>
    <w:rsid w:val="0039313D"/>
    <w:rsid w:val="00393EA5"/>
    <w:rsid w:val="0039587D"/>
    <w:rsid w:val="00396881"/>
    <w:rsid w:val="00396B77"/>
    <w:rsid w:val="00396DAC"/>
    <w:rsid w:val="00397661"/>
    <w:rsid w:val="00397896"/>
    <w:rsid w:val="003A006A"/>
    <w:rsid w:val="003A0523"/>
    <w:rsid w:val="003A13C3"/>
    <w:rsid w:val="003A163A"/>
    <w:rsid w:val="003A345D"/>
    <w:rsid w:val="003A3680"/>
    <w:rsid w:val="003A3868"/>
    <w:rsid w:val="003A79E8"/>
    <w:rsid w:val="003B0371"/>
    <w:rsid w:val="003B0424"/>
    <w:rsid w:val="003B0C48"/>
    <w:rsid w:val="003B1E4A"/>
    <w:rsid w:val="003B26B1"/>
    <w:rsid w:val="003B2E31"/>
    <w:rsid w:val="003B2E5F"/>
    <w:rsid w:val="003B33CD"/>
    <w:rsid w:val="003C1913"/>
    <w:rsid w:val="003C48F3"/>
    <w:rsid w:val="003C4A08"/>
    <w:rsid w:val="003D19CB"/>
    <w:rsid w:val="003D70B8"/>
    <w:rsid w:val="003D7BD2"/>
    <w:rsid w:val="003E0807"/>
    <w:rsid w:val="003E24A1"/>
    <w:rsid w:val="003E302E"/>
    <w:rsid w:val="003E4AFE"/>
    <w:rsid w:val="003E7044"/>
    <w:rsid w:val="003F42BA"/>
    <w:rsid w:val="003F76E8"/>
    <w:rsid w:val="004043DC"/>
    <w:rsid w:val="00405D51"/>
    <w:rsid w:val="004178DB"/>
    <w:rsid w:val="004207D7"/>
    <w:rsid w:val="00420C14"/>
    <w:rsid w:val="00425CE7"/>
    <w:rsid w:val="004279A0"/>
    <w:rsid w:val="00432700"/>
    <w:rsid w:val="00432C6B"/>
    <w:rsid w:val="00433A35"/>
    <w:rsid w:val="00437A54"/>
    <w:rsid w:val="0044072A"/>
    <w:rsid w:val="00440EA0"/>
    <w:rsid w:val="0044374D"/>
    <w:rsid w:val="00443B4B"/>
    <w:rsid w:val="00443BA9"/>
    <w:rsid w:val="00444E6A"/>
    <w:rsid w:val="004476B1"/>
    <w:rsid w:val="00450D9F"/>
    <w:rsid w:val="00452A35"/>
    <w:rsid w:val="00452ABC"/>
    <w:rsid w:val="0045324D"/>
    <w:rsid w:val="0045395A"/>
    <w:rsid w:val="00456933"/>
    <w:rsid w:val="00460494"/>
    <w:rsid w:val="00462857"/>
    <w:rsid w:val="004665F8"/>
    <w:rsid w:val="004668F6"/>
    <w:rsid w:val="00467A49"/>
    <w:rsid w:val="00476221"/>
    <w:rsid w:val="00480802"/>
    <w:rsid w:val="00481951"/>
    <w:rsid w:val="00481995"/>
    <w:rsid w:val="00484448"/>
    <w:rsid w:val="00492FA6"/>
    <w:rsid w:val="0049329A"/>
    <w:rsid w:val="00496555"/>
    <w:rsid w:val="00496DE5"/>
    <w:rsid w:val="004A0654"/>
    <w:rsid w:val="004A1DA3"/>
    <w:rsid w:val="004A229F"/>
    <w:rsid w:val="004A2922"/>
    <w:rsid w:val="004A6366"/>
    <w:rsid w:val="004A6932"/>
    <w:rsid w:val="004A7100"/>
    <w:rsid w:val="004A7970"/>
    <w:rsid w:val="004B08E7"/>
    <w:rsid w:val="004B2370"/>
    <w:rsid w:val="004B29D3"/>
    <w:rsid w:val="004B3CAA"/>
    <w:rsid w:val="004B4ED6"/>
    <w:rsid w:val="004B5AED"/>
    <w:rsid w:val="004C212B"/>
    <w:rsid w:val="004C4BDF"/>
    <w:rsid w:val="004C5B7C"/>
    <w:rsid w:val="004C65D8"/>
    <w:rsid w:val="004D0C06"/>
    <w:rsid w:val="004D0F72"/>
    <w:rsid w:val="004D1937"/>
    <w:rsid w:val="004D38D7"/>
    <w:rsid w:val="004D52A0"/>
    <w:rsid w:val="004D6598"/>
    <w:rsid w:val="004E0288"/>
    <w:rsid w:val="004E0655"/>
    <w:rsid w:val="004E2733"/>
    <w:rsid w:val="004E2C6A"/>
    <w:rsid w:val="004E387D"/>
    <w:rsid w:val="004E686F"/>
    <w:rsid w:val="004F36F7"/>
    <w:rsid w:val="004F7073"/>
    <w:rsid w:val="005011EC"/>
    <w:rsid w:val="00501C24"/>
    <w:rsid w:val="00502D1F"/>
    <w:rsid w:val="00506670"/>
    <w:rsid w:val="00510342"/>
    <w:rsid w:val="0051152A"/>
    <w:rsid w:val="00512555"/>
    <w:rsid w:val="00512C54"/>
    <w:rsid w:val="00512C9F"/>
    <w:rsid w:val="0051596D"/>
    <w:rsid w:val="005165BE"/>
    <w:rsid w:val="00520258"/>
    <w:rsid w:val="00520FA3"/>
    <w:rsid w:val="0052541E"/>
    <w:rsid w:val="0052590D"/>
    <w:rsid w:val="00525C51"/>
    <w:rsid w:val="00526395"/>
    <w:rsid w:val="00526DF8"/>
    <w:rsid w:val="00530725"/>
    <w:rsid w:val="005310C4"/>
    <w:rsid w:val="00534880"/>
    <w:rsid w:val="00540700"/>
    <w:rsid w:val="00541054"/>
    <w:rsid w:val="00544B81"/>
    <w:rsid w:val="00544F2A"/>
    <w:rsid w:val="005450B8"/>
    <w:rsid w:val="0054776A"/>
    <w:rsid w:val="00547CE5"/>
    <w:rsid w:val="0055147C"/>
    <w:rsid w:val="00552589"/>
    <w:rsid w:val="00553B74"/>
    <w:rsid w:val="0055658F"/>
    <w:rsid w:val="00556EB5"/>
    <w:rsid w:val="00560063"/>
    <w:rsid w:val="00560249"/>
    <w:rsid w:val="00561DD5"/>
    <w:rsid w:val="00563A1C"/>
    <w:rsid w:val="005651D9"/>
    <w:rsid w:val="00565E5C"/>
    <w:rsid w:val="00576E9A"/>
    <w:rsid w:val="005805C6"/>
    <w:rsid w:val="0058139C"/>
    <w:rsid w:val="00583547"/>
    <w:rsid w:val="00585753"/>
    <w:rsid w:val="005864B1"/>
    <w:rsid w:val="00586EA9"/>
    <w:rsid w:val="00587123"/>
    <w:rsid w:val="00587787"/>
    <w:rsid w:val="00590F74"/>
    <w:rsid w:val="005916E7"/>
    <w:rsid w:val="00595872"/>
    <w:rsid w:val="0059717F"/>
    <w:rsid w:val="005A05D9"/>
    <w:rsid w:val="005A11AD"/>
    <w:rsid w:val="005A2B22"/>
    <w:rsid w:val="005A3337"/>
    <w:rsid w:val="005A4545"/>
    <w:rsid w:val="005A6065"/>
    <w:rsid w:val="005A60A3"/>
    <w:rsid w:val="005A6875"/>
    <w:rsid w:val="005B06CC"/>
    <w:rsid w:val="005B3CF2"/>
    <w:rsid w:val="005B414A"/>
    <w:rsid w:val="005B4BEE"/>
    <w:rsid w:val="005B51E9"/>
    <w:rsid w:val="005B56A5"/>
    <w:rsid w:val="005B5A5B"/>
    <w:rsid w:val="005C3703"/>
    <w:rsid w:val="005C483C"/>
    <w:rsid w:val="005C5CED"/>
    <w:rsid w:val="005C6EC3"/>
    <w:rsid w:val="005C7FA1"/>
    <w:rsid w:val="005D0811"/>
    <w:rsid w:val="005D2D71"/>
    <w:rsid w:val="005D2DA1"/>
    <w:rsid w:val="005D66FC"/>
    <w:rsid w:val="005E211A"/>
    <w:rsid w:val="005E2869"/>
    <w:rsid w:val="005E65EE"/>
    <w:rsid w:val="005E6DD5"/>
    <w:rsid w:val="005E7A35"/>
    <w:rsid w:val="005E7B62"/>
    <w:rsid w:val="005F12DE"/>
    <w:rsid w:val="005F27B0"/>
    <w:rsid w:val="005F46C3"/>
    <w:rsid w:val="005F4DF8"/>
    <w:rsid w:val="005F6146"/>
    <w:rsid w:val="005F7097"/>
    <w:rsid w:val="00601447"/>
    <w:rsid w:val="00605A41"/>
    <w:rsid w:val="00606492"/>
    <w:rsid w:val="00606BCA"/>
    <w:rsid w:val="006075FA"/>
    <w:rsid w:val="00614116"/>
    <w:rsid w:val="006143D6"/>
    <w:rsid w:val="00615107"/>
    <w:rsid w:val="00615147"/>
    <w:rsid w:val="006214C5"/>
    <w:rsid w:val="006234DB"/>
    <w:rsid w:val="00625C60"/>
    <w:rsid w:val="00626E6F"/>
    <w:rsid w:val="006300C7"/>
    <w:rsid w:val="00630E26"/>
    <w:rsid w:val="006318B5"/>
    <w:rsid w:val="00633242"/>
    <w:rsid w:val="00633461"/>
    <w:rsid w:val="0063472A"/>
    <w:rsid w:val="00635ABF"/>
    <w:rsid w:val="006374A3"/>
    <w:rsid w:val="00640C64"/>
    <w:rsid w:val="0064294D"/>
    <w:rsid w:val="00642E16"/>
    <w:rsid w:val="0064550B"/>
    <w:rsid w:val="00646C8D"/>
    <w:rsid w:val="00646E49"/>
    <w:rsid w:val="0065130B"/>
    <w:rsid w:val="00654221"/>
    <w:rsid w:val="00654CEE"/>
    <w:rsid w:val="006579E6"/>
    <w:rsid w:val="00662511"/>
    <w:rsid w:val="00662621"/>
    <w:rsid w:val="00664EAD"/>
    <w:rsid w:val="00666B32"/>
    <w:rsid w:val="00667D6F"/>
    <w:rsid w:val="0067157C"/>
    <w:rsid w:val="00674E56"/>
    <w:rsid w:val="006777DF"/>
    <w:rsid w:val="006849DA"/>
    <w:rsid w:val="006873C7"/>
    <w:rsid w:val="0068757D"/>
    <w:rsid w:val="006879AC"/>
    <w:rsid w:val="006910D1"/>
    <w:rsid w:val="00692BA6"/>
    <w:rsid w:val="006931E0"/>
    <w:rsid w:val="006A0542"/>
    <w:rsid w:val="006A1475"/>
    <w:rsid w:val="006A1FFC"/>
    <w:rsid w:val="006A4F97"/>
    <w:rsid w:val="006A5343"/>
    <w:rsid w:val="006A623D"/>
    <w:rsid w:val="006B69B4"/>
    <w:rsid w:val="006C0A5B"/>
    <w:rsid w:val="006C29E3"/>
    <w:rsid w:val="006C3FA4"/>
    <w:rsid w:val="006C4DD8"/>
    <w:rsid w:val="006D082D"/>
    <w:rsid w:val="006D1718"/>
    <w:rsid w:val="006D1EE2"/>
    <w:rsid w:val="006D2AF9"/>
    <w:rsid w:val="006D69CD"/>
    <w:rsid w:val="006D7342"/>
    <w:rsid w:val="006E0FB7"/>
    <w:rsid w:val="006E123D"/>
    <w:rsid w:val="006E635C"/>
    <w:rsid w:val="006E71D4"/>
    <w:rsid w:val="006F1A03"/>
    <w:rsid w:val="006F1D7E"/>
    <w:rsid w:val="006F2F1E"/>
    <w:rsid w:val="006F5D95"/>
    <w:rsid w:val="00700F75"/>
    <w:rsid w:val="00700FB8"/>
    <w:rsid w:val="0070218C"/>
    <w:rsid w:val="00703407"/>
    <w:rsid w:val="00706848"/>
    <w:rsid w:val="007103BC"/>
    <w:rsid w:val="00713BFE"/>
    <w:rsid w:val="00721B30"/>
    <w:rsid w:val="00722098"/>
    <w:rsid w:val="00723B4D"/>
    <w:rsid w:val="007308BA"/>
    <w:rsid w:val="00731B8D"/>
    <w:rsid w:val="00732841"/>
    <w:rsid w:val="007335E2"/>
    <w:rsid w:val="00733797"/>
    <w:rsid w:val="007359C7"/>
    <w:rsid w:val="00741B79"/>
    <w:rsid w:val="00742503"/>
    <w:rsid w:val="00743D55"/>
    <w:rsid w:val="00744871"/>
    <w:rsid w:val="0074511A"/>
    <w:rsid w:val="00747212"/>
    <w:rsid w:val="00747500"/>
    <w:rsid w:val="00751064"/>
    <w:rsid w:val="0075240F"/>
    <w:rsid w:val="007548A5"/>
    <w:rsid w:val="007616EB"/>
    <w:rsid w:val="007622EA"/>
    <w:rsid w:val="00766511"/>
    <w:rsid w:val="007709DA"/>
    <w:rsid w:val="00770EB6"/>
    <w:rsid w:val="007711C0"/>
    <w:rsid w:val="0077251A"/>
    <w:rsid w:val="00772991"/>
    <w:rsid w:val="00773BAA"/>
    <w:rsid w:val="0077410D"/>
    <w:rsid w:val="00775B1D"/>
    <w:rsid w:val="00776F71"/>
    <w:rsid w:val="007777DC"/>
    <w:rsid w:val="007819FB"/>
    <w:rsid w:val="00781BA6"/>
    <w:rsid w:val="007851F9"/>
    <w:rsid w:val="0078607B"/>
    <w:rsid w:val="007864FF"/>
    <w:rsid w:val="00786558"/>
    <w:rsid w:val="00786FFF"/>
    <w:rsid w:val="00787D65"/>
    <w:rsid w:val="00791A70"/>
    <w:rsid w:val="00791F70"/>
    <w:rsid w:val="00794873"/>
    <w:rsid w:val="007950EC"/>
    <w:rsid w:val="007A0CC7"/>
    <w:rsid w:val="007A4D45"/>
    <w:rsid w:val="007A6FAD"/>
    <w:rsid w:val="007A7A17"/>
    <w:rsid w:val="007B0BED"/>
    <w:rsid w:val="007B0FCB"/>
    <w:rsid w:val="007B1175"/>
    <w:rsid w:val="007B30C9"/>
    <w:rsid w:val="007B7172"/>
    <w:rsid w:val="007C03E4"/>
    <w:rsid w:val="007C2814"/>
    <w:rsid w:val="007C461B"/>
    <w:rsid w:val="007C5277"/>
    <w:rsid w:val="007C76AE"/>
    <w:rsid w:val="007C7FA3"/>
    <w:rsid w:val="007D017B"/>
    <w:rsid w:val="007D225B"/>
    <w:rsid w:val="007D23B9"/>
    <w:rsid w:val="007D2C27"/>
    <w:rsid w:val="007D38A6"/>
    <w:rsid w:val="007D48A9"/>
    <w:rsid w:val="007D56D0"/>
    <w:rsid w:val="007D761F"/>
    <w:rsid w:val="007E0222"/>
    <w:rsid w:val="007E1A78"/>
    <w:rsid w:val="007E2279"/>
    <w:rsid w:val="007E2669"/>
    <w:rsid w:val="007E4673"/>
    <w:rsid w:val="007E66E0"/>
    <w:rsid w:val="007E7046"/>
    <w:rsid w:val="007F1D67"/>
    <w:rsid w:val="007F2E93"/>
    <w:rsid w:val="007F4B71"/>
    <w:rsid w:val="007F532D"/>
    <w:rsid w:val="008001A8"/>
    <w:rsid w:val="00802B68"/>
    <w:rsid w:val="008042C6"/>
    <w:rsid w:val="00807A68"/>
    <w:rsid w:val="00811DD2"/>
    <w:rsid w:val="00813060"/>
    <w:rsid w:val="00814B0B"/>
    <w:rsid w:val="00815936"/>
    <w:rsid w:val="00815A08"/>
    <w:rsid w:val="00815F71"/>
    <w:rsid w:val="00823FB0"/>
    <w:rsid w:val="00824295"/>
    <w:rsid w:val="0082456F"/>
    <w:rsid w:val="008247AA"/>
    <w:rsid w:val="0082626B"/>
    <w:rsid w:val="0082724E"/>
    <w:rsid w:val="0083118F"/>
    <w:rsid w:val="0083624F"/>
    <w:rsid w:val="00837DB7"/>
    <w:rsid w:val="00847F7C"/>
    <w:rsid w:val="00851B6D"/>
    <w:rsid w:val="00851E5B"/>
    <w:rsid w:val="00852371"/>
    <w:rsid w:val="0085254D"/>
    <w:rsid w:val="0085285D"/>
    <w:rsid w:val="00852AED"/>
    <w:rsid w:val="00852DE3"/>
    <w:rsid w:val="00852FBA"/>
    <w:rsid w:val="00853DD9"/>
    <w:rsid w:val="0085528A"/>
    <w:rsid w:val="00856AD9"/>
    <w:rsid w:val="00866919"/>
    <w:rsid w:val="00872281"/>
    <w:rsid w:val="008741BC"/>
    <w:rsid w:val="00875CD1"/>
    <w:rsid w:val="00876F49"/>
    <w:rsid w:val="008771EB"/>
    <w:rsid w:val="00877B44"/>
    <w:rsid w:val="00880985"/>
    <w:rsid w:val="0088262E"/>
    <w:rsid w:val="008834EC"/>
    <w:rsid w:val="008864AA"/>
    <w:rsid w:val="00891724"/>
    <w:rsid w:val="00892289"/>
    <w:rsid w:val="0089277E"/>
    <w:rsid w:val="00892D70"/>
    <w:rsid w:val="00893573"/>
    <w:rsid w:val="00895F28"/>
    <w:rsid w:val="008A12E7"/>
    <w:rsid w:val="008A2E3D"/>
    <w:rsid w:val="008A4450"/>
    <w:rsid w:val="008B08F2"/>
    <w:rsid w:val="008B14CA"/>
    <w:rsid w:val="008B5E4D"/>
    <w:rsid w:val="008B699A"/>
    <w:rsid w:val="008C2449"/>
    <w:rsid w:val="008C2663"/>
    <w:rsid w:val="008C3025"/>
    <w:rsid w:val="008C5D48"/>
    <w:rsid w:val="008D3CB4"/>
    <w:rsid w:val="008D4EC3"/>
    <w:rsid w:val="008D5057"/>
    <w:rsid w:val="008D5634"/>
    <w:rsid w:val="008D61B5"/>
    <w:rsid w:val="008E2119"/>
    <w:rsid w:val="008E293C"/>
    <w:rsid w:val="008E35FE"/>
    <w:rsid w:val="008E3C79"/>
    <w:rsid w:val="008E52F7"/>
    <w:rsid w:val="008E597C"/>
    <w:rsid w:val="008F101D"/>
    <w:rsid w:val="008F171E"/>
    <w:rsid w:val="008F24F8"/>
    <w:rsid w:val="008F5191"/>
    <w:rsid w:val="008F673F"/>
    <w:rsid w:val="008F7062"/>
    <w:rsid w:val="00901C7D"/>
    <w:rsid w:val="00902E90"/>
    <w:rsid w:val="00905661"/>
    <w:rsid w:val="0091015A"/>
    <w:rsid w:val="00911400"/>
    <w:rsid w:val="00911749"/>
    <w:rsid w:val="009123BD"/>
    <w:rsid w:val="00915026"/>
    <w:rsid w:val="00916803"/>
    <w:rsid w:val="00916B36"/>
    <w:rsid w:val="00916E3B"/>
    <w:rsid w:val="009178C7"/>
    <w:rsid w:val="0092399E"/>
    <w:rsid w:val="0092403C"/>
    <w:rsid w:val="0092412D"/>
    <w:rsid w:val="00927131"/>
    <w:rsid w:val="00931D16"/>
    <w:rsid w:val="009329F6"/>
    <w:rsid w:val="00933D2B"/>
    <w:rsid w:val="009379F4"/>
    <w:rsid w:val="00940473"/>
    <w:rsid w:val="0094165F"/>
    <w:rsid w:val="00941F1F"/>
    <w:rsid w:val="00942E9C"/>
    <w:rsid w:val="00945D5E"/>
    <w:rsid w:val="00946474"/>
    <w:rsid w:val="00950110"/>
    <w:rsid w:val="0095265D"/>
    <w:rsid w:val="009529C1"/>
    <w:rsid w:val="00952A5B"/>
    <w:rsid w:val="009530B7"/>
    <w:rsid w:val="00953BC9"/>
    <w:rsid w:val="00956013"/>
    <w:rsid w:val="00956296"/>
    <w:rsid w:val="009567EE"/>
    <w:rsid w:val="00961060"/>
    <w:rsid w:val="009625E9"/>
    <w:rsid w:val="0096368F"/>
    <w:rsid w:val="00963F9F"/>
    <w:rsid w:val="009649A0"/>
    <w:rsid w:val="00967218"/>
    <w:rsid w:val="00967E54"/>
    <w:rsid w:val="00970660"/>
    <w:rsid w:val="00971C2D"/>
    <w:rsid w:val="00972E3D"/>
    <w:rsid w:val="009738B8"/>
    <w:rsid w:val="00977C23"/>
    <w:rsid w:val="009818C4"/>
    <w:rsid w:val="00981DA9"/>
    <w:rsid w:val="00983235"/>
    <w:rsid w:val="00984397"/>
    <w:rsid w:val="00987B6A"/>
    <w:rsid w:val="00990EF5"/>
    <w:rsid w:val="0099300F"/>
    <w:rsid w:val="0099337A"/>
    <w:rsid w:val="00993412"/>
    <w:rsid w:val="009A0559"/>
    <w:rsid w:val="009A0625"/>
    <w:rsid w:val="009A15D6"/>
    <w:rsid w:val="009A1FEC"/>
    <w:rsid w:val="009A21B3"/>
    <w:rsid w:val="009A40B4"/>
    <w:rsid w:val="009A6AFA"/>
    <w:rsid w:val="009A7D63"/>
    <w:rsid w:val="009B1282"/>
    <w:rsid w:val="009B1F36"/>
    <w:rsid w:val="009B39DD"/>
    <w:rsid w:val="009B4207"/>
    <w:rsid w:val="009C3DFB"/>
    <w:rsid w:val="009C74DC"/>
    <w:rsid w:val="009D0A76"/>
    <w:rsid w:val="009D215D"/>
    <w:rsid w:val="009D2814"/>
    <w:rsid w:val="009D2EB7"/>
    <w:rsid w:val="009D4266"/>
    <w:rsid w:val="009D61B4"/>
    <w:rsid w:val="009D6686"/>
    <w:rsid w:val="009D699D"/>
    <w:rsid w:val="009D6AB3"/>
    <w:rsid w:val="009E291E"/>
    <w:rsid w:val="009E6720"/>
    <w:rsid w:val="009F2B91"/>
    <w:rsid w:val="009F402A"/>
    <w:rsid w:val="009F47C8"/>
    <w:rsid w:val="009F49A5"/>
    <w:rsid w:val="009F60D6"/>
    <w:rsid w:val="00A01FEA"/>
    <w:rsid w:val="00A03C7E"/>
    <w:rsid w:val="00A0466E"/>
    <w:rsid w:val="00A0554D"/>
    <w:rsid w:val="00A07B95"/>
    <w:rsid w:val="00A07F73"/>
    <w:rsid w:val="00A1325F"/>
    <w:rsid w:val="00A1430A"/>
    <w:rsid w:val="00A162BB"/>
    <w:rsid w:val="00A17092"/>
    <w:rsid w:val="00A20B99"/>
    <w:rsid w:val="00A221C7"/>
    <w:rsid w:val="00A24731"/>
    <w:rsid w:val="00A24CD9"/>
    <w:rsid w:val="00A24CF4"/>
    <w:rsid w:val="00A2563B"/>
    <w:rsid w:val="00A2719E"/>
    <w:rsid w:val="00A3105E"/>
    <w:rsid w:val="00A31B45"/>
    <w:rsid w:val="00A346CD"/>
    <w:rsid w:val="00A34A80"/>
    <w:rsid w:val="00A37A31"/>
    <w:rsid w:val="00A41444"/>
    <w:rsid w:val="00A46BD7"/>
    <w:rsid w:val="00A47749"/>
    <w:rsid w:val="00A47D58"/>
    <w:rsid w:val="00A50FE9"/>
    <w:rsid w:val="00A52823"/>
    <w:rsid w:val="00A532E6"/>
    <w:rsid w:val="00A53699"/>
    <w:rsid w:val="00A542DC"/>
    <w:rsid w:val="00A54BF8"/>
    <w:rsid w:val="00A64AF7"/>
    <w:rsid w:val="00A65753"/>
    <w:rsid w:val="00A65D17"/>
    <w:rsid w:val="00A714B4"/>
    <w:rsid w:val="00A73557"/>
    <w:rsid w:val="00A803F9"/>
    <w:rsid w:val="00A80829"/>
    <w:rsid w:val="00A83821"/>
    <w:rsid w:val="00A845EA"/>
    <w:rsid w:val="00A84882"/>
    <w:rsid w:val="00A856E0"/>
    <w:rsid w:val="00A87CB4"/>
    <w:rsid w:val="00A90360"/>
    <w:rsid w:val="00A90778"/>
    <w:rsid w:val="00A933C8"/>
    <w:rsid w:val="00A941CF"/>
    <w:rsid w:val="00AA0F16"/>
    <w:rsid w:val="00AA1FA0"/>
    <w:rsid w:val="00AA2ED5"/>
    <w:rsid w:val="00AA3EFD"/>
    <w:rsid w:val="00AA4898"/>
    <w:rsid w:val="00AA4E08"/>
    <w:rsid w:val="00AA5254"/>
    <w:rsid w:val="00AA7D1E"/>
    <w:rsid w:val="00AB1F6F"/>
    <w:rsid w:val="00AB1F9E"/>
    <w:rsid w:val="00AB233D"/>
    <w:rsid w:val="00AB264D"/>
    <w:rsid w:val="00AB59C3"/>
    <w:rsid w:val="00AB60AF"/>
    <w:rsid w:val="00AB642F"/>
    <w:rsid w:val="00AB7B69"/>
    <w:rsid w:val="00AC24BE"/>
    <w:rsid w:val="00AC44C9"/>
    <w:rsid w:val="00AC4C27"/>
    <w:rsid w:val="00AC5AEF"/>
    <w:rsid w:val="00AC7C9D"/>
    <w:rsid w:val="00AD19EA"/>
    <w:rsid w:val="00AD27FD"/>
    <w:rsid w:val="00AD28F2"/>
    <w:rsid w:val="00AD4CB2"/>
    <w:rsid w:val="00AD607D"/>
    <w:rsid w:val="00AD6A17"/>
    <w:rsid w:val="00AE401F"/>
    <w:rsid w:val="00AE5E4C"/>
    <w:rsid w:val="00AF0370"/>
    <w:rsid w:val="00AF3D75"/>
    <w:rsid w:val="00B023C0"/>
    <w:rsid w:val="00B02CCE"/>
    <w:rsid w:val="00B03937"/>
    <w:rsid w:val="00B04CB0"/>
    <w:rsid w:val="00B11696"/>
    <w:rsid w:val="00B12961"/>
    <w:rsid w:val="00B133C2"/>
    <w:rsid w:val="00B16008"/>
    <w:rsid w:val="00B16E16"/>
    <w:rsid w:val="00B173E7"/>
    <w:rsid w:val="00B174F3"/>
    <w:rsid w:val="00B21C26"/>
    <w:rsid w:val="00B23394"/>
    <w:rsid w:val="00B251D7"/>
    <w:rsid w:val="00B30D57"/>
    <w:rsid w:val="00B3286B"/>
    <w:rsid w:val="00B3339F"/>
    <w:rsid w:val="00B35E1F"/>
    <w:rsid w:val="00B3615C"/>
    <w:rsid w:val="00B36B7E"/>
    <w:rsid w:val="00B371D8"/>
    <w:rsid w:val="00B40555"/>
    <w:rsid w:val="00B4069C"/>
    <w:rsid w:val="00B41ED1"/>
    <w:rsid w:val="00B423BB"/>
    <w:rsid w:val="00B43A2F"/>
    <w:rsid w:val="00B44BD0"/>
    <w:rsid w:val="00B4573A"/>
    <w:rsid w:val="00B458A9"/>
    <w:rsid w:val="00B46C5A"/>
    <w:rsid w:val="00B502EA"/>
    <w:rsid w:val="00B51F6C"/>
    <w:rsid w:val="00B54351"/>
    <w:rsid w:val="00B56406"/>
    <w:rsid w:val="00B60A8A"/>
    <w:rsid w:val="00B60F30"/>
    <w:rsid w:val="00B628C1"/>
    <w:rsid w:val="00B6324A"/>
    <w:rsid w:val="00B63977"/>
    <w:rsid w:val="00B65BA0"/>
    <w:rsid w:val="00B65EFE"/>
    <w:rsid w:val="00B7192A"/>
    <w:rsid w:val="00B71A01"/>
    <w:rsid w:val="00B7359E"/>
    <w:rsid w:val="00B73864"/>
    <w:rsid w:val="00B7540C"/>
    <w:rsid w:val="00B75A43"/>
    <w:rsid w:val="00B76DA6"/>
    <w:rsid w:val="00B8008C"/>
    <w:rsid w:val="00B81941"/>
    <w:rsid w:val="00B83FC2"/>
    <w:rsid w:val="00B844DE"/>
    <w:rsid w:val="00B84949"/>
    <w:rsid w:val="00B8512B"/>
    <w:rsid w:val="00B9374D"/>
    <w:rsid w:val="00B938EC"/>
    <w:rsid w:val="00B93A38"/>
    <w:rsid w:val="00B94B00"/>
    <w:rsid w:val="00B94EE7"/>
    <w:rsid w:val="00B95399"/>
    <w:rsid w:val="00BA088E"/>
    <w:rsid w:val="00BA1A1D"/>
    <w:rsid w:val="00BA30F9"/>
    <w:rsid w:val="00BA545F"/>
    <w:rsid w:val="00BA5C59"/>
    <w:rsid w:val="00BB0019"/>
    <w:rsid w:val="00BB0A00"/>
    <w:rsid w:val="00BB1720"/>
    <w:rsid w:val="00BB1BB7"/>
    <w:rsid w:val="00BB22F1"/>
    <w:rsid w:val="00BC07E7"/>
    <w:rsid w:val="00BC085D"/>
    <w:rsid w:val="00BC36CB"/>
    <w:rsid w:val="00BC37CB"/>
    <w:rsid w:val="00BC3ADB"/>
    <w:rsid w:val="00BC562A"/>
    <w:rsid w:val="00BC799B"/>
    <w:rsid w:val="00BC7A75"/>
    <w:rsid w:val="00BD0ED2"/>
    <w:rsid w:val="00BD1E7F"/>
    <w:rsid w:val="00BD3CF9"/>
    <w:rsid w:val="00BD4DEA"/>
    <w:rsid w:val="00BD5850"/>
    <w:rsid w:val="00BD6AFA"/>
    <w:rsid w:val="00BE1EFA"/>
    <w:rsid w:val="00BE304F"/>
    <w:rsid w:val="00BE3178"/>
    <w:rsid w:val="00BE3616"/>
    <w:rsid w:val="00BE4335"/>
    <w:rsid w:val="00BE7F7D"/>
    <w:rsid w:val="00BF01B6"/>
    <w:rsid w:val="00BF2607"/>
    <w:rsid w:val="00BF2CF7"/>
    <w:rsid w:val="00BF377F"/>
    <w:rsid w:val="00BF39FF"/>
    <w:rsid w:val="00BF57AC"/>
    <w:rsid w:val="00BF5980"/>
    <w:rsid w:val="00BF7B61"/>
    <w:rsid w:val="00C00F4A"/>
    <w:rsid w:val="00C050C0"/>
    <w:rsid w:val="00C0562D"/>
    <w:rsid w:val="00C05C03"/>
    <w:rsid w:val="00C05F9F"/>
    <w:rsid w:val="00C07F8B"/>
    <w:rsid w:val="00C10B35"/>
    <w:rsid w:val="00C12099"/>
    <w:rsid w:val="00C12E58"/>
    <w:rsid w:val="00C13E7E"/>
    <w:rsid w:val="00C1796F"/>
    <w:rsid w:val="00C21205"/>
    <w:rsid w:val="00C22FE8"/>
    <w:rsid w:val="00C254DE"/>
    <w:rsid w:val="00C266C6"/>
    <w:rsid w:val="00C323E0"/>
    <w:rsid w:val="00C346B3"/>
    <w:rsid w:val="00C37BB7"/>
    <w:rsid w:val="00C40451"/>
    <w:rsid w:val="00C40796"/>
    <w:rsid w:val="00C41129"/>
    <w:rsid w:val="00C4155A"/>
    <w:rsid w:val="00C4453A"/>
    <w:rsid w:val="00C44A21"/>
    <w:rsid w:val="00C46F67"/>
    <w:rsid w:val="00C47084"/>
    <w:rsid w:val="00C5337A"/>
    <w:rsid w:val="00C53640"/>
    <w:rsid w:val="00C575A0"/>
    <w:rsid w:val="00C57CDD"/>
    <w:rsid w:val="00C628A6"/>
    <w:rsid w:val="00C65BE6"/>
    <w:rsid w:val="00C66D1F"/>
    <w:rsid w:val="00C67994"/>
    <w:rsid w:val="00C745CB"/>
    <w:rsid w:val="00C74A7C"/>
    <w:rsid w:val="00C82E50"/>
    <w:rsid w:val="00C83E75"/>
    <w:rsid w:val="00C87BAC"/>
    <w:rsid w:val="00C903C8"/>
    <w:rsid w:val="00C91DCC"/>
    <w:rsid w:val="00C924A1"/>
    <w:rsid w:val="00C937DB"/>
    <w:rsid w:val="00C947DF"/>
    <w:rsid w:val="00C95DC2"/>
    <w:rsid w:val="00C96537"/>
    <w:rsid w:val="00CA0476"/>
    <w:rsid w:val="00CA0AE3"/>
    <w:rsid w:val="00CA1207"/>
    <w:rsid w:val="00CA1947"/>
    <w:rsid w:val="00CA2FE3"/>
    <w:rsid w:val="00CA4998"/>
    <w:rsid w:val="00CA514E"/>
    <w:rsid w:val="00CA6A65"/>
    <w:rsid w:val="00CA7A4A"/>
    <w:rsid w:val="00CA7F11"/>
    <w:rsid w:val="00CA7F75"/>
    <w:rsid w:val="00CB1B62"/>
    <w:rsid w:val="00CB2F6A"/>
    <w:rsid w:val="00CB4BE1"/>
    <w:rsid w:val="00CB6552"/>
    <w:rsid w:val="00CC003A"/>
    <w:rsid w:val="00CC61F1"/>
    <w:rsid w:val="00CD2D19"/>
    <w:rsid w:val="00CD2EB5"/>
    <w:rsid w:val="00CD3C24"/>
    <w:rsid w:val="00CD5902"/>
    <w:rsid w:val="00CD68F4"/>
    <w:rsid w:val="00CE0132"/>
    <w:rsid w:val="00CE5B24"/>
    <w:rsid w:val="00CF2D28"/>
    <w:rsid w:val="00CF3B09"/>
    <w:rsid w:val="00CF4C79"/>
    <w:rsid w:val="00CF60A5"/>
    <w:rsid w:val="00CF7AB7"/>
    <w:rsid w:val="00D00E07"/>
    <w:rsid w:val="00D01B00"/>
    <w:rsid w:val="00D01DB6"/>
    <w:rsid w:val="00D03C61"/>
    <w:rsid w:val="00D04284"/>
    <w:rsid w:val="00D06533"/>
    <w:rsid w:val="00D079C6"/>
    <w:rsid w:val="00D130D5"/>
    <w:rsid w:val="00D15DE7"/>
    <w:rsid w:val="00D1633A"/>
    <w:rsid w:val="00D166BF"/>
    <w:rsid w:val="00D20D7B"/>
    <w:rsid w:val="00D21360"/>
    <w:rsid w:val="00D22606"/>
    <w:rsid w:val="00D22FBC"/>
    <w:rsid w:val="00D24021"/>
    <w:rsid w:val="00D25754"/>
    <w:rsid w:val="00D26516"/>
    <w:rsid w:val="00D271D4"/>
    <w:rsid w:val="00D27BE6"/>
    <w:rsid w:val="00D31FDE"/>
    <w:rsid w:val="00D343C8"/>
    <w:rsid w:val="00D36851"/>
    <w:rsid w:val="00D36D80"/>
    <w:rsid w:val="00D37ADE"/>
    <w:rsid w:val="00D4009D"/>
    <w:rsid w:val="00D4312F"/>
    <w:rsid w:val="00D43547"/>
    <w:rsid w:val="00D444D8"/>
    <w:rsid w:val="00D461B5"/>
    <w:rsid w:val="00D466EE"/>
    <w:rsid w:val="00D5225C"/>
    <w:rsid w:val="00D52279"/>
    <w:rsid w:val="00D53F25"/>
    <w:rsid w:val="00D55ED6"/>
    <w:rsid w:val="00D6207B"/>
    <w:rsid w:val="00D62D4C"/>
    <w:rsid w:val="00D65943"/>
    <w:rsid w:val="00D71E2A"/>
    <w:rsid w:val="00D77BEF"/>
    <w:rsid w:val="00D815E3"/>
    <w:rsid w:val="00D83E50"/>
    <w:rsid w:val="00D858E8"/>
    <w:rsid w:val="00D9273B"/>
    <w:rsid w:val="00D93659"/>
    <w:rsid w:val="00D93BCC"/>
    <w:rsid w:val="00D97189"/>
    <w:rsid w:val="00DA0432"/>
    <w:rsid w:val="00DA15D4"/>
    <w:rsid w:val="00DA2B36"/>
    <w:rsid w:val="00DA405E"/>
    <w:rsid w:val="00DA469E"/>
    <w:rsid w:val="00DA6B21"/>
    <w:rsid w:val="00DA6CB9"/>
    <w:rsid w:val="00DA726C"/>
    <w:rsid w:val="00DA7800"/>
    <w:rsid w:val="00DB01E9"/>
    <w:rsid w:val="00DB47AA"/>
    <w:rsid w:val="00DB4DC0"/>
    <w:rsid w:val="00DB5837"/>
    <w:rsid w:val="00DB63BF"/>
    <w:rsid w:val="00DB6AF3"/>
    <w:rsid w:val="00DB7038"/>
    <w:rsid w:val="00DC11C2"/>
    <w:rsid w:val="00DC1F65"/>
    <w:rsid w:val="00DC6390"/>
    <w:rsid w:val="00DD43AA"/>
    <w:rsid w:val="00DD75FD"/>
    <w:rsid w:val="00DD7B0B"/>
    <w:rsid w:val="00DE0624"/>
    <w:rsid w:val="00DE07D1"/>
    <w:rsid w:val="00DE18FA"/>
    <w:rsid w:val="00DE2E24"/>
    <w:rsid w:val="00DE4DD6"/>
    <w:rsid w:val="00DE696B"/>
    <w:rsid w:val="00DE7515"/>
    <w:rsid w:val="00DF0EC2"/>
    <w:rsid w:val="00DF1BB4"/>
    <w:rsid w:val="00DF2112"/>
    <w:rsid w:val="00DF2A0E"/>
    <w:rsid w:val="00DF2DF0"/>
    <w:rsid w:val="00E0074A"/>
    <w:rsid w:val="00E020B9"/>
    <w:rsid w:val="00E029C6"/>
    <w:rsid w:val="00E06F6C"/>
    <w:rsid w:val="00E1092C"/>
    <w:rsid w:val="00E1271C"/>
    <w:rsid w:val="00E1406B"/>
    <w:rsid w:val="00E15D9F"/>
    <w:rsid w:val="00E16AFA"/>
    <w:rsid w:val="00E17A9C"/>
    <w:rsid w:val="00E17D45"/>
    <w:rsid w:val="00E201D1"/>
    <w:rsid w:val="00E22D1B"/>
    <w:rsid w:val="00E27320"/>
    <w:rsid w:val="00E30DB8"/>
    <w:rsid w:val="00E324CD"/>
    <w:rsid w:val="00E328E5"/>
    <w:rsid w:val="00E34C18"/>
    <w:rsid w:val="00E37119"/>
    <w:rsid w:val="00E374AD"/>
    <w:rsid w:val="00E424A2"/>
    <w:rsid w:val="00E43D7C"/>
    <w:rsid w:val="00E43EF9"/>
    <w:rsid w:val="00E45614"/>
    <w:rsid w:val="00E459D2"/>
    <w:rsid w:val="00E4622E"/>
    <w:rsid w:val="00E466CE"/>
    <w:rsid w:val="00E51013"/>
    <w:rsid w:val="00E52B7B"/>
    <w:rsid w:val="00E52BBB"/>
    <w:rsid w:val="00E5351F"/>
    <w:rsid w:val="00E56FFC"/>
    <w:rsid w:val="00E579CE"/>
    <w:rsid w:val="00E602F0"/>
    <w:rsid w:val="00E624A0"/>
    <w:rsid w:val="00E62662"/>
    <w:rsid w:val="00E649D5"/>
    <w:rsid w:val="00E651A8"/>
    <w:rsid w:val="00E70136"/>
    <w:rsid w:val="00E70650"/>
    <w:rsid w:val="00E74DCB"/>
    <w:rsid w:val="00E75CAB"/>
    <w:rsid w:val="00E75CBB"/>
    <w:rsid w:val="00E8236D"/>
    <w:rsid w:val="00E82D77"/>
    <w:rsid w:val="00E83B46"/>
    <w:rsid w:val="00E84010"/>
    <w:rsid w:val="00E87A7B"/>
    <w:rsid w:val="00E91567"/>
    <w:rsid w:val="00E91F26"/>
    <w:rsid w:val="00E9385C"/>
    <w:rsid w:val="00E93989"/>
    <w:rsid w:val="00EA15E2"/>
    <w:rsid w:val="00EA2DEF"/>
    <w:rsid w:val="00EA31E2"/>
    <w:rsid w:val="00EA3589"/>
    <w:rsid w:val="00EA4563"/>
    <w:rsid w:val="00EA64E4"/>
    <w:rsid w:val="00EB56EB"/>
    <w:rsid w:val="00EB6F16"/>
    <w:rsid w:val="00EC07A0"/>
    <w:rsid w:val="00EC17D4"/>
    <w:rsid w:val="00EC298B"/>
    <w:rsid w:val="00EC3ABE"/>
    <w:rsid w:val="00EC3B3E"/>
    <w:rsid w:val="00EC672D"/>
    <w:rsid w:val="00EC72A8"/>
    <w:rsid w:val="00ED4593"/>
    <w:rsid w:val="00ED4745"/>
    <w:rsid w:val="00ED58D2"/>
    <w:rsid w:val="00EE00E0"/>
    <w:rsid w:val="00EE05A8"/>
    <w:rsid w:val="00EE2D3A"/>
    <w:rsid w:val="00EE3B31"/>
    <w:rsid w:val="00EE46EF"/>
    <w:rsid w:val="00EE7E01"/>
    <w:rsid w:val="00EF1C4B"/>
    <w:rsid w:val="00EF1E62"/>
    <w:rsid w:val="00EF4557"/>
    <w:rsid w:val="00EF49B4"/>
    <w:rsid w:val="00EF5728"/>
    <w:rsid w:val="00F00E79"/>
    <w:rsid w:val="00F01DA0"/>
    <w:rsid w:val="00F02957"/>
    <w:rsid w:val="00F047DB"/>
    <w:rsid w:val="00F04F3F"/>
    <w:rsid w:val="00F05F62"/>
    <w:rsid w:val="00F11EA6"/>
    <w:rsid w:val="00F1265E"/>
    <w:rsid w:val="00F1347D"/>
    <w:rsid w:val="00F1477F"/>
    <w:rsid w:val="00F14C6D"/>
    <w:rsid w:val="00F229A7"/>
    <w:rsid w:val="00F27698"/>
    <w:rsid w:val="00F31BA4"/>
    <w:rsid w:val="00F33A0B"/>
    <w:rsid w:val="00F348D8"/>
    <w:rsid w:val="00F412B8"/>
    <w:rsid w:val="00F43000"/>
    <w:rsid w:val="00F44287"/>
    <w:rsid w:val="00F44886"/>
    <w:rsid w:val="00F47500"/>
    <w:rsid w:val="00F512A7"/>
    <w:rsid w:val="00F51AA6"/>
    <w:rsid w:val="00F527D1"/>
    <w:rsid w:val="00F53BB5"/>
    <w:rsid w:val="00F54375"/>
    <w:rsid w:val="00F5452A"/>
    <w:rsid w:val="00F5481F"/>
    <w:rsid w:val="00F54E62"/>
    <w:rsid w:val="00F60BE2"/>
    <w:rsid w:val="00F60D9C"/>
    <w:rsid w:val="00F61015"/>
    <w:rsid w:val="00F619B4"/>
    <w:rsid w:val="00F62F52"/>
    <w:rsid w:val="00F704D8"/>
    <w:rsid w:val="00F72F3E"/>
    <w:rsid w:val="00F74936"/>
    <w:rsid w:val="00F76AD8"/>
    <w:rsid w:val="00F76BC6"/>
    <w:rsid w:val="00F77B3E"/>
    <w:rsid w:val="00F77FDE"/>
    <w:rsid w:val="00F81312"/>
    <w:rsid w:val="00F8222B"/>
    <w:rsid w:val="00F83ED1"/>
    <w:rsid w:val="00F852F9"/>
    <w:rsid w:val="00F937E1"/>
    <w:rsid w:val="00F9442F"/>
    <w:rsid w:val="00F953AC"/>
    <w:rsid w:val="00F9545F"/>
    <w:rsid w:val="00FA01F6"/>
    <w:rsid w:val="00FA0A4B"/>
    <w:rsid w:val="00FA111F"/>
    <w:rsid w:val="00FA3494"/>
    <w:rsid w:val="00FA6DE3"/>
    <w:rsid w:val="00FA7004"/>
    <w:rsid w:val="00FB06B2"/>
    <w:rsid w:val="00FB07E0"/>
    <w:rsid w:val="00FB2534"/>
    <w:rsid w:val="00FB2D19"/>
    <w:rsid w:val="00FB658D"/>
    <w:rsid w:val="00FC07D8"/>
    <w:rsid w:val="00FC210B"/>
    <w:rsid w:val="00FC4175"/>
    <w:rsid w:val="00FC500F"/>
    <w:rsid w:val="00FC6D92"/>
    <w:rsid w:val="00FD2A77"/>
    <w:rsid w:val="00FD4533"/>
    <w:rsid w:val="00FD4FD6"/>
    <w:rsid w:val="00FD5DCD"/>
    <w:rsid w:val="00FD7EB2"/>
    <w:rsid w:val="00FE1FDF"/>
    <w:rsid w:val="00FE2FE8"/>
    <w:rsid w:val="00FE37CD"/>
    <w:rsid w:val="00FE3E96"/>
    <w:rsid w:val="00FE78B1"/>
    <w:rsid w:val="00FF1A0E"/>
    <w:rsid w:val="00FF1C22"/>
    <w:rsid w:val="00FF2D5D"/>
    <w:rsid w:val="00FF48DF"/>
    <w:rsid w:val="00FF6241"/>
    <w:rsid w:val="00FF71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A522A3F1-7B6D-471A-9D16-AE9DB3450C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99"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48A6"/>
    <w:pPr>
      <w:spacing w:after="200" w:line="276" w:lineRule="auto"/>
    </w:pPr>
    <w:rPr>
      <w:rFonts w:eastAsia="Calibri"/>
      <w:sz w:val="22"/>
      <w:szCs w:val="22"/>
    </w:rPr>
  </w:style>
  <w:style w:type="paragraph" w:styleId="Heading1">
    <w:name w:val="heading 1"/>
    <w:basedOn w:val="Normal"/>
    <w:next w:val="Normal"/>
    <w:link w:val="Heading1Char"/>
    <w:uiPriority w:val="99"/>
    <w:qFormat/>
    <w:rsid w:val="00301447"/>
    <w:pPr>
      <w:keepNext/>
      <w:keepLines/>
      <w:spacing w:after="0" w:line="240" w:lineRule="auto"/>
      <w:outlineLvl w:val="0"/>
    </w:pPr>
    <w:rPr>
      <w:rFonts w:eastAsia="Times New Roman"/>
      <w:b/>
      <w:bCs/>
      <w:szCs w:val="28"/>
    </w:rPr>
  </w:style>
  <w:style w:type="paragraph" w:styleId="Heading2">
    <w:name w:val="heading 2"/>
    <w:basedOn w:val="Normal"/>
    <w:next w:val="Normal"/>
    <w:link w:val="Heading2Char"/>
    <w:semiHidden/>
    <w:unhideWhenUsed/>
    <w:qFormat/>
    <w:rsid w:val="00AA489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AA4898"/>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301447"/>
    <w:rPr>
      <w:b/>
      <w:bCs/>
      <w:sz w:val="22"/>
      <w:szCs w:val="28"/>
    </w:rPr>
  </w:style>
  <w:style w:type="paragraph" w:styleId="ListParagraph">
    <w:name w:val="List Paragraph"/>
    <w:basedOn w:val="Normal"/>
    <w:uiPriority w:val="34"/>
    <w:qFormat/>
    <w:rsid w:val="00852FBA"/>
    <w:pPr>
      <w:ind w:left="720"/>
      <w:contextualSpacing/>
    </w:pPr>
  </w:style>
  <w:style w:type="paragraph" w:styleId="Header">
    <w:name w:val="header"/>
    <w:basedOn w:val="Normal"/>
    <w:link w:val="HeaderChar"/>
    <w:uiPriority w:val="99"/>
    <w:rsid w:val="006D082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082D"/>
    <w:rPr>
      <w:rFonts w:ascii="Calibri" w:eastAsia="Calibri" w:hAnsi="Calibri"/>
      <w:sz w:val="22"/>
      <w:szCs w:val="22"/>
    </w:rPr>
  </w:style>
  <w:style w:type="paragraph" w:styleId="Footer">
    <w:name w:val="footer"/>
    <w:basedOn w:val="Normal"/>
    <w:link w:val="FooterChar"/>
    <w:uiPriority w:val="99"/>
    <w:rsid w:val="006D082D"/>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082D"/>
    <w:rPr>
      <w:rFonts w:ascii="Calibri" w:eastAsia="Calibri" w:hAnsi="Calibri"/>
      <w:sz w:val="22"/>
      <w:szCs w:val="22"/>
    </w:rPr>
  </w:style>
  <w:style w:type="paragraph" w:styleId="FootnoteText">
    <w:name w:val="footnote text"/>
    <w:basedOn w:val="Normal"/>
    <w:link w:val="FootnoteTextChar"/>
    <w:rsid w:val="002C08DD"/>
    <w:pPr>
      <w:spacing w:after="0" w:line="240" w:lineRule="auto"/>
    </w:pPr>
    <w:rPr>
      <w:rFonts w:ascii="Cambria" w:eastAsia="MS ??" w:hAnsi="Cambria"/>
      <w:sz w:val="20"/>
      <w:szCs w:val="20"/>
    </w:rPr>
  </w:style>
  <w:style w:type="character" w:customStyle="1" w:styleId="FootnoteTextChar">
    <w:name w:val="Footnote Text Char"/>
    <w:basedOn w:val="DefaultParagraphFont"/>
    <w:link w:val="FootnoteText"/>
    <w:rsid w:val="002C08DD"/>
    <w:rPr>
      <w:rFonts w:ascii="Cambria" w:eastAsia="MS ??" w:hAnsi="Cambria"/>
    </w:rPr>
  </w:style>
  <w:style w:type="character" w:styleId="FootnoteReference">
    <w:name w:val="footnote reference"/>
    <w:uiPriority w:val="99"/>
    <w:rsid w:val="002C08DD"/>
    <w:rPr>
      <w:rFonts w:cs="Times New Roman"/>
      <w:vertAlign w:val="superscript"/>
    </w:rPr>
  </w:style>
  <w:style w:type="paragraph" w:styleId="BalloonText">
    <w:name w:val="Balloon Text"/>
    <w:basedOn w:val="Normal"/>
    <w:link w:val="BalloonTextChar"/>
    <w:rsid w:val="00C937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C937DB"/>
    <w:rPr>
      <w:rFonts w:ascii="Tahoma" w:eastAsia="Calibri" w:hAnsi="Tahoma" w:cs="Tahoma"/>
      <w:sz w:val="16"/>
      <w:szCs w:val="16"/>
    </w:rPr>
  </w:style>
  <w:style w:type="paragraph" w:customStyle="1" w:styleId="Default">
    <w:name w:val="Default"/>
    <w:rsid w:val="003108FA"/>
    <w:pPr>
      <w:autoSpaceDE w:val="0"/>
      <w:autoSpaceDN w:val="0"/>
      <w:adjustRightInd w:val="0"/>
    </w:pPr>
    <w:rPr>
      <w:rFonts w:eastAsia="MS Mincho"/>
      <w:color w:val="000000"/>
      <w:sz w:val="24"/>
      <w:szCs w:val="24"/>
      <w:lang w:eastAsia="ja-JP"/>
    </w:rPr>
  </w:style>
  <w:style w:type="paragraph" w:customStyle="1" w:styleId="NoSpacing1">
    <w:name w:val="No Spacing1"/>
    <w:aliases w:val="Medium Grid 2,Body,Body1,No Spacing2,No Spacing11,Medium Grid 21,Medium Grid 211,Medium Grid 2111"/>
    <w:qFormat/>
    <w:rsid w:val="003108FA"/>
    <w:rPr>
      <w:rFonts w:ascii="Calibri" w:eastAsia="Calibri" w:hAnsi="Calibri"/>
      <w:sz w:val="22"/>
      <w:szCs w:val="22"/>
    </w:rPr>
  </w:style>
  <w:style w:type="paragraph" w:customStyle="1" w:styleId="ColorfulList-Accent11">
    <w:name w:val="Colorful List - Accent 11"/>
    <w:basedOn w:val="Normal"/>
    <w:uiPriority w:val="99"/>
    <w:qFormat/>
    <w:rsid w:val="003108FA"/>
    <w:pPr>
      <w:spacing w:after="0" w:line="240" w:lineRule="auto"/>
      <w:ind w:left="720"/>
      <w:contextualSpacing/>
    </w:pPr>
    <w:rPr>
      <w:sz w:val="24"/>
      <w:szCs w:val="24"/>
    </w:rPr>
  </w:style>
  <w:style w:type="paragraph" w:customStyle="1" w:styleId="MediumShading1-Accent11">
    <w:name w:val="Medium Shading 1 - Accent 11"/>
    <w:link w:val="MediumShading1-Accent1Char"/>
    <w:uiPriority w:val="1"/>
    <w:qFormat/>
    <w:rsid w:val="003108FA"/>
    <w:rPr>
      <w:rFonts w:ascii="Calibri" w:hAnsi="Calibri"/>
      <w:sz w:val="22"/>
      <w:szCs w:val="22"/>
      <w:lang w:bidi="en-US"/>
    </w:rPr>
  </w:style>
  <w:style w:type="character" w:customStyle="1" w:styleId="MediumShading1-Accent1Char">
    <w:name w:val="Medium Shading 1 - Accent 1 Char"/>
    <w:link w:val="MediumShading1-Accent11"/>
    <w:uiPriority w:val="1"/>
    <w:rsid w:val="003108FA"/>
    <w:rPr>
      <w:rFonts w:ascii="Calibri" w:hAnsi="Calibri"/>
      <w:sz w:val="22"/>
      <w:szCs w:val="22"/>
      <w:lang w:bidi="en-US"/>
    </w:rPr>
  </w:style>
  <w:style w:type="paragraph" w:customStyle="1" w:styleId="MediumGrid1-Accent21">
    <w:name w:val="Medium Grid 1 - Accent 21"/>
    <w:basedOn w:val="Normal"/>
    <w:uiPriority w:val="34"/>
    <w:qFormat/>
    <w:rsid w:val="003108FA"/>
    <w:pPr>
      <w:ind w:left="720"/>
      <w:contextualSpacing/>
    </w:pPr>
    <w:rPr>
      <w:sz w:val="24"/>
    </w:rPr>
  </w:style>
  <w:style w:type="character" w:styleId="Hyperlink">
    <w:name w:val="Hyperlink"/>
    <w:basedOn w:val="DefaultParagraphFont"/>
    <w:uiPriority w:val="99"/>
    <w:rsid w:val="002C301A"/>
    <w:rPr>
      <w:rFonts w:cs="Times New Roman"/>
      <w:color w:val="0000FF"/>
      <w:u w:val="single"/>
    </w:rPr>
  </w:style>
  <w:style w:type="paragraph" w:customStyle="1" w:styleId="ColorfulList-Accent13">
    <w:name w:val="Colorful List - Accent 13"/>
    <w:basedOn w:val="Normal"/>
    <w:uiPriority w:val="34"/>
    <w:qFormat/>
    <w:rsid w:val="00807A68"/>
    <w:pPr>
      <w:spacing w:after="0" w:line="240" w:lineRule="auto"/>
      <w:ind w:left="720"/>
      <w:contextualSpacing/>
    </w:pPr>
    <w:rPr>
      <w:rFonts w:eastAsia="MS Mincho"/>
      <w:sz w:val="24"/>
      <w:szCs w:val="24"/>
    </w:rPr>
  </w:style>
  <w:style w:type="paragraph" w:styleId="TOC1">
    <w:name w:val="toc 1"/>
    <w:basedOn w:val="Normal"/>
    <w:next w:val="Normal"/>
    <w:autoRedefine/>
    <w:uiPriority w:val="39"/>
    <w:unhideWhenUsed/>
    <w:rsid w:val="00635ABF"/>
    <w:pPr>
      <w:tabs>
        <w:tab w:val="right" w:leader="dot" w:pos="9350"/>
      </w:tabs>
      <w:spacing w:after="240" w:line="360" w:lineRule="auto"/>
      <w:jc w:val="both"/>
    </w:pPr>
    <w:rPr>
      <w:noProof/>
      <w:sz w:val="24"/>
      <w:szCs w:val="24"/>
    </w:rPr>
  </w:style>
  <w:style w:type="character" w:styleId="Strong">
    <w:name w:val="Strong"/>
    <w:basedOn w:val="DefaultParagraphFont"/>
    <w:uiPriority w:val="99"/>
    <w:qFormat/>
    <w:rsid w:val="00D55ED6"/>
    <w:rPr>
      <w:rFonts w:cs="Times New Roman"/>
      <w:b/>
    </w:rPr>
  </w:style>
  <w:style w:type="character" w:styleId="Emphasis">
    <w:name w:val="Emphasis"/>
    <w:basedOn w:val="DefaultParagraphFont"/>
    <w:uiPriority w:val="20"/>
    <w:qFormat/>
    <w:rsid w:val="00C4155A"/>
    <w:rPr>
      <w:rFonts w:cs="Times New Roman"/>
      <w:i/>
      <w:iCs/>
    </w:rPr>
  </w:style>
  <w:style w:type="character" w:customStyle="1" w:styleId="apple-converted-space">
    <w:name w:val="apple-converted-space"/>
    <w:basedOn w:val="DefaultParagraphFont"/>
    <w:rsid w:val="00C4155A"/>
  </w:style>
  <w:style w:type="paragraph" w:customStyle="1" w:styleId="DefaultStyle">
    <w:name w:val="Default Style"/>
    <w:rsid w:val="00C4155A"/>
    <w:pPr>
      <w:suppressAutoHyphens/>
      <w:spacing w:after="200" w:line="276" w:lineRule="auto"/>
    </w:pPr>
    <w:rPr>
      <w:rFonts w:ascii="Calibri" w:eastAsia="Calibri" w:hAnsi="Calibri"/>
      <w:sz w:val="22"/>
      <w:szCs w:val="22"/>
    </w:rPr>
  </w:style>
  <w:style w:type="paragraph" w:styleId="PlainText">
    <w:name w:val="Plain Text"/>
    <w:basedOn w:val="Normal"/>
    <w:link w:val="PlainTextChar"/>
    <w:uiPriority w:val="99"/>
    <w:rsid w:val="00EC07A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EC07A0"/>
    <w:rPr>
      <w:rFonts w:ascii="Consolas" w:eastAsia="Calibri" w:hAnsi="Consolas"/>
      <w:sz w:val="21"/>
      <w:szCs w:val="21"/>
    </w:rPr>
  </w:style>
  <w:style w:type="character" w:styleId="CommentReference">
    <w:name w:val="annotation reference"/>
    <w:basedOn w:val="DefaultParagraphFont"/>
    <w:rsid w:val="00520FA3"/>
    <w:rPr>
      <w:sz w:val="16"/>
      <w:szCs w:val="16"/>
    </w:rPr>
  </w:style>
  <w:style w:type="paragraph" w:styleId="CommentText">
    <w:name w:val="annotation text"/>
    <w:basedOn w:val="Normal"/>
    <w:link w:val="CommentTextChar"/>
    <w:rsid w:val="00520FA3"/>
    <w:pPr>
      <w:spacing w:line="240" w:lineRule="auto"/>
    </w:pPr>
    <w:rPr>
      <w:sz w:val="20"/>
      <w:szCs w:val="20"/>
    </w:rPr>
  </w:style>
  <w:style w:type="character" w:customStyle="1" w:styleId="CommentTextChar">
    <w:name w:val="Comment Text Char"/>
    <w:basedOn w:val="DefaultParagraphFont"/>
    <w:link w:val="CommentText"/>
    <w:rsid w:val="00520FA3"/>
    <w:rPr>
      <w:rFonts w:ascii="Calibri" w:eastAsia="Calibri" w:hAnsi="Calibri"/>
    </w:rPr>
  </w:style>
  <w:style w:type="paragraph" w:styleId="CommentSubject">
    <w:name w:val="annotation subject"/>
    <w:basedOn w:val="CommentText"/>
    <w:next w:val="CommentText"/>
    <w:link w:val="CommentSubjectChar"/>
    <w:rsid w:val="00520FA3"/>
    <w:rPr>
      <w:b/>
      <w:bCs/>
    </w:rPr>
  </w:style>
  <w:style w:type="character" w:customStyle="1" w:styleId="CommentSubjectChar">
    <w:name w:val="Comment Subject Char"/>
    <w:basedOn w:val="CommentTextChar"/>
    <w:link w:val="CommentSubject"/>
    <w:rsid w:val="00520FA3"/>
    <w:rPr>
      <w:rFonts w:ascii="Calibri" w:eastAsia="Calibri" w:hAnsi="Calibri"/>
      <w:b/>
      <w:bCs/>
    </w:rPr>
  </w:style>
  <w:style w:type="paragraph" w:styleId="TOC2">
    <w:name w:val="toc 2"/>
    <w:basedOn w:val="Normal"/>
    <w:next w:val="Normal"/>
    <w:autoRedefine/>
    <w:uiPriority w:val="39"/>
    <w:rsid w:val="002A48A6"/>
    <w:pPr>
      <w:spacing w:after="100"/>
      <w:ind w:left="220"/>
    </w:pPr>
  </w:style>
  <w:style w:type="paragraph" w:styleId="TOC3">
    <w:name w:val="toc 3"/>
    <w:basedOn w:val="Normal"/>
    <w:next w:val="Normal"/>
    <w:autoRedefine/>
    <w:uiPriority w:val="39"/>
    <w:rsid w:val="002A48A6"/>
    <w:pPr>
      <w:spacing w:after="100"/>
      <w:ind w:left="440"/>
    </w:pPr>
  </w:style>
  <w:style w:type="character" w:customStyle="1" w:styleId="Heading2Char">
    <w:name w:val="Heading 2 Char"/>
    <w:basedOn w:val="DefaultParagraphFont"/>
    <w:link w:val="Heading2"/>
    <w:rsid w:val="00AA4898"/>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semiHidden/>
    <w:rsid w:val="00AA4898"/>
    <w:rPr>
      <w:rFonts w:asciiTheme="majorHAnsi" w:eastAsiaTheme="majorEastAsia" w:hAnsiTheme="majorHAnsi" w:cstheme="majorBidi"/>
      <w:b/>
      <w:bCs/>
      <w:color w:val="4F81BD" w:themeColor="accent1"/>
      <w:sz w:val="22"/>
      <w:szCs w:val="22"/>
    </w:rPr>
  </w:style>
  <w:style w:type="numbering" w:customStyle="1" w:styleId="Style1">
    <w:name w:val="Style1"/>
    <w:uiPriority w:val="99"/>
    <w:rsid w:val="00450D9F"/>
    <w:pPr>
      <w:numPr>
        <w:numId w:val="1"/>
      </w:numPr>
    </w:pPr>
  </w:style>
  <w:style w:type="table" w:styleId="TableGrid">
    <w:name w:val="Table Grid"/>
    <w:basedOn w:val="TableNormal"/>
    <w:uiPriority w:val="59"/>
    <w:rsid w:val="00081FE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Protocol">
    <w:name w:val="Protocol"/>
    <w:uiPriority w:val="99"/>
    <w:rsid w:val="0074511A"/>
    <w:pPr>
      <w:numPr>
        <w:numId w:val="6"/>
      </w:numPr>
    </w:pPr>
  </w:style>
  <w:style w:type="paragraph" w:styleId="Revision">
    <w:name w:val="Revision"/>
    <w:hidden/>
    <w:uiPriority w:val="99"/>
    <w:semiHidden/>
    <w:rsid w:val="003150D5"/>
    <w:rPr>
      <w:rFonts w:eastAsia="Calibri"/>
      <w:sz w:val="22"/>
      <w:szCs w:val="22"/>
    </w:rPr>
  </w:style>
  <w:style w:type="character" w:customStyle="1" w:styleId="citation">
    <w:name w:val="citation"/>
    <w:basedOn w:val="DefaultParagraphFont"/>
    <w:rsid w:val="001A296D"/>
  </w:style>
  <w:style w:type="paragraph" w:styleId="NormalWeb">
    <w:name w:val="Normal (Web)"/>
    <w:basedOn w:val="Normal"/>
    <w:uiPriority w:val="99"/>
    <w:unhideWhenUsed/>
    <w:rsid w:val="001A296D"/>
    <w:pPr>
      <w:spacing w:before="100" w:beforeAutospacing="1" w:after="100" w:afterAutospacing="1" w:line="240" w:lineRule="auto"/>
    </w:pPr>
    <w:rPr>
      <w:rFonts w:eastAsia="Times New Roman"/>
      <w:sz w:val="24"/>
      <w:szCs w:val="24"/>
    </w:rPr>
  </w:style>
  <w:style w:type="character" w:customStyle="1" w:styleId="A9">
    <w:name w:val="A9"/>
    <w:uiPriority w:val="99"/>
    <w:rsid w:val="0065130B"/>
    <w:rPr>
      <w:rFonts w:cs="Garamond"/>
      <w:color w:val="000000"/>
      <w:sz w:val="16"/>
      <w:szCs w:val="16"/>
    </w:rPr>
  </w:style>
  <w:style w:type="character" w:customStyle="1" w:styleId="term-highlight1">
    <w:name w:val="term-highlight1"/>
    <w:basedOn w:val="DefaultParagraphFont"/>
    <w:rsid w:val="003265BC"/>
    <w:rPr>
      <w:b/>
      <w:bCs/>
    </w:rPr>
  </w:style>
  <w:style w:type="paragraph" w:styleId="EndnoteText">
    <w:name w:val="endnote text"/>
    <w:basedOn w:val="Normal"/>
    <w:link w:val="EndnoteTextChar"/>
    <w:unhideWhenUsed/>
    <w:rsid w:val="000838EB"/>
    <w:pPr>
      <w:spacing w:after="0" w:line="240" w:lineRule="auto"/>
    </w:pPr>
    <w:rPr>
      <w:rFonts w:eastAsiaTheme="minorHAnsi"/>
      <w:sz w:val="20"/>
      <w:szCs w:val="20"/>
      <w:lang w:eastAsia="ja-JP"/>
    </w:rPr>
  </w:style>
  <w:style w:type="character" w:customStyle="1" w:styleId="EndnoteTextChar">
    <w:name w:val="Endnote Text Char"/>
    <w:basedOn w:val="DefaultParagraphFont"/>
    <w:link w:val="EndnoteText"/>
    <w:rsid w:val="000838EB"/>
    <w:rPr>
      <w:rFonts w:eastAsiaTheme="minorHAnsi"/>
      <w:lang w:eastAsia="ja-JP"/>
    </w:rPr>
  </w:style>
  <w:style w:type="character" w:customStyle="1" w:styleId="authornames">
    <w:name w:val="authornames"/>
    <w:basedOn w:val="DefaultParagraphFont"/>
    <w:rsid w:val="000838EB"/>
  </w:style>
  <w:style w:type="character" w:customStyle="1" w:styleId="highwire-citation-authors3">
    <w:name w:val="highwire-citation-authors3"/>
    <w:basedOn w:val="DefaultParagraphFont"/>
    <w:rsid w:val="000838EB"/>
    <w:rPr>
      <w:color w:val="444444"/>
      <w:sz w:val="24"/>
      <w:szCs w:val="24"/>
      <w:bdr w:val="none" w:sz="0" w:space="0" w:color="auto" w:frame="1"/>
      <w:vertAlign w:val="baseline"/>
    </w:rPr>
  </w:style>
  <w:style w:type="character" w:customStyle="1" w:styleId="highwire-citation-author">
    <w:name w:val="highwire-citation-author"/>
    <w:basedOn w:val="DefaultParagraphFont"/>
    <w:rsid w:val="000838EB"/>
    <w:rPr>
      <w:sz w:val="24"/>
      <w:szCs w:val="24"/>
      <w:bdr w:val="none" w:sz="0" w:space="0" w:color="auto" w:frame="1"/>
      <w:vertAlign w:val="baseline"/>
    </w:rPr>
  </w:style>
  <w:style w:type="character" w:customStyle="1" w:styleId="highwire-cite-title1">
    <w:name w:val="highwire-cite-title1"/>
    <w:basedOn w:val="DefaultParagraphFont"/>
    <w:rsid w:val="000838EB"/>
    <w:rPr>
      <w:sz w:val="24"/>
      <w:szCs w:val="24"/>
      <w:bdr w:val="none" w:sz="0" w:space="0" w:color="auto" w:frame="1"/>
      <w:vertAlign w:val="baseline"/>
    </w:rPr>
  </w:style>
  <w:style w:type="character" w:customStyle="1" w:styleId="nlm-collab">
    <w:name w:val="nlm-collab"/>
    <w:basedOn w:val="DefaultParagraphFont"/>
    <w:rsid w:val="000838EB"/>
    <w:rPr>
      <w:sz w:val="24"/>
      <w:szCs w:val="24"/>
      <w:bdr w:val="none" w:sz="0" w:space="0" w:color="auto" w:frame="1"/>
      <w:vertAlign w:val="baseline"/>
    </w:rPr>
  </w:style>
  <w:style w:type="character" w:customStyle="1" w:styleId="nlm-given-names">
    <w:name w:val="nlm-given-names"/>
    <w:basedOn w:val="DefaultParagraphFont"/>
    <w:rsid w:val="000838EB"/>
    <w:rPr>
      <w:sz w:val="24"/>
      <w:szCs w:val="24"/>
      <w:bdr w:val="none" w:sz="0" w:space="0" w:color="auto" w:frame="1"/>
      <w:vertAlign w:val="baseline"/>
    </w:rPr>
  </w:style>
  <w:style w:type="character" w:customStyle="1" w:styleId="nlm-surname">
    <w:name w:val="nlm-surname"/>
    <w:basedOn w:val="DefaultParagraphFont"/>
    <w:rsid w:val="000838EB"/>
    <w:rPr>
      <w:sz w:val="24"/>
      <w:szCs w:val="24"/>
      <w:bdr w:val="none" w:sz="0" w:space="0" w:color="auto" w:frame="1"/>
      <w:vertAlign w:val="baseline"/>
    </w:rPr>
  </w:style>
  <w:style w:type="character" w:customStyle="1" w:styleId="highwire-cite-metadata-journal">
    <w:name w:val="highwire-cite-metadata-journal"/>
    <w:basedOn w:val="DefaultParagraphFont"/>
    <w:rsid w:val="000838EB"/>
    <w:rPr>
      <w:sz w:val="24"/>
      <w:szCs w:val="24"/>
      <w:bdr w:val="none" w:sz="0" w:space="0" w:color="auto" w:frame="1"/>
      <w:vertAlign w:val="baseline"/>
    </w:rPr>
  </w:style>
  <w:style w:type="character" w:customStyle="1" w:styleId="highwire-cite-metadata-date1">
    <w:name w:val="highwire-cite-metadata-date1"/>
    <w:basedOn w:val="DefaultParagraphFont"/>
    <w:rsid w:val="000838EB"/>
    <w:rPr>
      <w:rFonts w:ascii="Helvetica" w:hAnsi="Helvetica" w:cs="Helvetica" w:hint="default"/>
      <w:color w:val="666666"/>
      <w:sz w:val="24"/>
      <w:szCs w:val="24"/>
      <w:bdr w:val="none" w:sz="0" w:space="0" w:color="auto" w:frame="1"/>
      <w:vertAlign w:val="baseline"/>
    </w:rPr>
  </w:style>
  <w:style w:type="character" w:customStyle="1" w:styleId="highwire-cite-metadata-volume">
    <w:name w:val="highwire-cite-metadata-volume"/>
    <w:basedOn w:val="DefaultParagraphFont"/>
    <w:rsid w:val="000838EB"/>
    <w:rPr>
      <w:sz w:val="24"/>
      <w:szCs w:val="24"/>
      <w:bdr w:val="none" w:sz="0" w:space="0" w:color="auto" w:frame="1"/>
      <w:vertAlign w:val="baseline"/>
    </w:rPr>
  </w:style>
  <w:style w:type="character" w:customStyle="1" w:styleId="highwire-cite-metadata-issue">
    <w:name w:val="highwire-cite-metadata-issue"/>
    <w:basedOn w:val="DefaultParagraphFont"/>
    <w:rsid w:val="000838EB"/>
    <w:rPr>
      <w:sz w:val="24"/>
      <w:szCs w:val="24"/>
      <w:bdr w:val="none" w:sz="0" w:space="0" w:color="auto" w:frame="1"/>
      <w:vertAlign w:val="baseline"/>
    </w:rPr>
  </w:style>
  <w:style w:type="character" w:customStyle="1" w:styleId="highwire-cite-metadata-elocation-id-pages">
    <w:name w:val="highwire-cite-metadata-elocation-id-pages"/>
    <w:basedOn w:val="DefaultParagraphFont"/>
    <w:rsid w:val="000838EB"/>
    <w:rPr>
      <w:sz w:val="24"/>
      <w:szCs w:val="24"/>
      <w:bdr w:val="none" w:sz="0" w:space="0" w:color="auto" w:frame="1"/>
      <w:vertAlign w:val="baseline"/>
    </w:rPr>
  </w:style>
  <w:style w:type="character" w:customStyle="1" w:styleId="highwire-cite-metadata-doi">
    <w:name w:val="highwire-cite-metadata-doi"/>
    <w:basedOn w:val="DefaultParagraphFont"/>
    <w:rsid w:val="000838EB"/>
    <w:rPr>
      <w:sz w:val="24"/>
      <w:szCs w:val="24"/>
      <w:bdr w:val="none" w:sz="0" w:space="0" w:color="auto" w:frame="1"/>
      <w:vertAlign w:val="baseline"/>
    </w:rPr>
  </w:style>
  <w:style w:type="character" w:customStyle="1" w:styleId="A11">
    <w:name w:val="A11"/>
    <w:uiPriority w:val="99"/>
    <w:rsid w:val="000838EB"/>
    <w:rPr>
      <w:rFonts w:cs="NewCenturySchlbk"/>
      <w:color w:val="221E1F"/>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8901424">
      <w:bodyDiv w:val="1"/>
      <w:marLeft w:val="0"/>
      <w:marRight w:val="0"/>
      <w:marTop w:val="0"/>
      <w:marBottom w:val="0"/>
      <w:divBdr>
        <w:top w:val="none" w:sz="0" w:space="0" w:color="auto"/>
        <w:left w:val="none" w:sz="0" w:space="0" w:color="auto"/>
        <w:bottom w:val="none" w:sz="0" w:space="0" w:color="auto"/>
        <w:right w:val="none" w:sz="0" w:space="0" w:color="auto"/>
      </w:divBdr>
    </w:div>
    <w:div w:id="1219853175">
      <w:bodyDiv w:val="1"/>
      <w:marLeft w:val="0"/>
      <w:marRight w:val="0"/>
      <w:marTop w:val="0"/>
      <w:marBottom w:val="0"/>
      <w:divBdr>
        <w:top w:val="none" w:sz="0" w:space="0" w:color="auto"/>
        <w:left w:val="none" w:sz="0" w:space="0" w:color="auto"/>
        <w:bottom w:val="none" w:sz="0" w:space="0" w:color="auto"/>
        <w:right w:val="none" w:sz="0" w:space="0" w:color="auto"/>
      </w:divBdr>
    </w:div>
    <w:div w:id="1734966218">
      <w:bodyDiv w:val="1"/>
      <w:marLeft w:val="0"/>
      <w:marRight w:val="0"/>
      <w:marTop w:val="0"/>
      <w:marBottom w:val="0"/>
      <w:divBdr>
        <w:top w:val="none" w:sz="0" w:space="0" w:color="auto"/>
        <w:left w:val="none" w:sz="0" w:space="0" w:color="auto"/>
        <w:bottom w:val="none" w:sz="0" w:space="0" w:color="auto"/>
        <w:right w:val="none" w:sz="0" w:space="0" w:color="auto"/>
      </w:divBdr>
    </w:div>
    <w:div w:id="1820918849">
      <w:bodyDiv w:val="1"/>
      <w:marLeft w:val="0"/>
      <w:marRight w:val="0"/>
      <w:marTop w:val="0"/>
      <w:marBottom w:val="0"/>
      <w:divBdr>
        <w:top w:val="none" w:sz="0" w:space="0" w:color="auto"/>
        <w:left w:val="none" w:sz="0" w:space="0" w:color="auto"/>
        <w:bottom w:val="none" w:sz="0" w:space="0" w:color="auto"/>
        <w:right w:val="none" w:sz="0" w:space="0" w:color="auto"/>
      </w:divBdr>
    </w:div>
    <w:div w:id="1953584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8.xml"/><Relationship Id="rId3" Type="http://schemas.openxmlformats.org/officeDocument/2006/relationships/styles" Target="styles.xml"/><Relationship Id="rId21" Type="http://schemas.openxmlformats.org/officeDocument/2006/relationships/footer" Target="footer1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7.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footer" Target="footer13.xml"/><Relationship Id="rId10" Type="http://schemas.openxmlformats.org/officeDocument/2006/relationships/footer" Target="footer1.xml"/><Relationship Id="rId19" Type="http://schemas.openxmlformats.org/officeDocument/2006/relationships/footer" Target="footer9.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footer" Target="footer12.xml"/></Relationships>
</file>

<file path=word/_rels/footnotes.xml.rels><?xml version="1.0" encoding="UTF-8" standalone="yes"?>
<Relationships xmlns="http://schemas.openxmlformats.org/package/2006/relationships"><Relationship Id="rId8" Type="http://schemas.openxmlformats.org/officeDocument/2006/relationships/hyperlink" Target="https://www.healthypeople.gov/2020/topics-objectives/topic/social-determinants-of-health" TargetMode="External"/><Relationship Id="rId3" Type="http://schemas.openxmlformats.org/officeDocument/2006/relationships/hyperlink" Target="http://www.ncbi.nlm.nih.gov/books/NBK233235/" TargetMode="External"/><Relationship Id="rId7" Type="http://schemas.openxmlformats.org/officeDocument/2006/relationships/hyperlink" Target="http://pediatrics.aappublications.org/content/118/1/405" TargetMode="External"/><Relationship Id="rId2" Type="http://schemas.openxmlformats.org/officeDocument/2006/relationships/hyperlink" Target="http://pediatrics.aappublications.org/content/118/1/405" TargetMode="External"/><Relationship Id="rId1" Type="http://schemas.openxmlformats.org/officeDocument/2006/relationships/hyperlink" Target="http://pediatrics.aappublications.org/content/135/2/384" TargetMode="External"/><Relationship Id="rId6" Type="http://schemas.openxmlformats.org/officeDocument/2006/relationships/hyperlink" Target="http://pediatrics.aappublications.org/content/135/2/384" TargetMode="External"/><Relationship Id="rId5" Type="http://schemas.openxmlformats.org/officeDocument/2006/relationships/hyperlink" Target="http://www.ahrq.gov/clinic/tp/mhsapctp.htm" TargetMode="External"/><Relationship Id="rId4" Type="http://schemas.openxmlformats.org/officeDocument/2006/relationships/hyperlink" Target="http://www.ahrq.gov/research/findings/evidence-based-reports/mhsapctp.html" TargetMode="External"/><Relationship Id="rId9" Type="http://schemas.openxmlformats.org/officeDocument/2006/relationships/hyperlink" Target="https://www.cms.gov/About-CMS/Agency-Information/OMH/OMH_Dwnld-CMS_EquityPlanforMedicare_090615.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A9877B9-E928-4CF1-A114-A7FFEC415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78</Pages>
  <Words>27602</Words>
  <Characters>160033</Characters>
  <Application>Microsoft Office Word</Application>
  <DocSecurity>0</DocSecurity>
  <Lines>7274</Lines>
  <Paragraphs>3411</Paragraphs>
  <ScaleCrop>false</ScaleCrop>
  <HeadingPairs>
    <vt:vector size="2" baseType="variant">
      <vt:variant>
        <vt:lpstr>Title</vt:lpstr>
      </vt:variant>
      <vt:variant>
        <vt:i4>1</vt:i4>
      </vt:variant>
    </vt:vector>
  </HeadingPairs>
  <TitlesOfParts>
    <vt:vector size="1" baseType="lpstr">
      <vt:lpstr/>
    </vt:vector>
  </TitlesOfParts>
  <Company>Cambridge Health Alliance</Company>
  <LinksUpToDate>false</LinksUpToDate>
  <CharactersWithSpaces>184224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elefferts</dc:creator>
  <cp:lastModifiedBy>Eli Greenfield</cp:lastModifiedBy>
  <cp:revision>3</cp:revision>
  <cp:lastPrinted>2017-01-17T20:59:00Z</cp:lastPrinted>
  <dcterms:created xsi:type="dcterms:W3CDTF">2017-02-16T21:35:00Z</dcterms:created>
  <dcterms:modified xsi:type="dcterms:W3CDTF">2017-02-16T22:04:00Z</dcterms:modified>
</cp:coreProperties>
</file>